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spacing w:before="120" w:after="283"/>
        <w:jc w:val="center"/>
        <w:rPr/>
      </w:pPr>
      <w:bookmarkStart w:id="0" w:name="tsha-20231231.htm"/>
      <w:bookmarkStart w:id="1" w:name="kstsha20231231"/>
      <w:bookmarkEnd w:id="0"/>
      <w:bookmarkEnd w:id="1"/>
      <w:r>
        <w:rPr/>
        <w:t> </w:t>
      </w:r>
    </w:p>
    <w:p>
      <w:pPr>
        <w:pStyle w:val="TextBody"/>
        <w:bidi w:val="0"/>
        <w:spacing w:before="60" w:after="283"/>
        <w:jc w:val="center"/>
        <w:rPr>
          <w:rFonts w:ascii="Times New Roman" w:hAnsi="Times New Roman"/>
          <w:color w:val="000000"/>
          <w:sz w:val="32"/>
        </w:rPr>
      </w:pPr>
      <w:r>
        <w:rPr>
          <w:rFonts w:ascii="Times New Roman" w:hAnsi="Times New Roman"/>
          <w:color w:val="000000"/>
          <w:sz w:val="32"/>
        </w:rPr>
        <w:t>UNITED STATES</w:t>
      </w:r>
    </w:p>
    <w:p>
      <w:pPr>
        <w:pStyle w:val="TextBody"/>
        <w:bidi w:val="0"/>
        <w:jc w:val="center"/>
        <w:rPr>
          <w:rFonts w:ascii="Times New Roman" w:hAnsi="Times New Roman"/>
          <w:color w:val="000000"/>
          <w:sz w:val="32"/>
        </w:rPr>
      </w:pPr>
      <w:r>
        <w:rPr>
          <w:rFonts w:ascii="Times New Roman" w:hAnsi="Times New Roman"/>
          <w:color w:val="000000"/>
          <w:sz w:val="32"/>
        </w:rPr>
        <w:t>SECURITIES AND EXCHANGE COMMISSION</w:t>
      </w:r>
    </w:p>
    <w:p>
      <w:pPr>
        <w:pStyle w:val="TextBody"/>
        <w:bidi w:val="0"/>
        <w:jc w:val="center"/>
        <w:rPr>
          <w:rFonts w:ascii="Times New Roman" w:hAnsi="Times New Roman"/>
          <w:color w:val="000000"/>
          <w:sz w:val="22"/>
        </w:rPr>
      </w:pPr>
      <w:r>
        <w:rPr>
          <w:rFonts w:ascii="Times New Roman" w:hAnsi="Times New Roman"/>
          <w:color w:val="000000"/>
          <w:sz w:val="22"/>
        </w:rPr>
        <w:t>WASHINGTON, DC 20549</w:t>
      </w:r>
    </w:p>
    <w:p>
      <w:pPr>
        <w:pStyle w:val="TextBody"/>
        <w:pBdr>
          <w:bottom w:val="single" w:sz="4" w:space="1" w:color="000000"/>
        </w:pBdr>
        <w:bidi w:val="0"/>
        <w:spacing w:before="60" w:after="60"/>
        <w:jc w:val="center"/>
        <w:rPr/>
      </w:pPr>
      <w:r>
        <w:rPr/>
        <w:t> </w:t>
      </w:r>
    </w:p>
    <w:p>
      <w:pPr>
        <w:pStyle w:val="TextBody"/>
        <w:bidi w:val="0"/>
        <w:jc w:val="center"/>
        <w:rPr>
          <w:rFonts w:ascii="Times New Roman" w:hAnsi="Times New Roman"/>
          <w:color w:val="000000"/>
          <w:sz w:val="32"/>
        </w:rPr>
      </w:pPr>
      <w:r>
        <w:rPr>
          <w:rFonts w:ascii="Times New Roman" w:hAnsi="Times New Roman"/>
          <w:color w:val="000000"/>
          <w:sz w:val="32"/>
        </w:rPr>
        <w:t>FORM 10-K</w:t>
      </w:r>
    </w:p>
    <w:p>
      <w:pPr>
        <w:pStyle w:val="TextBody"/>
        <w:pBdr>
          <w:bottom w:val="single" w:sz="4" w:space="1" w:color="000000"/>
        </w:pBdr>
        <w:bidi w:val="0"/>
        <w:spacing w:before="60" w:after="60"/>
        <w:jc w:val="center"/>
        <w:rPr/>
      </w:pPr>
      <w:r>
        <w:rPr/>
        <w:t> </w:t>
      </w:r>
    </w:p>
    <w:p>
      <w:pPr>
        <w:pStyle w:val="TextBody"/>
        <w:bidi w:val="0"/>
        <w:jc w:val="left"/>
        <w:rPr>
          <w:rFonts w:ascii="Times New Roman" w:hAnsi="Times New Roman"/>
          <w:color w:val="000000"/>
          <w:sz w:val="16"/>
        </w:rPr>
      </w:pPr>
      <w:r>
        <w:rPr>
          <w:rFonts w:ascii="Times New Roman" w:hAnsi="Times New Roman"/>
          <w:color w:val="000000"/>
          <w:sz w:val="16"/>
        </w:rPr>
        <w:t>(Mark One)</w:t>
      </w:r>
    </w:p>
    <w:p>
      <w:pPr>
        <w:pStyle w:val="TextBody"/>
        <w:bidi w:val="0"/>
        <w:jc w:val="left"/>
        <w:rPr/>
      </w:pPr>
      <w:r>
        <w:rPr/>
        <w:t> </w:t>
      </w:r>
    </w:p>
    <w:tbl>
      <w:tblPr>
        <w:tblW w:w="8342" w:type="dxa"/>
        <w:jc w:val="left"/>
        <w:tblInd w:w="0" w:type="dxa"/>
        <w:tblLayout w:type="fixed"/>
        <w:tblCellMar>
          <w:top w:w="28" w:type="dxa"/>
          <w:left w:w="28" w:type="dxa"/>
          <w:bottom w:w="28" w:type="dxa"/>
          <w:right w:w="28" w:type="dxa"/>
        </w:tblCellMar>
      </w:tblPr>
      <w:tblGrid>
        <w:gridCol w:w="331"/>
        <w:gridCol w:w="8011"/>
      </w:tblGrid>
      <w:tr>
        <w:trPr/>
        <w:tc>
          <w:tcPr>
            <w:tcW w:w="331" w:type="dxa"/>
            <w:tcBorders/>
            <w:vAlign w:val="center"/>
          </w:tcPr>
          <w:p>
            <w:pPr>
              <w:pStyle w:val="TableContents"/>
              <w:bidi w:val="0"/>
              <w:spacing w:before="0" w:after="283"/>
              <w:jc w:val="left"/>
              <w:rPr>
                <w:sz w:val="4"/>
                <w:szCs w:val="4"/>
              </w:rPr>
            </w:pPr>
            <w:r>
              <w:rPr>
                <w:sz w:val="4"/>
                <w:szCs w:val="4"/>
              </w:rPr>
            </w:r>
          </w:p>
        </w:tc>
        <w:tc>
          <w:tcPr>
            <w:tcW w:w="801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ANNUAL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For the fiscal year ended December 31, 2023</w:t>
      </w:r>
    </w:p>
    <w:p>
      <w:pPr>
        <w:pStyle w:val="TextBody"/>
        <w:bidi w:val="0"/>
        <w:spacing w:before="60" w:after="283"/>
        <w:jc w:val="center"/>
        <w:rPr>
          <w:rFonts w:ascii="Times New Roman" w:hAnsi="Times New Roman"/>
          <w:color w:val="000000"/>
          <w:sz w:val="20"/>
        </w:rPr>
      </w:pPr>
      <w:r>
        <w:rPr>
          <w:rFonts w:ascii="Times New Roman" w:hAnsi="Times New Roman"/>
          <w:color w:val="000000"/>
          <w:sz w:val="20"/>
        </w:rPr>
        <w:t>OR</w:t>
      </w:r>
    </w:p>
    <w:p>
      <w:pPr>
        <w:pStyle w:val="TextBody"/>
        <w:bidi w:val="0"/>
        <w:jc w:val="left"/>
        <w:rPr/>
      </w:pPr>
      <w:r>
        <w:rPr/>
        <w:t> </w:t>
      </w:r>
    </w:p>
    <w:tbl>
      <w:tblPr>
        <w:tblW w:w="8642" w:type="dxa"/>
        <w:jc w:val="left"/>
        <w:tblInd w:w="0" w:type="dxa"/>
        <w:tblLayout w:type="fixed"/>
        <w:tblCellMar>
          <w:top w:w="28" w:type="dxa"/>
          <w:left w:w="28" w:type="dxa"/>
          <w:bottom w:w="28" w:type="dxa"/>
          <w:right w:w="28" w:type="dxa"/>
        </w:tblCellMar>
      </w:tblPr>
      <w:tblGrid>
        <w:gridCol w:w="331"/>
        <w:gridCol w:w="8311"/>
      </w:tblGrid>
      <w:tr>
        <w:trPr/>
        <w:tc>
          <w:tcPr>
            <w:tcW w:w="331" w:type="dxa"/>
            <w:tcBorders/>
            <w:vAlign w:val="center"/>
          </w:tcPr>
          <w:p>
            <w:pPr>
              <w:pStyle w:val="TableContents"/>
              <w:bidi w:val="0"/>
              <w:spacing w:before="0" w:after="283"/>
              <w:jc w:val="left"/>
              <w:rPr>
                <w:sz w:val="4"/>
                <w:szCs w:val="4"/>
              </w:rPr>
            </w:pPr>
            <w:r>
              <w:rPr>
                <w:sz w:val="4"/>
                <w:szCs w:val="4"/>
              </w:rPr>
            </w:r>
          </w:p>
        </w:tc>
        <w:tc>
          <w:tcPr>
            <w:tcW w:w="831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31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6"/>
              </w:rPr>
            </w:pPr>
            <w:r>
              <w:rPr>
                <w:rFonts w:ascii="Times New Roman" w:hAnsi="Times New Roman"/>
                <w:color w:val="000000"/>
                <w:sz w:val="16"/>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For the transition period from ___________ to ___________</w:t>
      </w:r>
    </w:p>
    <w:p>
      <w:pPr>
        <w:pStyle w:val="TextBody"/>
        <w:bidi w:val="0"/>
        <w:spacing w:before="60" w:after="283"/>
        <w:jc w:val="center"/>
        <w:rPr>
          <w:rFonts w:ascii="Times New Roman" w:hAnsi="Times New Roman"/>
          <w:color w:val="000000"/>
          <w:sz w:val="20"/>
        </w:rPr>
      </w:pPr>
      <w:r>
        <w:rPr>
          <w:rFonts w:ascii="Times New Roman" w:hAnsi="Times New Roman"/>
          <w:color w:val="000000"/>
          <w:sz w:val="20"/>
        </w:rPr>
        <w:t>Commission File Number: 001-39536</w:t>
      </w:r>
    </w:p>
    <w:p>
      <w:pPr>
        <w:pStyle w:val="TextBody"/>
        <w:pBdr>
          <w:bottom w:val="single" w:sz="4" w:space="1" w:color="000000"/>
        </w:pBdr>
        <w:bidi w:val="0"/>
        <w:spacing w:before="0" w:after="60"/>
        <w:jc w:val="center"/>
        <w:rPr/>
      </w:pPr>
      <w:r>
        <w:rPr/>
        <w:t> </w:t>
      </w:r>
    </w:p>
    <w:p>
      <w:pPr>
        <w:pStyle w:val="TextBody"/>
        <w:bidi w:val="0"/>
        <w:jc w:val="center"/>
        <w:rPr>
          <w:rFonts w:ascii="Times New Roman" w:hAnsi="Times New Roman"/>
          <w:color w:val="000000"/>
          <w:sz w:val="36"/>
        </w:rPr>
      </w:pPr>
      <w:r>
        <w:rPr>
          <w:rFonts w:ascii="Times New Roman" w:hAnsi="Times New Roman"/>
          <w:color w:val="000000"/>
          <w:sz w:val="36"/>
        </w:rPr>
        <w:t>Taysha Gene Therapies,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pBdr>
          <w:bottom w:val="single" w:sz="4" w:space="1" w:color="000000"/>
        </w:pBdr>
        <w:bidi w:val="0"/>
        <w:spacing w:before="0" w:after="60"/>
        <w:jc w:val="center"/>
        <w:rPr/>
      </w:pPr>
      <w:r>
        <w:rPr/>
        <w:t> </w:t>
      </w:r>
    </w:p>
    <w:p>
      <w:pPr>
        <w:pStyle w:val="TextBody"/>
        <w:bidi w:val="0"/>
        <w:jc w:val="left"/>
        <w:rPr/>
      </w:pPr>
      <w:r>
        <w:rPr/>
        <w:t> </w:t>
      </w:r>
    </w:p>
    <w:tbl>
      <w:tblPr>
        <w:tblW w:w="4307" w:type="dxa"/>
        <w:jc w:val="left"/>
        <w:tblInd w:w="0" w:type="dxa"/>
        <w:tblLayout w:type="fixed"/>
        <w:tblCellMar>
          <w:top w:w="28" w:type="dxa"/>
          <w:left w:w="28" w:type="dxa"/>
          <w:bottom w:w="28" w:type="dxa"/>
          <w:right w:w="28" w:type="dxa"/>
        </w:tblCellMar>
      </w:tblPr>
      <w:tblGrid>
        <w:gridCol w:w="2866"/>
        <w:gridCol w:w="1441"/>
      </w:tblGrid>
      <w:tr>
        <w:trPr/>
        <w:tc>
          <w:tcPr>
            <w:tcW w:w="286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86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Delaware</w:t>
            </w:r>
          </w:p>
        </w:tc>
        <w:tc>
          <w:tcPr>
            <w:tcW w:w="1441"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84-3199512</w:t>
            </w:r>
          </w:p>
        </w:tc>
      </w:tr>
      <w:tr>
        <w:trPr/>
        <w:tc>
          <w:tcPr>
            <w:tcW w:w="2866" w:type="dxa"/>
            <w:tcBorders/>
            <w:vAlign w:val="center"/>
          </w:tcPr>
          <w:p>
            <w:pPr>
              <w:pStyle w:val="TableContents"/>
              <w:bidi w:val="0"/>
              <w:jc w:val="center"/>
              <w:rPr>
                <w:rFonts w:ascii="Times New Roman" w:hAnsi="Times New Roman"/>
                <w:color w:val="000000"/>
                <w:sz w:val="16"/>
              </w:rPr>
            </w:pPr>
            <w:r>
              <w:rPr>
                <w:rFonts w:ascii="Times New Roman" w:hAnsi="Times New Roman"/>
                <w:color w:val="000000"/>
                <w:sz w:val="16"/>
              </w:rPr>
              <w:t>( State or other jurisdiction of</w:t>
            </w:r>
          </w:p>
          <w:p>
            <w:pPr>
              <w:pStyle w:val="TableContents"/>
              <w:bidi w:val="0"/>
              <w:spacing w:before="0" w:after="15"/>
              <w:jc w:val="center"/>
              <w:rPr>
                <w:rFonts w:ascii="Times New Roman" w:hAnsi="Times New Roman"/>
                <w:color w:val="000000"/>
                <w:sz w:val="16"/>
              </w:rPr>
            </w:pPr>
            <w:r>
              <w:rPr>
                <w:rFonts w:ascii="Times New Roman" w:hAnsi="Times New Roman"/>
                <w:color w:val="000000"/>
                <w:sz w:val="16"/>
              </w:rPr>
              <w:t>incorporation or organization)</w:t>
            </w:r>
          </w:p>
        </w:tc>
        <w:tc>
          <w:tcPr>
            <w:tcW w:w="1441" w:type="dxa"/>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(I.R.S. Employer</w:t>
              <w:br/>
              <w:t>Identification No.)</w:t>
            </w:r>
          </w:p>
        </w:tc>
      </w:tr>
      <w:tr>
        <w:trPr/>
        <w:tc>
          <w:tcPr>
            <w:tcW w:w="2866" w:type="dxa"/>
            <w:tcBorders/>
            <w:vAlign w:val="center"/>
          </w:tcPr>
          <w:p>
            <w:pPr>
              <w:pStyle w:val="TableContents"/>
              <w:bidi w:val="0"/>
              <w:spacing w:before="0" w:after="15"/>
              <w:jc w:val="center"/>
              <w:rPr/>
            </w:pPr>
            <w:r>
              <w:rPr/>
              <w:t> </w:t>
            </w:r>
          </w:p>
        </w:tc>
        <w:tc>
          <w:tcPr>
            <w:tcW w:w="1441" w:type="dxa"/>
            <w:tcBorders/>
            <w:vAlign w:val="center"/>
          </w:tcPr>
          <w:p>
            <w:pPr>
              <w:pStyle w:val="TableContents"/>
              <w:bidi w:val="0"/>
              <w:spacing w:before="0" w:after="283"/>
              <w:jc w:val="center"/>
              <w:rPr/>
            </w:pPr>
            <w:r>
              <w:rPr/>
              <w:t> </w:t>
            </w:r>
          </w:p>
        </w:tc>
      </w:tr>
      <w:tr>
        <w:trPr/>
        <w:tc>
          <w:tcPr>
            <w:tcW w:w="2866" w:type="dxa"/>
            <w:tcBorders/>
            <w:vAlign w:val="center"/>
          </w:tcPr>
          <w:p>
            <w:pPr>
              <w:pStyle w:val="TableContents"/>
              <w:bidi w:val="0"/>
              <w:spacing w:before="0" w:after="15"/>
              <w:jc w:val="center"/>
              <w:rPr>
                <w:rFonts w:ascii="Times New Roman" w:hAnsi="Times New Roman"/>
                <w:color w:val="000000"/>
                <w:sz w:val="18"/>
              </w:rPr>
            </w:pPr>
            <w:r>
              <w:rPr>
                <w:rFonts w:ascii="Times New Roman" w:hAnsi="Times New Roman"/>
                <w:color w:val="000000"/>
                <w:sz w:val="18"/>
              </w:rPr>
              <w:t>3000 Pegasus Park Dr. Ste 1430</w:t>
            </w:r>
          </w:p>
          <w:p>
            <w:pPr>
              <w:pStyle w:val="TableContents"/>
              <w:bidi w:val="0"/>
              <w:spacing w:before="0" w:after="15"/>
              <w:jc w:val="center"/>
              <w:rPr>
                <w:rFonts w:ascii="Times New Roman" w:hAnsi="Times New Roman"/>
                <w:sz w:val="20"/>
              </w:rPr>
            </w:pPr>
            <w:r>
              <w:rPr>
                <w:rFonts w:ascii="Times New Roman" w:hAnsi="Times New Roman"/>
                <w:color w:val="000000"/>
                <w:sz w:val="18"/>
              </w:rPr>
              <w:t>Dallas, Texas</w:t>
            </w:r>
            <w:r>
              <w:rPr>
                <w:rFonts w:ascii="Times New Roman" w:hAnsi="Times New Roman"/>
                <w:color w:val="000000"/>
                <w:sz w:val="20"/>
              </w:rPr>
              <w:t xml:space="preserve"> </w:t>
            </w:r>
          </w:p>
        </w:tc>
        <w:tc>
          <w:tcPr>
            <w:tcW w:w="1441"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75247</w:t>
            </w:r>
          </w:p>
        </w:tc>
      </w:tr>
      <w:tr>
        <w:trPr/>
        <w:tc>
          <w:tcPr>
            <w:tcW w:w="2866" w:type="dxa"/>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(Address of principal executive offices)</w:t>
            </w:r>
          </w:p>
        </w:tc>
        <w:tc>
          <w:tcPr>
            <w:tcW w:w="1441" w:type="dxa"/>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(Zip Code)</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Registrant’s telephone number, including area code: (214) 612-0000</w:t>
      </w:r>
    </w:p>
    <w:p>
      <w:pPr>
        <w:pStyle w:val="TextBody"/>
        <w:pBdr>
          <w:bottom w:val="single" w:sz="4" w:space="1" w:color="000000"/>
        </w:pBdr>
        <w:bidi w:val="0"/>
        <w:spacing w:before="60" w:after="283"/>
        <w:jc w:val="center"/>
        <w:rPr/>
      </w:pPr>
      <w:r>
        <w:rPr/>
        <w:t> </w:t>
      </w:r>
    </w:p>
    <w:p>
      <w:pPr>
        <w:pStyle w:val="TextBody"/>
        <w:bidi w:val="0"/>
        <w:jc w:val="left"/>
        <w:rPr>
          <w:rFonts w:ascii="Times New Roman" w:hAnsi="Times New Roman"/>
          <w:sz w:val="20"/>
        </w:rPr>
      </w:pPr>
      <w:r>
        <w:rPr>
          <w:rFonts w:ascii="Times New Roman" w:hAnsi="Times New Roman"/>
          <w:color w:val="000000"/>
          <w:sz w:val="16"/>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690" w:type="dxa"/>
        <w:jc w:val="left"/>
        <w:tblInd w:w="0" w:type="dxa"/>
        <w:tblLayout w:type="fixed"/>
        <w:tblCellMar>
          <w:top w:w="28" w:type="dxa"/>
          <w:left w:w="28" w:type="dxa"/>
          <w:bottom w:w="28" w:type="dxa"/>
          <w:right w:w="28" w:type="dxa"/>
        </w:tblCellMar>
      </w:tblPr>
      <w:tblGrid>
        <w:gridCol w:w="3346"/>
        <w:gridCol w:w="146"/>
        <w:gridCol w:w="826"/>
        <w:gridCol w:w="146"/>
        <w:gridCol w:w="3226"/>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33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Trading</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2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Name of each exchange on which registered</w:t>
            </w:r>
          </w:p>
        </w:tc>
      </w:tr>
      <w:tr>
        <w:trPr/>
        <w:tc>
          <w:tcPr>
            <w:tcW w:w="334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$0.00001 per share</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TSHA</w:t>
            </w:r>
          </w:p>
        </w:tc>
        <w:tc>
          <w:tcPr>
            <w:tcW w:w="146" w:type="dxa"/>
            <w:tcBorders/>
            <w:vAlign w:val="center"/>
          </w:tcPr>
          <w:p>
            <w:pPr>
              <w:pStyle w:val="TableContents"/>
              <w:bidi w:val="0"/>
              <w:spacing w:before="0" w:after="283"/>
              <w:jc w:val="center"/>
              <w:rPr/>
            </w:pPr>
            <w:r>
              <w:rPr/>
              <w:t> </w:t>
            </w:r>
          </w:p>
        </w:tc>
        <w:tc>
          <w:tcPr>
            <w:tcW w:w="322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Indicate by check mark if the registrant is a well-known seasoned issuer, as defined in Rule 405 of the Securities Act. Yes </w:t>
      </w:r>
      <w:r>
        <w:rPr>
          <w:rFonts w:ascii="Times New Roman" w:hAnsi="Times New Roman"/>
          <w:color w:val="000000"/>
          <w:sz w:val="20"/>
        </w:rPr>
        <w:t xml:space="preserve">☐ </w:t>
      </w:r>
      <w:r>
        <w:rPr>
          <w:rFonts w:ascii="Times New Roman" w:hAnsi="Times New Roman"/>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if the registrant is not required to file reports pursuant to Section 13 or Section 15(d) of the Act. Yes </w:t>
      </w:r>
      <w:r>
        <w:rPr>
          <w:rFonts w:ascii="Times New Roman" w:hAnsi="Times New Roman"/>
          <w:color w:val="000000"/>
          <w:sz w:val="20"/>
        </w:rPr>
        <w:t xml:space="preserve">☐ </w:t>
      </w:r>
      <w:r>
        <w:rPr>
          <w:rFonts w:ascii="Times New Roman" w:hAnsi="Times New Roman"/>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w:t>
      </w:r>
      <w:r>
        <w:rPr>
          <w:rFonts w:ascii="Times New Roman" w:hAnsi="Times New Roman"/>
          <w:color w:val="000000"/>
          <w:sz w:val="20"/>
        </w:rPr>
        <w:t xml:space="preserve"> “</w:t>
      </w:r>
      <w:r>
        <w:rPr>
          <w:rFonts w:ascii="Times New Roman" w:hAnsi="Times New Roman"/>
          <w:color w:val="000000"/>
          <w:sz w:val="18"/>
        </w:rPr>
        <w:t>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6"/>
        </w:rPr>
        <w:t>As of June 30, 2023, the aggregate market value of the common stock of the registrant held by non-affiliates was: $30.4</w:t>
      </w:r>
      <w:r>
        <w:rPr>
          <w:rFonts w:ascii="Times New Roman" w:hAnsi="Times New Roman"/>
          <w:color w:val="000000"/>
          <w:sz w:val="20"/>
        </w:rPr>
        <w:t xml:space="preserve"> </w:t>
      </w:r>
      <w:r>
        <w:rPr>
          <w:rFonts w:ascii="Times New Roman" w:hAnsi="Times New Roman"/>
          <w:color w:val="000000"/>
          <w:sz w:val="16"/>
        </w:rPr>
        <w:t>million.</w:t>
      </w:r>
    </w:p>
    <w:p>
      <w:pPr>
        <w:pStyle w:val="TextBody"/>
        <w:bidi w:val="0"/>
        <w:spacing w:before="60" w:after="283"/>
        <w:jc w:val="left"/>
        <w:rPr>
          <w:rFonts w:ascii="Times New Roman" w:hAnsi="Times New Roman"/>
          <w:sz w:val="20"/>
        </w:rPr>
      </w:pPr>
      <w:r>
        <w:rPr>
          <w:rFonts w:ascii="Times New Roman" w:hAnsi="Times New Roman"/>
          <w:color w:val="000000"/>
          <w:sz w:val="16"/>
        </w:rPr>
        <w:t>As of March 19, 2024, the registrant</w:t>
      </w:r>
      <w:r>
        <w:rPr>
          <w:rFonts w:ascii="Times New Roman" w:hAnsi="Times New Roman"/>
          <w:color w:val="000000"/>
          <w:sz w:val="20"/>
        </w:rPr>
        <w:t xml:space="preserve"> </w:t>
      </w:r>
      <w:r>
        <w:rPr>
          <w:rFonts w:ascii="Times New Roman" w:hAnsi="Times New Roman"/>
          <w:color w:val="000000"/>
          <w:sz w:val="16"/>
        </w:rPr>
        <w:t>had 187,018,275</w:t>
      </w:r>
      <w:r>
        <w:rPr>
          <w:rFonts w:ascii="Times New Roman" w:hAnsi="Times New Roman"/>
          <w:color w:val="000000"/>
          <w:sz w:val="20"/>
        </w:rPr>
        <w:t xml:space="preserve"> </w:t>
      </w:r>
      <w:r>
        <w:rPr>
          <w:rFonts w:ascii="Times New Roman" w:hAnsi="Times New Roman"/>
          <w:color w:val="000000"/>
          <w:sz w:val="16"/>
        </w:rPr>
        <w:t>shares of common stock, $0.00001 par value per share, outstanding.</w:t>
      </w:r>
    </w:p>
    <w:p>
      <w:pPr>
        <w:pStyle w:val="TextBody"/>
        <w:bidi w:val="0"/>
        <w:spacing w:before="60" w:after="283"/>
        <w:jc w:val="center"/>
        <w:rPr/>
      </w:pPr>
      <w:r>
        <w:rPr/>
        <w:t> </w:t>
      </w:r>
    </w:p>
    <w:p>
      <w:pPr>
        <w:pStyle w:val="TextBody"/>
        <w:bidi w:val="0"/>
        <w:spacing w:before="60" w:after="283"/>
        <w:jc w:val="center"/>
        <w:rPr>
          <w:rFonts w:ascii="Times New Roman" w:hAnsi="Times New Roman"/>
          <w:color w:val="000000"/>
          <w:sz w:val="16"/>
        </w:rPr>
      </w:pPr>
      <w:r>
        <w:rPr>
          <w:rFonts w:ascii="Times New Roman" w:hAnsi="Times New Roman"/>
          <w:color w:val="000000"/>
          <w:sz w:val="16"/>
        </w:rPr>
        <w:t>DOCUMENTS INCORPORATED BY REFERENCE</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Portions of the registrant’s definitive Proxy Statement relating to the 2024 Annual Meeting of Stockholders are incorporated herein by reference in Part III of this Annual Report on Form 10-K. The Proxy Statement will be filed with the Securities and Exchange Commission within 120 days after the year ended December 31, 2023.</w:t>
      </w:r>
    </w:p>
    <w:p>
      <w:pPr>
        <w:pStyle w:val="TextBody"/>
        <w:pBdr>
          <w:bottom w:val="double" w:sz="6" w:space="1" w:color="000000"/>
        </w:pBdr>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04"/>
        <w:gridCol w:w="8789"/>
        <w:gridCol w:w="512"/>
      </w:tblGrid>
      <w:tr>
        <w:trPr/>
        <w:tc>
          <w:tcPr>
            <w:tcW w:w="904" w:type="dxa"/>
            <w:tcBorders/>
            <w:vAlign w:val="center"/>
          </w:tcPr>
          <w:p>
            <w:pPr>
              <w:pStyle w:val="TableContents"/>
              <w:bidi w:val="0"/>
              <w:spacing w:before="0" w:after="283"/>
              <w:jc w:val="left"/>
              <w:rPr>
                <w:sz w:val="4"/>
                <w:szCs w:val="4"/>
              </w:rPr>
            </w:pPr>
            <w:r>
              <w:rPr>
                <w:sz w:val="4"/>
                <w:szCs w:val="4"/>
              </w:rPr>
            </w:r>
          </w:p>
        </w:tc>
        <w:tc>
          <w:tcPr>
            <w:tcW w:w="878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b/>
                  <w:color w:val="0000FF"/>
                  <w:sz w:val="20"/>
                  <w:u w:val="single"/>
                </w:rPr>
                <w:t>PART I</w:t>
              </w:r>
            </w:hyperlink>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_1">
              <w:r>
                <w:rPr>
                  <w:rStyle w:val="InternetLink"/>
                  <w:rFonts w:ascii="Times New Roman" w:hAnsi="Times New Roman"/>
                  <w:color w:val="0000FF"/>
                  <w:sz w:val="20"/>
                  <w:u w:val="single"/>
                </w:rPr>
                <w:t>Business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_1">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1B.</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_unresolved_staff_comments_1">
              <w:r>
                <w:rPr>
                  <w:rStyle w:val="InternetLink"/>
                  <w:rFonts w:ascii="Times New Roman" w:hAnsi="Times New Roman"/>
                  <w:color w:val="0000FF"/>
                  <w:sz w:val="20"/>
                  <w:u w:val="single"/>
                </w:rPr>
                <w:t>Unresolved Staff Comments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1C.</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_1">
              <w:r>
                <w:rPr>
                  <w:rStyle w:val="InternetLink"/>
                  <w:rFonts w:ascii="Times New Roman" w:hAnsi="Times New Roman"/>
                  <w:color w:val="0000FF"/>
                  <w:sz w:val="20"/>
                  <w:u w:val="single"/>
                </w:rPr>
                <w:t>Properties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_1">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_1">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b/>
                  <w:color w:val="0000FF"/>
                  <w:sz w:val="20"/>
                  <w:u w:val="single"/>
                </w:rPr>
                <w:t>PART II</w:t>
              </w:r>
            </w:hyperlink>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common_equ">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
              <w:r>
                <w:rPr>
                  <w:rStyle w:val="InternetLink"/>
                  <w:rFonts w:ascii="Times New Roman" w:hAnsi="Times New Roman"/>
                  <w:color w:val="0000FF"/>
                  <w:sz w:val="20"/>
                  <w:u w:val="single"/>
                </w:rPr>
                <w:t>Reserved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s_discussion_analysis_f">
              <w:r>
                <w:rPr>
                  <w:rStyle w:val="InternetLink"/>
                  <w:rFonts w:ascii="Times New Roman" w:hAnsi="Times New Roman"/>
                  <w:color w:val="0000FF"/>
                  <w:sz w:val="20"/>
                  <w:u w:val="single"/>
                </w:rPr>
                <w:t>Management’s Discussion and Analysis of Financial Condition and Results of Operation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7A.</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qualitative_disclos">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8.</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inancial_statements_supplementar">
              <w:r>
                <w:rPr>
                  <w:rStyle w:val="InternetLink"/>
                  <w:rFonts w:ascii="Times New Roman" w:hAnsi="Times New Roman"/>
                  <w:color w:val="0000FF"/>
                  <w:sz w:val="20"/>
                  <w:u w:val="single"/>
                </w:rPr>
                <w:t>Financial Statements and Supplementary Data</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F-1</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_in_disagreements_with_acc">
              <w:r>
                <w:rPr>
                  <w:rStyle w:val="InternetLink"/>
                  <w:rFonts w:ascii="Times New Roman" w:hAnsi="Times New Roman"/>
                  <w:color w:val="0000FF"/>
                  <w:sz w:val="20"/>
                  <w:u w:val="single"/>
                </w:rPr>
                <w:t>Changes in and Disagreements With Accountants on Accounting and Financial Disclosure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9A.</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procedures">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9B.</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b_o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9C.</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item_9c_disclosure_regarding_foreign">
              <w:r>
                <w:rPr>
                  <w:rStyle w:val="InternetLink"/>
                  <w:rFonts w:ascii="Times New Roman" w:hAnsi="Times New Roman"/>
                  <w:color w:val="0000FF"/>
                  <w:sz w:val="20"/>
                  <w:u w:val="single"/>
                </w:rPr>
                <w:t>Disclosure Regarding Foreign Jurisdiction that Prevent Inspections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i">
              <w:r>
                <w:rPr>
                  <w:rStyle w:val="InternetLink"/>
                  <w:rFonts w:ascii="Times New Roman" w:hAnsi="Times New Roman"/>
                  <w:b/>
                  <w:color w:val="0000FF"/>
                  <w:sz w:val="20"/>
                  <w:u w:val="single"/>
                </w:rPr>
                <w:t>PART III</w:t>
              </w:r>
            </w:hyperlink>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10.</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ficers_corpo">
              <w:r>
                <w:rPr>
                  <w:rStyle w:val="InternetLink"/>
                  <w:rFonts w:ascii="Times New Roman" w:hAnsi="Times New Roman"/>
                  <w:color w:val="0000FF"/>
                  <w:sz w:val="20"/>
                  <w:u w:val="single"/>
                </w:rPr>
                <w:t>Directors, Executive Officers and Corporate Governance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11.</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12.</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_certain_benef">
              <w:r>
                <w:rPr>
                  <w:rStyle w:val="InternetLink"/>
                  <w:rFonts w:ascii="Times New Roman" w:hAnsi="Times New Roman"/>
                  <w:color w:val="0000FF"/>
                  <w:sz w:val="20"/>
                  <w:u w:val="single"/>
                </w:rPr>
                <w:t>Security Ownership of Certain Beneficial Owners and Management and Related Stockholder Matters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13.</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_related_tr">
              <w:r>
                <w:rPr>
                  <w:rStyle w:val="InternetLink"/>
                  <w:rFonts w:ascii="Times New Roman" w:hAnsi="Times New Roman"/>
                  <w:color w:val="0000FF"/>
                  <w:sz w:val="20"/>
                  <w:u w:val="single"/>
                </w:rPr>
                <w:t>Certain Relationships and Related Transactions, and Director Independence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14.</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ant_fees_servic">
              <w:r>
                <w:rPr>
                  <w:rStyle w:val="InternetLink"/>
                  <w:rFonts w:ascii="Times New Roman" w:hAnsi="Times New Roman"/>
                  <w:color w:val="0000FF"/>
                  <w:sz w:val="20"/>
                  <w:u w:val="single"/>
                </w:rPr>
                <w:t>Principal Accounting Fees and Services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v">
              <w:r>
                <w:rPr>
                  <w:rStyle w:val="InternetLink"/>
                  <w:rFonts w:ascii="Times New Roman" w:hAnsi="Times New Roman"/>
                  <w:b/>
                  <w:color w:val="0000FF"/>
                  <w:sz w:val="20"/>
                  <w:u w:val="single"/>
                </w:rPr>
                <w:t>PART IV</w:t>
              </w:r>
            </w:hyperlink>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15.</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_sch">
              <w:r>
                <w:rPr>
                  <w:rStyle w:val="InternetLink"/>
                  <w:rFonts w:ascii="Times New Roman" w:hAnsi="Times New Roman"/>
                  <w:color w:val="0000FF"/>
                  <w:sz w:val="20"/>
                  <w:u w:val="single"/>
                </w:rPr>
                <w:t>Exhibits and Financial Statement Schedules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16.</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Times New Roman" w:hAnsi="Times New Roman"/>
                  <w:color w:val="0000FF"/>
                  <w:sz w:val="20"/>
                  <w:u w:val="single"/>
                </w:rPr>
                <w:t>Form 10-K Summary</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_1">
              <w:r>
                <w:rPr>
                  <w:rStyle w:val="InternetLink"/>
                  <w:rFonts w:ascii="Times New Roman" w:hAnsi="Times New Roman"/>
                  <w:color w:val="0000FF"/>
                  <w:sz w:val="20"/>
                  <w:u w:val="single"/>
                </w:rPr>
                <w:t>Signatures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CAUTIONARY NOTICE 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Annual Report on Form 10-K, or this Annual Report, contains forward-looking statements within the meaning of Section 27A of the Securities Act of 1933, as amended, and Section 21E of the Securities Exchange Act of 1934, as amended, or the Exchange Act, that involve substantial risks and uncertainties. The forward-looking statements are contained principally in Part I, Item 1. “Business,” Part I, Item 1A. “Risk Factors,” and Part II, Item 7. “Management’s Discussion and Analysis of Financial Condition and Results of Operations,” but are also contained elsewhere in this Annual Report. In some cases, you can identify forward-looking statements by the words “may,” “might,” “will,” “could,” “would,” “should,” “expect,” “intend,” “plan,” “objective,” “anticipate,” “believe,” “estimate,” “predict,” “project,” “potential,” “continue” and “ongoing,” or the negative of these terms, or other comparable terminology intended to identify statements about the future. These statements involve known and unknown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Annual Report, we caution you that these statements are based on a combination of facts and factors currently known by us and our expectations of the future, about which we cannot be certain. Forward-looking statements include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progress and results of our preclinical studies and clinical trials of our product candidates, including statements regarding the timing of initiation and completion of studies or trials and related preparatory work, the period during which the results of the trials will become available and our research and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our planned Investigational New Drug and Clinical Trial Agreement submissions, initiation of clinical trials and timing of expected clinical results for TSHA-102 for Rett and any other current and future product candidates that we advance;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any submission of filings for regulatory approval of, and our ability to obtain and maintain regulatory approvals for, our current and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identify patients with the diseases treated by our product candidates, and to enroll patients in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size of the patient populations, market acceptance and opportunity for and clinical utility of our product candidates, if approved for commercial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manufacturing capabilities and strategy, including the scalability and commercial viability of our manufacturing methods and processes;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scope of any approved indication for, TSHA-102 or any other current or future product candidate that we advance;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commercialize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leverage our platform, including our next-generation technologies, to identify and develop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of our expenses, ongoing losses, future revenue, capital requirements and our need for or ability to obtain additional funding before we can expect to generate any revenue from product sales;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or maintain collaborations or strategic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identify, recruit and retain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upon intellectual property licensed from third parties and our ability to obtain such licenses on commercially reasonable terms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protect and enforce our intellectual property position for our product candidates, and the scope of such protection;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comply with the terms of our term loan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competitive position and the development of and projections relating to our competitors or our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regarding future revenue, expenses and needs for additional financing;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time during which we will be an emerging growth company under the JOBS Act.</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should refer to “Item 1A. Risk Factors” in this Annual Report for a discussion of important factors that may cause our actual results to differ materially from those expressed or implied by our forward-looking statements. As a result of these factors, we cannot assure you that the forward-looking statements in this Annual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The forward-looking statements in this Annual Report represent our views as of the date of this Annual Report. We anticipate that subsequent events and developments may cause our views to change. However, while we may elect to update these forward-looking statements at some point in the future, we undertake no obligation to publicly update any forward-looking statements, whether as a result of new information, future events or otherwise, except as required by law. You should, therefore, not rely on these forward-looking statements as representing our views as of any date subsequent to the date of this Annual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should read this report and the documents that we reference in this report, completely and with the understanding that our actual future results may be materially different from what we expect. We qualify all of our forward-looking statements by these cautionary statements.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All brand names or trademarks appearing in this Annual Report are the property of their respective owners. Solely for convenience, the trademarks and trade names in this Annual Report are referred to without the symbols </w:t>
      </w:r>
      <w:r>
        <w:rPr>
          <w:rFonts w:ascii="Times New Roman" w:hAnsi="Times New Roman"/>
          <w:color w:val="000000"/>
          <w:sz w:val="13"/>
        </w:rPr>
        <w:t xml:space="preserve">® </w:t>
      </w:r>
      <w:r>
        <w:rPr>
          <w:rFonts w:ascii="Times New Roman" w:hAnsi="Times New Roman"/>
          <w:color w:val="000000"/>
          <w:sz w:val="20"/>
        </w:rPr>
        <w:t xml:space="preserve">and </w:t>
      </w:r>
      <w:r>
        <w:rPr>
          <w:rFonts w:ascii="Times New Roman" w:hAnsi="Times New Roman"/>
          <w:color w:val="000000"/>
          <w:sz w:val="13"/>
        </w:rPr>
        <w:t>TM</w:t>
      </w:r>
      <w:r>
        <w:rPr>
          <w:rFonts w:ascii="Times New Roman" w:hAnsi="Times New Roman"/>
          <w:color w:val="000000"/>
          <w:sz w:val="20"/>
        </w:rPr>
        <w:t xml:space="preserve">, but such references should not be construed as any indication that their respective owners will not assert, to the fullest extent under applicable law, their rights thereto.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Unless the context requires otherwise, references in this report to “Taysha,” the “Company,” “we,” “us,” and “our” refer to Taysha Gene Therapies, Inc. together with its consolidated subsidiaries.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
      <w:bookmarkEnd w:id="2"/>
      <w:r>
        <w:rPr>
          <w:rFonts w:ascii="Times New Roman" w:hAnsi="Times New Roman"/>
          <w:b/>
          <w:color w:val="000000"/>
          <w:sz w:val="20"/>
        </w:rPr>
        <w:t>PART I</w:t>
      </w:r>
    </w:p>
    <w:p>
      <w:pPr>
        <w:pStyle w:val="TextBody"/>
        <w:bidi w:val="0"/>
        <w:spacing w:before="240" w:after="283"/>
        <w:jc w:val="left"/>
        <w:rPr>
          <w:rFonts w:ascii="Times New Roman" w:hAnsi="Times New Roman"/>
          <w:b/>
          <w:color w:val="000000"/>
          <w:sz w:val="20"/>
        </w:rPr>
      </w:pPr>
      <w:bookmarkStart w:id="3" w:name="item_1_business_1"/>
      <w:bookmarkEnd w:id="3"/>
      <w:r>
        <w:rPr>
          <w:rFonts w:ascii="Times New Roman" w:hAnsi="Times New Roman"/>
          <w:b/>
          <w:color w:val="000000"/>
          <w:sz w:val="20"/>
        </w:rPr>
        <w:t>Item 1. Business.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biotechnology company focused on advancing AAV-based gene therapies for the treatment of severe monogenic diseases of the central nervous system, or CNS. Our lead clinical program TSHA-102 is in development for the treatment of Rett syndrome, a rare neurodevelopmental disorder with no approved disease-modifying therapies that address the genetic root cause of the disease. With a singular focus on developing transformative medicines, we aim to address severe unmet medical needs and dramatically improve the lives of patients and their caregivers. Our management team has proven experience in gene therapy development and commercialization. We leverage this experience, our manufacturing process and a clinically and commercially proven AAV9 capsid in an effort to rapidly translate treatments from bench to bedside. In March 2022, we announced strategic pipeline prioritization initiatives focused on giant axonal neuropathy, or GAN, and Rett syndrome, and we have subsequently further paused substantially all other research and development activities to increase operational efficiency. Further, in September 2023, we announced that subsequent to the receipt of Type C meeting feedback from the United States Food and Drug Administration, or FDA, regarding a registrational path for TSHA-120, we were discontinuing the development of our TSHA-120 program in evaluation for the treatment of GAN. We initiated the transfer of the FDA Investigational New Drug, or IND, application and investigational clinical trial material for TSHA-120 in GAN to clinical trial collaborator National Institute of Neurological Disorders and Stroke (NINDS), creating an opportunity for continued clinical evaluation of TSHA-120 in GAN. Additionally, we initiated discussions with the originating advocacy organization regarding TSHA-120 in an effort to transfer rights back to the advocacy organization to move the program forward.</w:t>
      </w:r>
    </w:p>
    <w:p>
      <w:pPr>
        <w:pStyle w:val="TextBody"/>
        <w:bidi w:val="0"/>
        <w:spacing w:before="240" w:after="283"/>
        <w:jc w:val="left"/>
        <w:rPr>
          <w:rFonts w:ascii="Times New Roman" w:hAnsi="Times New Roman"/>
          <w:sz w:val="20"/>
        </w:rPr>
      </w:pPr>
      <w:r>
        <w:rPr>
          <w:rFonts w:ascii="Times New Roman" w:hAnsi="Times New Roman"/>
          <w:color w:val="000000"/>
          <w:sz w:val="20"/>
        </w:rPr>
        <w:t>We are evaluating TSHA-102 in the REVEAL Phase 1/2 adolescent and adult clinical trial, which is a first-in-human, open-label, randomized, dose escalation and dose-expansion, multicenter study evaluating the safety and preliminary efficacy of TSHA-102 in female patients aged 12-years and older with Rett syndrome. The trial is taking place in Canada and the United States. We dosed the first two adult patients with Rett syndrome in 2023. There have been no treatment-emergent serious adverse events as of the 35-week assessment post-treatment for the first Rett adult patient treated. In addition, there have been no treatment-emergent serious adverse events as of the 19-week assessment post-treatment for the second Rett adult patient treated. In February 2024, the Independent Data Monitoring Committee, or IDMC, approved the Company’s request to proceed to dose escalation, enabling earlier advancement to cohort 2 evaluating the high dose of TSHA-102 (1x10</w:t>
      </w:r>
      <w:r>
        <w:rPr>
          <w:rFonts w:ascii="Times New Roman" w:hAnsi="Times New Roman"/>
          <w:color w:val="000000"/>
          <w:sz w:val="13"/>
        </w:rPr>
        <w:t>15</w:t>
      </w:r>
      <w:r>
        <w:rPr>
          <w:rFonts w:ascii="Times New Roman" w:hAnsi="Times New Roman"/>
          <w:color w:val="000000"/>
          <w:sz w:val="20"/>
        </w:rPr>
        <w:t xml:space="preserve"> total vg). Dosing in cohort 1 evaluating the low dose of TSHA-102 (5.7x10</w:t>
      </w:r>
      <w:r>
        <w:rPr>
          <w:rFonts w:ascii="Times New Roman" w:hAnsi="Times New Roman"/>
          <w:color w:val="000000"/>
          <w:sz w:val="13"/>
        </w:rPr>
        <w:t>14</w:t>
      </w:r>
      <w:r>
        <w:rPr>
          <w:rFonts w:ascii="Times New Roman" w:hAnsi="Times New Roman"/>
          <w:color w:val="000000"/>
          <w:sz w:val="20"/>
        </w:rPr>
        <w:t xml:space="preserve"> total vg) in the adolescent and adult trial is now considered complete. In February 2024, we announced the expansion of the ongoing REVEAL Phase 1/2 adolescent and adult trial in Canada into the United States following submission of the adolescent and adult trial protocol to the FDA. We expect to begin dosing the first patient in cohort 2 in the second quarter of 2024, and to report safety and efficacy data from cohort 2 in the second half of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evaluating TSHA-102 in the REVEAL Phase 1/2 pediatric trial, which is a first-in-human, open-label, randomized, dose-escalation and dose-expansion study evaluating the safety and preliminary efficacy of TSHA-102 in pediatric females with Rett syndrome. The trial is taking place in the United States. We submitted a clinical trial application, or CTA, to the United Kingdom’s Medicines and Healthcare Products Regulatory Agency, or MHRA, for pediatric patients with Rett syndrome and submitted an IND application for pediatric patients with Rett syndrome to the FDA for TSHA-102 early in the third quarter of 2023. In August 2023, we received clearance from the FDA on our IND for TSHA-102 in pediatric patients with Rett syndrome and dosed the first Rett syndrome pediatric patient in December 2023. In February 2024, the IDMC provided clearance to dose the second pediatric patient. We expect to begin dosing the second patient in cohort 1 in the first quarter of 2024, and to report initial safety and efficacy data from cohort 1 in mid-2024. We expect to report initial safety and efficacy data from cohort 2 in the second half of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received orphan drug designation and rare pediatric disease designation from the FDA and orphan drug designation from the European Commission for TSHA-102 for the treatment of Rett syndrome. We also received Fast Track Designation from the FDA for TSHA-102 for the treatment of Rett syndrome. We also received CTA clearance from the MHRA in early 2024. In February 2024, we received Innovative Licensing and Access Pathway, or ILAP, designation for TSHA-102 from the U.K. MHRA. The ILAP aims to facilitate patient access to novel treatments by accelerating time to market through opportunities for enhanced engagements with U.K. regulatory authorities and other stakeholders.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Pipeline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focused on discovering, developing and commercializing gene therapies for the treatment of monogenic diseases of the central nervous system (CNS), in both rare and large patient populations. Our primary focus is advancing our lead clinical program in Rett syndrome, while our pipeline of CNS programs offers the potential for additional development opportunities in the future. The stage of development of our Rett syndrome program, including the progress in our ongoing clinical trials, is represented in the below table:</w:t>
      </w:r>
    </w:p>
    <w:p>
      <w:pPr>
        <w:pStyle w:val="TextBody"/>
        <w:bidi w:val="0"/>
        <w:spacing w:before="120" w:after="283"/>
        <w:jc w:val="left"/>
        <w:rPr/>
      </w:pPr>
      <w:r>
        <w:rPr/>
        <w:drawing>
          <wp:inline distT="0" distB="0" distL="0" distR="0">
            <wp:extent cx="5943600" cy="1981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1981200"/>
                    </a:xfrm>
                    <a:prstGeom prst="rect">
                      <a:avLst/>
                    </a:prstGeom>
                  </pic:spPr>
                </pic:pic>
              </a:graphicData>
            </a:graphic>
          </wp:inline>
        </w:drawing>
      </w: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the date of this report, we have deprioritized the company sponsored evaluation of certain clinical-stage programs, including TSHA-120 for GAN, TSHA-105 for SLC13A5, TSHA-118 for CLN1 and TSHA-121 for CLN7, and are seeking external strategic options to potentially enable further development of these programs.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TSHA-102 for Rett Syndrome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TSHA-102 is a self-complementary intrathecally delivered AAV9 gene transfer therapy in clinical evaluation for Rett syndrome, a rare progressive neurodevelopmental disorder caused by mutations in the X-linked MECP2 gene encoding methyl CpG-binding protein 2 (MeCP2), which is essential for regulating neuronal and synaptic function in the brain. The disorder is characterized by loss of communication and hand function, slowing and/or regression of development, motor and respiratory impairment, seizures, intellectual disabilities and shortened life expectancy. Rett syndrome progression is divided into four key stages, beginning with early onset stagnation at 6 to 18 months of age followed by rapid regression, plateau and late motor deterioration. Rett syndrome primarily occurs in females and is one of the most common genetic causes of severe intellectual disability.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as a one-time treatment, TSHA-102 aims to address the genetic root cause of the disease by delivering a functional form of MECP2 to cells in the CNS. The vector is delivered directly to the cerebrospinal fluid via intrathecal administration, which facilitates optimal biodistribution and cell transduction within key regions of the CNS. Because of the risks associated with both under- and over-expression of MeCP2, we have combined high-throughput microRNA (miRNA), profiling and genome mining to create miRNA-Responsive Auto-Regulatory Element (miRARE), our novel miRNA target panel. The miRARE element includes binding sites for endogenous miRNA, which are responsive to MeCP2 levels to prevent overexpression. By utilizing the miRARE technology, TSHA-102 is designed to mediate levels of MeCP2 in the CNS on a cell-by-cell basis without risk of overexpression. By increasing MECP2 levels in MECP2 deficient cells and maintaining healthy levels of MECP2 output of healthy cells, TSHA-102 has demonstrated the ability to produce and maintain safe transgene expression levels in the CNS. (Sinnet, SE, et al. Engineered microRNA-based regulatory element permits safe high-dose miniMECP2 gene therapy in Rett mice. Brain. 2021 awab182.)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Currently, there are no approved disease-modifying therapies that treat the genetic root cause of Rett syndrome, and there is a significant unmet medical need. According to the Rett Syndrome Research Trust, Rett syndrome affects more than 350,000 patients worldwide. The estimated addressable patient population with typical Rett syndrome caused by a pathogenic/likely pathogenic MECP2 mutation is between 15,000 and 20,000 patients in the United States, European Union and United Kingdom.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Phase 1/2 REVEAL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have two Phase 1/2 clinical trials ongoing for TSHA-102: an adolescent/adult study in the United States and Canada and a pediatric study in the United States. In addition, approval has been granted to open a pediatric study in the U.K. The trials are described below: </w:t>
      </w:r>
    </w:p>
    <w:p>
      <w:pPr>
        <w:pStyle w:val="TextBody"/>
        <w:bidi w:val="0"/>
        <w:spacing w:before="240" w:after="283"/>
        <w:jc w:val="center"/>
        <w:rPr/>
      </w:pPr>
      <w:r>
        <w:rPr/>
        <w:drawing>
          <wp:inline distT="0" distB="0" distL="0" distR="0">
            <wp:extent cx="6858000" cy="3324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3324225"/>
                    </a:xfrm>
                    <a:prstGeom prst="rect">
                      <a:avLst/>
                    </a:prstGeom>
                  </pic:spPr>
                </pic:pic>
              </a:graphicData>
            </a:graphic>
          </wp:inline>
        </w:drawing>
      </w:r>
      <w:r>
        <w:rPr/>
        <w:t> </w:t>
      </w:r>
    </w:p>
    <w:p>
      <w:pPr>
        <w:pStyle w:val="TextBody"/>
        <w:bidi w:val="0"/>
        <w:jc w:val="left"/>
        <w:rPr>
          <w:rFonts w:ascii="Times New Roman" w:hAnsi="Times New Roman"/>
          <w:color w:val="000000"/>
          <w:sz w:val="18"/>
        </w:rPr>
      </w:pPr>
      <w:r>
        <w:rPr>
          <w:rFonts w:ascii="Times New Roman" w:hAnsi="Times New Roman"/>
          <w:color w:val="000000"/>
          <w:sz w:val="18"/>
        </w:rPr>
        <w:t>IT – Intrathecal; MTD – Maximum Tolerated Dose; MAD – Maximum Administered Dose.</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We dosed the first adult patient with Rett syndrome in May 2023. The second adult patient was dosed in September 2023. We dosed the first pediatric patient with Rett syndrome in the Phase 1/2 REVEAL Pediatric trial TSHA-102-CL-102 in December 2023. In early 2024, we announced the U.K. MHRA authorized the CTA for TSHA-102 in pediatric patients with Rett syndrome, enabling expansion of our ongoing pediatric trial into the U.K. In February 2024, we announced the expansion of the ongoing REVEAL Phase 1/2 adolescent and adult trial in Canada into the United States. following submission of the adolescent and adult trial protocol to the FDA. TSHA-102 showed a well-tolerated safety profile with no treatment-emergent serious adverse events as of the week 35 post-treatment assessment for the first adult patient and as of the week 19 post-treatment assessment for the second adult patient.</w:t>
      </w:r>
    </w:p>
    <w:p>
      <w:pPr>
        <w:pStyle w:val="TextBody"/>
        <w:bidi w:val="0"/>
        <w:spacing w:before="240" w:after="283"/>
        <w:jc w:val="left"/>
        <w:rPr>
          <w:rFonts w:ascii="Times New Roman" w:hAnsi="Times New Roman"/>
          <w:sz w:val="20"/>
        </w:rPr>
      </w:pPr>
      <w:r>
        <w:rPr>
          <w:rFonts w:ascii="Times New Roman" w:hAnsi="Times New Roman"/>
          <w:color w:val="000000"/>
          <w:sz w:val="20"/>
        </w:rPr>
        <w:t>In cohort 1 of both studies, the first two adult patients and first pediatric patient were dosed with 5.7x10</w:t>
      </w:r>
      <w:r>
        <w:rPr>
          <w:rFonts w:ascii="Times New Roman" w:hAnsi="Times New Roman"/>
          <w:color w:val="000000"/>
          <w:sz w:val="13"/>
        </w:rPr>
        <w:t>14</w:t>
      </w:r>
      <w:r>
        <w:rPr>
          <w:rFonts w:ascii="Times New Roman" w:hAnsi="Times New Roman"/>
          <w:color w:val="000000"/>
          <w:sz w:val="20"/>
        </w:rPr>
        <w:t xml:space="preserve"> total vg. The remaining patients in pediatric cohort 1 will receive this same dose. Following review of available clinical data from the first two dosed adult patients and first dosed pediatric patient showing that TSHA-102 was generally well-tolerated, and in light of the potential for improved benefit at the higher dose (1.0x10</w:t>
      </w:r>
      <w:r>
        <w:rPr>
          <w:rFonts w:ascii="Times New Roman" w:hAnsi="Times New Roman"/>
          <w:color w:val="000000"/>
          <w:sz w:val="13"/>
        </w:rPr>
        <w:t>15</w:t>
      </w:r>
      <w:r>
        <w:rPr>
          <w:rFonts w:ascii="Times New Roman" w:hAnsi="Times New Roman"/>
          <w:color w:val="000000"/>
          <w:sz w:val="20"/>
        </w:rPr>
        <w:t xml:space="preserve"> total vg), in February 2024 the IDMC approved the Company’s request to proceed to dose escalation in the adolescent and adult trial, enabling earlier advancement to cohort 2 evaluating the high dose of TSHA-102. Dosing in cohort 1, the low dose cohort, of the adolescent and adult trial is now considered complete. The IDMC also approved the dosing of the second patient in cohort 1 in the pediatric trial.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maximum tolerated dose or maximum administered dose established in Part A will be administered during dose expansion in Part B. Data from Part A will be assessed by regulatory agencies and the IDMC to determine key elements of Part B of the study, including efficacy endpoints, study duration and the MTD or MAD.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TSHA-102 REVEAL Adolescent / Adult Clinical Trial TSHA-102-CL-101 Safety and Efficacy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Efficacy endpoints include patient assessments performed by clinicians using the Clinical Global Impressions Scale – Improvement, or CGI-I, the Clinical Global Impressions Scale – Severity, or CGI-S, Rett Syndrome Hand Function Scale, or RSHFS, Vineland Adaptive Behavior Scales Third Edition, and Revised Motor Behavior Assessment, or R-MBA. Additional efficacy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endpoints also include patient assessments by caregivers using Parental Global Impressions Improvement, or PGI-I, the Rett Syndrome Behavior Questionnaire, or RSBQ, Seizure Diaries and other clinical assessment scales.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first adult patient has the most advanced stage of Rett syndrome, Stage IV, with a genetic change consisting of a large deletion within the MECP2 gene that is known to cause Rett syndrome. This patient's phenotypic manifestation is severe, having lost all abilities to: walk, stand, and sit without support around age eight (non-ambulatory, wheelchair bound, limited movements of her lower extremities), use her hands around age six (unable to grasp and hold objects of any size) and speak around age two (non-verbal, minimal vocalizations). Per the Principal Investigator, or PI, the first adult patient’s baseline reported seizure frequency was approximately two to four seizures per year. After TSHA-102 administration, the first adult patient has showed a well-tolerated safety profile with no treatment-emergent serious adverse events as of the 35-week safety assessment post-treatment. Per the protocol, prophylactic immunosuppressant therapy began seven days prior to TSHA-102 administration. The first adult patient’s steroid taper was initiated on week 17 and was completed by week 33. At week 25, the patient demonstrated sustained and new improvements across key efficacy assessments at decreased steroid levels compared to earlier post-treatment assessments and the patient was subsequently at physiologic levels within a few days post the week 25 assessment.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35 weeks post-treatment, following completion of the steroid taper, the PI noted that the first adult patient’s improvements observed across multiple clinical domains had been sustained with new improvements as well. These include sustained improvements in motor function, with the gained ability to kick legs against gravity and sit unassisted for the first time in over one decade, including after the steroids have been fully tapered from the patient at week 35 post-treatment, as supported by video evidence. Further sustained improvements from the first adult patient were also observed in motor function, including improved hand function as the patient’s hands were more open, and the improved ability to grasp and hold objects. The PI also observed new improvements in the patient’s socialization/communication skills at week 35 post-treatment, as the patient was more alert and interactive during the day, made more vocalizations, and showed the enhanced ability to use her eye-driven communication device, which caregivers reported she had not expressed interest in before treatment. Specifically, at week 35 post-treatment, the patient was able to use the eye-driven device much more efficiently, with the gained ability to activate functions on the screen of the device. Difficulty in communication, including loss of speech, is one of the most prominent symptoms of Rett syndrome and a key area of concern for caregivers as it interferes with patients’ ability to communicate their needs and express their interests. Further, the first adult patient showed sustained improvements in autonomic function at week 35 post-treatment, including sustained normalized sleep/night-time behaviors for the first time in twenty years, improved breathing patterns with fewer breath holding spells and infrequent hyperventilation compared to before treatment, and improved circulation with hands and feet at a more normal temperature and color. Finally, the PI observed that the patient’s seizures had been overall well controlled through week 35 following treatment at lower levels of anti-seizure medication, relative to baseline, and the patient no longer experienced unprovoked seizures. These observations are supported by data from the Seizure diaries. The PI’s clinical observations are supported by clinical and video evidence as well as caregiver-reported seizure diaries.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second adult patient has the most advanced stage of Rett syndrome, Stage IV, with a missense mutation in the MECP2 gene, which has been reported in over 25 publications to cause Rett syndrome. This patient's phenotypic manifestation is milder than the first adult patient, with partial loss of ambulation (able to walk/stand without support, wide based, slow, unsteady gait) and hand function (with significant stereotypies that emerged by age three, inability to transfer objects between hands). She has been nonverbal since the age of two years old. Per the PI, the second adult patient’s baseline reported seizure frequency was approximately two to four seizures per week. After TSHA-102 administration, the patient has showed a well-tolerated safety profile with no treatment-emergent serious adverse events as of the 19-week safety assessment post-treatment. Tapering of the steroids was initiated on week 17 and is expected to be complete by week 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19-weeks post-treatment, the PI noted that the second adult patient’s improvements observed across multiple clinical domains had been maintained with new improvements at decreased steroid levels relative to earlier post-treatment assessments. These include sustained improvement in motor function, with the patient’s hands more open and relaxed, and improved hand stereotypies, with less forceful hand wringing. These observations from the PI are supported by video evidence. The second adult patient also showed sustained improvements in social/communication skills as she was more interested, engaged and alert, including showing increased response to spoken words and eye contact, as supported by improved social skills on the clinician administered R-MBA scale. The second adult patient also showed sustained improvements in autonomic function, including improved breathing patterns with fewer breath holding spells and infrequent hyperventilation compared to before treatment, and improved circulation, with hands and feet at a more normal temperature and color. Finally, the second adult patient showed pronounced improvements in seizure frequency at week 19 post-treatment, with a significant reduction in seizures at lower levels of anti-seizure medication, relative to baseline. The PI noted that the patient’s epilepsy had been much better controlled following treatment at a lower dose of anti-seizure medication, and has been seizure-free for 17 weeks as of the week 19 post-treatment time point, despite a pre-treatment seizure frequency of approximately two to four seizures per week. The PI’s clinical observations are supported by clinical and video evidence as well as caregiver-reported seizure diaries.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TSHA-102-CL-101 Trial Adult Patient 1 Efficacy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first adult patient showed clinically significant improvement in CGI-S from score of six (severely ill) at baseline to score of five (markedly ill) in this measure four weeks post-TSHA-102 administration and this improvement was sustained through week 25. Similarly, the patient demonstrated sustained improvement in CGI-I and PGI-I as of week 25 assessment post-TSHA-102 administration with scores of two (much improved and much better for CGI-I and PGI-I,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first adult patient dosed with TSHA-102 demonstrated a sustained clinical improvement in RSBQ Total Score at week 25 post-TSHA-102 administration as depicted in the chart below.</w:t>
      </w:r>
    </w:p>
    <w:p>
      <w:pPr>
        <w:pStyle w:val="TextBody"/>
        <w:bidi w:val="0"/>
        <w:spacing w:before="240" w:after="283"/>
        <w:jc w:val="center"/>
        <w:rPr/>
      </w:pPr>
      <w:r>
        <w:rPr/>
        <w:drawing>
          <wp:inline distT="0" distB="0" distL="0" distR="0">
            <wp:extent cx="5353050" cy="27432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353050" cy="2743200"/>
                    </a:xfrm>
                    <a:prstGeom prst="rect">
                      <a:avLst/>
                    </a:prstGeom>
                  </pic:spPr>
                </pic:pic>
              </a:graphicData>
            </a:graphic>
          </wp:inline>
        </w:drawing>
      </w: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Compared to baseline, a 30-point improvement was observed in RSBQ total score at week 25 post TSHA-102 administration. RSBQ changes at week 25 were driven by improvements in hand behaviors, breathing problems, general mood, repetitive face movements, night-time behaviors, fear/anxiety, and body rocking/expressionless face.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shown in the diagram below, the first adult patient started to show notable overall improvements in R-MBA total scores at the week-12 visit. However, the total R-MBA score increased closer to baseline at the week 25 visit where improvements were demonstrated in motor dysfunction and respiratory behaviors.</w:t>
      </w:r>
    </w:p>
    <w:p>
      <w:pPr>
        <w:pStyle w:val="TextBody"/>
        <w:bidi w:val="0"/>
        <w:spacing w:before="240" w:after="283"/>
        <w:jc w:val="center"/>
        <w:rPr/>
      </w:pPr>
      <w:r>
        <w:rPr/>
        <w:drawing>
          <wp:inline distT="0" distB="0" distL="0" distR="0">
            <wp:extent cx="5524500" cy="2905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524500" cy="2905125"/>
                    </a:xfrm>
                    <a:prstGeom prst="rect">
                      <a:avLst/>
                    </a:prstGeom>
                  </pic:spPr>
                </pic:pic>
              </a:graphicData>
            </a:graphic>
          </wp:inline>
        </w:drawing>
      </w: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first adult patient has demonstrated stable seizure events relative to baseline through week 35 post-treatment, based on caregiver-reported medical history, and seizures are confined to periods where phenytoin level declines to &lt;50 μmol/L (previously &lt;100 μmol/L). The first adult patient has been on phenytoin as antiepileptic therapy, which she has continued following treatment with TSHA-102. Prior to treatment and per medical history, the patient required phenytoin levels of &gt;100 µmol/L to control her seizures. The first adult patient had seizures prior to TSHA-102 administration on Day –8 and Day –7, and post-administration she had seizures on Days 45-49 and Day 82 associated with lower than target phenytoin levels. Specifically, the seizures on Days 45-49 corresponded with a phenytoin level of 45.9 µmol/L, and the seizure on Day 82 corresponded with a phenytoin level was 35.9 umol/L.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Loss of hand function is a hallmark characteristic of Rett syndrome and a key area of concern for caregivers. It impacts a patient’s ability to communicate and impedes daily activities, which ultimately limits independence. The RSHFS is a scale designed to evaluate hand function in patients with Rett syndrome. Hand function is evaluated by an experienced independent physical therapist with expertise in evaluating hand function in patients with Rett syndrome. Sessions are videotaped in which the patient’s caregiver offers the patient both large (e.g. a toy, cup, or spoon) and small (e.g. a grape or small piece of sandwich) objects so that she may demonstrate her ability to grasp, pick up, and hold the objects. The independent physical therapist then codes the demonstrated hand function in each video at one of four levels of hand function, ranging from no active grasping of any objects to independent grasping, for the best level for large objects assessment.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first adult patient showed an improvement in RSHFS at 25 weeks post-TSHA-102 administration as depicted in the tables below. As of week 25 following treatment, the first adult patient is using her non-dominant hand for some basic grasping whereas before treatment, she was not able to grasp at all. As of the week 25 assessment, her dominant hand function improved from baseline with the demonstrated ability to grasp of two different objects (spoon and toy) rather than just one object (spoon). These clinical observations reported by the independent physical therapist are supported by video evidence.</w:t>
      </w:r>
    </w:p>
    <w:p>
      <w:pPr>
        <w:pStyle w:val="TextBody"/>
        <w:bidi w:val="0"/>
        <w:spacing w:before="240" w:after="283"/>
        <w:jc w:val="left"/>
        <w:rPr/>
      </w:pPr>
      <w:r>
        <w:rPr/>
        <w:drawing>
          <wp:inline distT="0" distB="0" distL="0" distR="0">
            <wp:extent cx="6858000" cy="24860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858000" cy="2486025"/>
                    </a:xfrm>
                    <a:prstGeom prst="rect">
                      <a:avLst/>
                    </a:prstGeom>
                  </pic:spPr>
                </pic:pic>
              </a:graphicData>
            </a:graphic>
          </wp:inline>
        </w:drawing>
      </w:r>
      <w:r>
        <w:rPr/>
        <w:t> </w:t>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TSHA-102-CL-101 Trial Adult Patient 2 Efficacy Endpoints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the two adult patients dosed to date in our REVEAL trial both have the most advanced stage of Rett syndrome, Stage, IV, they possess different genetic backgrounds and mutation types, which manifest in different phenotypes and clinical severity.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there was no change at 12 weeks post TSHA-102 administration in the second adult patient’s CGI-S score of four (moderately ill) at baseline, her CGI-I and PGI-I scores show sustained improvement (score of three, minimally better and a little better, respectively) at week 12.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second adult patient showed a sustained clinical improvement in RSBQ Total Score 12 weeks post-TSHA-102 administration as depicted in the chart below.</w:t>
      </w:r>
    </w:p>
    <w:p>
      <w:pPr>
        <w:pStyle w:val="TextBody"/>
        <w:bidi w:val="0"/>
        <w:spacing w:before="240" w:after="283"/>
        <w:jc w:val="center"/>
        <w:rPr/>
      </w:pPr>
      <w:r>
        <w:rPr/>
        <w:drawing>
          <wp:inline distT="0" distB="0" distL="0" distR="0">
            <wp:extent cx="5210175" cy="28575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210175" cy="2857500"/>
                    </a:xfrm>
                    <a:prstGeom prst="rect">
                      <a:avLst/>
                    </a:prstGeom>
                  </pic:spPr>
                </pic:pic>
              </a:graphicData>
            </a:graphic>
          </wp:inline>
        </w:drawing>
      </w: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Improvements were documented in several subdomains. Specifically, compared to baseline, improvements were noted in breathing, body rocking, facial expressions, general mood, and repetitive face movements.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second adult patient showed continued improvement in the R-MBA Total Score at 12 weeks post-TSHA-102 administration as depicted in the graph below.</w:t>
      </w:r>
    </w:p>
    <w:p>
      <w:pPr>
        <w:pStyle w:val="TextBody"/>
        <w:bidi w:val="0"/>
        <w:spacing w:before="240" w:after="283"/>
        <w:jc w:val="center"/>
        <w:rPr/>
      </w:pPr>
      <w:r>
        <w:rPr/>
        <w:drawing>
          <wp:inline distT="0" distB="0" distL="0" distR="0">
            <wp:extent cx="5057775" cy="27908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057775" cy="2790825"/>
                    </a:xfrm>
                    <a:prstGeom prst="rect">
                      <a:avLst/>
                    </a:prstGeom>
                  </pic:spPr>
                </pic:pic>
              </a:graphicData>
            </a:graphic>
          </wp:inline>
        </w:drawing>
      </w: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17-point improvement at week 12 was demonstrated in the R-MBA Total Score. Most notable improvements were documented in the following subscales: social skills, respiratory behaviors, seizures, truncal rocking and stereotypic hand movements and/or mouthing, and aberrant behaviors.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Seizure diary demonstrated reduced seizure events relative to baseline through 19-weeks post-treatment for the second adult patient at lower levels of anti-seizure medication, based on caregiver-reported medical history. Pre-treatment, the second adult patient had approximately two to four seizures per week, and there has been a significant reduction in seizures post-treatment with TSHA-102. Post-treatment, the second adult patient had a single seizure event on day 13 as of week 19 post-treatment. The seizure was 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unknown type, with motor manifestations and lasted less than one minute duration. The patient has been seizure-free for 17 weeks as of the week 19 post-treatment time point.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Hand function in the dominant hand for the second adult patient is challenging to interpret due to inconsistency in the video recording. At the week 8 post-treatment assessment, the second adult patient’s dominant hand received a hand function score of four, an independent grasp (pick up and hold) and was able to grasp three objects. Hand function in the second adult patient remained unchanged in the non-dominant hand on the RSHFS 12 weeks post-TSHA-102 treatment. These clinical observations reported by the independent physical therapist are supported by video evidence.</w:t>
      </w:r>
    </w:p>
    <w:p>
      <w:pPr>
        <w:pStyle w:val="TextBody"/>
        <w:bidi w:val="0"/>
        <w:spacing w:before="240" w:after="283"/>
        <w:jc w:val="center"/>
        <w:rPr/>
      </w:pPr>
      <w:r>
        <w:rPr/>
        <w:drawing>
          <wp:inline distT="0" distB="0" distL="0" distR="0">
            <wp:extent cx="6858000" cy="25050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858000" cy="2505075"/>
                    </a:xfrm>
                    <a:prstGeom prst="rect">
                      <a:avLst/>
                    </a:prstGeom>
                  </pic:spPr>
                </pic:pic>
              </a:graphicData>
            </a:graphic>
          </wp:inline>
        </w:drawing>
      </w:r>
      <w:r>
        <w:rPr/>
        <w:t> </w:t>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Deprioritized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previously deprioritized the evaluation of our clinical product candidates TSHA-120 for GAN, TSHA-105 for SLC13A5, TSHA-118 for CLN1 and TSHA-121 for CLN7. Although we are not currently evaluating the potential of TSHA-105, TSHA-118 and TSHA-121, we may again evaluate any of these in the future as a product candidate as a component of our pipeline expansion plans, or pursue partnerships to advance these programs.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TSHA-120 for Giant Axonal Neuropathy (GAN)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GAN is an ultra-rare autosomal recessive, progressive neurodegenerative disease of the central, peripheral and autonomic nervous systems caused by deficiency or complete loss-of-function of gigaxonin and the accumulation of intermediate filaments. Epidemiology studies indicate there are between 1,000 and 1,500 treatable GAN patients in the United States, European Union and United Kingdom.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an early (classical) and late-onset (non-classical) phenotype associated with the disease, with shared pathophysiology due to accumulation of intermediate filaments. Symptoms and features of children with classical GAN usually develop before the age of five years with distal muscle weakness and sensory loss due to axonal sensory motor neuropathy, manifesting as bilateral foot drop and difficulties with fine motor coordination. An abnormal, wide based, unsteady gait due to CNS and cerebellar involvement is also a common initial clinical manifestation. Children with the classical phenotype typically have dull, tightly curled, coarse hair (“kinky” hair), “giant” axons pathognomonic on a nerve biopsy due to accumulation of intermediate filaments, and progressive spinal cord atrophy and white matter abnormalities, initially around the cerebellar dentate nucleus, on MRI images. Symptoms progress and, as the children grow older, they develop progressive proximal muscle weakness, resulting in difficulties raising their arms and standing from the floor or a chair, scoliosis, distal contractures, progressive gait and limb ataxia, leading to loss of ambulation by the second decade. Progressive optic nerve atrophy, seen early in the disease, results in increasing deterioration of visual acuity in later stages and has been more recently described. Indeed, decreased visual acuity was seen at baseline in approximately half of GAN patients aged 3-21 years, enrolled in a natural history study [Brain. 2021 Nov 29;144(10):3239-3250]. Due to increased respiratory muscle weakness and restrictive respiratory failure as a result of severe scoliosis, assisted ventilation is required in adolescents. GAN patients often die during their late teens or early twenties, typically due to respiratory failure.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late-onset, or non-classical, phenotype is often categorized as Charcot-Marie-Tooth Type 2, or CMT2, as it presents as a typical early onset axonal sensory motor neuropathy without the typical kinky hair and CNS involvement of the classical phenotype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and has a relatively slow progression. This phenotype might represent up to 6% of all CMT2 diagnosis. In the late-onset population, patients have poor quality of life and significantly compromised activities of daily living. The disease is life limiting but not as severely as classic GAN. In classic GAN, symptomatic treatments attempt to maximize physical development and minimize the rate of deterioration. Currently, there are no approved disease-modifying therapies available, only palliative treatments.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2021, we acquired the exclusive worldwide rights to a clinical-stage, intrathecally dosed AAV9 gene therapy program, now known as TSHA-120, for the treatment of GAN, pursuant to a license agreement with Hannah’s Hope Fund for Giant Axonal Neuropathy, Inc., or HHF. Under the terms of the agreement, HHF received an upfront payment of $5.5 million and will be eligible to receive clinical, regulatory and commercial milestones totaling up to $19.3 million, as well as a low, single-digit royalty on net sales upon commercialization of TSHA-120. We received orphan drug designation and rare pediatric disease designation from the FDA for TSHA-120 for the treatment of GAN. In April 2022, we received orphan drug designation from the European Commission for TSHA-120 for the treatment of GAN.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2023, subsequent to the receipt of Type C meeting feedback from the FDA regarding a registrational path for TSHA-120, we announced that we discontinued the development of our TSHA-120 program in the evaluation for the treatment of GAN. In January 2024, we initiated the transfer of the FDA IND application and investigational clinical trial material for TSHA-120 in GAN to clinical trial collaborator National Institute of Neurological Disorders and Stroke (NINDS), creating an opportunity for continued clinical evaluation of TSHA-120 in GAN. Additionally, we have entered discussions with the originating advocacy organization regarding TSHA-120 in an effort to transfer rights back to the advocacy organization to move the program forward.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TSHA-118 for CLN1 Disease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CLN1 disease (one of the forms of Batten disease), a lysosomal storage disorder, is a progressive, fatal neurodegenerative disease with early childhood onset that has an estimated incidence of approximately 1 in 138,000 live births worldwide. The estimated prevalence of CLN1 disease is 1,000 patients in the United States and European Union. CLN1 disease is caused by loss-of-function mutations in the CLN1 gene that encodes the enzyme palmitoyl-protein thioesterase-1, a small glycoprotein involved in the degradation of certain lipid-modified proteins. Loss of function mutations in the CLN1 gene causes accumulation of these lipid-modified proteins in cells, eventually leading to aggregation, neuronal cellular dysfunction and ultimately neuronal cell death.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infantile-onset form of CLN1 disease, clinical symptoms appear between six to 24 months and include rapid deterioration of speech and motor function, refractory epilepsy, ataxia and visual failure. Infantile-onset CLN1 patients are typically poorly responsive by five years of age and remain noncommunicative until their death, which usually occurs by seven years of age. Late-infantile-onset CLN1 disease begins between two to four years of age with initial visual and cognitive decline followed by the development of ataxia and myoclonus, or quick, involuntary muscle jerks. Juvenile-onset CLN1 disease patients present between the ages of five to ten years old, with vision loss as a first symptom followed by cognitive decline, seizures and motor decline. Approximately 60% of the children diagnosed with CLN1 disease in the United States present with early-onset infantile forms, with the remaining 40% experiencing later-onset childhood forms.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currently available therapeutic approaches for patients with CLN1 disease are targeted towards the treatment of symptoms, and no disease-modifying therapies have been approved. Gene therapy has shown promise in correcting forms of neuronal ceroid lipofuscinoses diseases that involve mutations in soluble enzymes, in part, due to cross-correction of neighboring non-transduced cells.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believe that the introduction of a functional </w:t>
      </w:r>
      <w:r>
        <w:rPr>
          <w:rFonts w:ascii="Times New Roman" w:hAnsi="Times New Roman"/>
          <w:i/>
          <w:color w:val="000000"/>
          <w:sz w:val="20"/>
        </w:rPr>
        <w:t>CLN1</w:t>
      </w:r>
      <w:r>
        <w:rPr>
          <w:rFonts w:ascii="Times New Roman" w:hAnsi="Times New Roman"/>
          <w:color w:val="000000"/>
          <w:sz w:val="20"/>
        </w:rPr>
        <w:t xml:space="preserve"> gene using an AAV9 vector delivered intrathecally to the CNS offers the potential of a disease-modifying therapeutic approach for this disease. TSHA-118 is a self-complementary AAV9 viral vector that expresses human codon-optimized CLN1 complementary deoxyribonucleic acid under control of the chicken ß-actin hybrid promoter. We acquired exclusive worldwide rights to certain intellectual property rights and know-how relating to the research, development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manufacture of TSHA-118 (formerly ABO-202) in August 2020 pursuant to a license agreement with Abeona Therapeutics Inc., or Abeona.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TSHA-118 has been granted orphan drug designation, rare pediatric disease designation and fast track designation from the FDA and orphan drug designation from the European Medicines Agency for the treatment of CLN1 disease.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currently an open IND for the CLN1 program. We submitted a CTA filing for TSHA-118 which was approved by Health Canada in 2021. Clinical trial material has been manufactured and released and is now ready for use in a clinical trial setting. We provided investigational clinical trial material for TSHA-118 in CLN1 to support an individual-patient investigator-initiated IND request from RUSH University Medical Center for the treatment of a patient with CLN1 disease.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TSHA-105 for SLC13A5 Deficiency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TSHA-105 is a gene replacement therapy in development for the treatment of SLC13A5 deficiency, a rare autosomal recessive epileptic encephalopathy characterized by the onset of seizures within the first few days of life. SLC13A5 deficiency is caused by bi-allelic loss-of function mutations in the SLC13A5 gene, which codes for a sodium dependent citrate transporter, or NaCT, that is largely expressed in the brain and liver. To date, all tested mutations result in no or a greatly reduced amount of the citrate in the cells. Diminished NaCT function leads to loss of neuronal uptake of citrate and other metabolites such as succinate that are critical to brain energy metabolism and function. Affected children have impairments in gross motor function and speech production with relative preservation of fine motor skills and receptive speech. Currently, there are no approved therapies for SLC13A5 deficiency, and treatment is largely to address symptoms. The estimated prevalence of SLC13A5 deficiency is 1,900 patients in the United States and European Union.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TSHA-105 is constructed from a codon-optimized human SLC13A5 gene packaged in a self-complementary AAV9 capsid.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received orphan drug designation and rare pediatric disease designation from the FDA and orphan drug designation from the European Commission for TSHA-105 for the treatment of epilepsy caused by SLC13A5 deficiency. Clinical trial material has been manufactured and released and is now ready for use in a clinical trial setting.</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Taysha has a pipeline of early-stage gene therapy programs targeting CNS diseases that we may progress in the future or advance through potential partnerships.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TSHA-113 for Tauopathies</w:t>
      </w:r>
    </w:p>
    <w:p>
      <w:pPr>
        <w:pStyle w:val="TextBody"/>
        <w:bidi w:val="0"/>
        <w:spacing w:before="120" w:after="283"/>
        <w:jc w:val="left"/>
        <w:rPr>
          <w:rFonts w:ascii="Times New Roman" w:hAnsi="Times New Roman"/>
          <w:sz w:val="20"/>
        </w:rPr>
      </w:pPr>
      <w:r>
        <w:rPr>
          <w:rFonts w:ascii="Times New Roman" w:hAnsi="Times New Roman"/>
          <w:color w:val="000000"/>
          <w:sz w:val="20"/>
        </w:rPr>
        <w:t>We are developing TSHA-113 for the treatment of tauopathies. Tauopathies comprise a large subset of neurodegenerative diseases involving the aggregation of microtubule associated protein tau, or MAPT, protein into neurofibrillary or gliofibrillary tangles in the human brain. These include MAPT-associated frontotemporal dementia, or FTD, progressive supranuclear palsy, or PSP, corticobasal degeneration, or CD, and Alzheimer’s disease. There are an estimated 11,000 patients in United States and Europe affected by MAPT mediated FTD and 2,000 to 2,500 are affected with MAPT-mediated PSP. and CD</w:t>
      </w:r>
      <w:r>
        <w:rPr>
          <w:rFonts w:ascii="Times New Roman" w:hAnsi="Times New Roman"/>
          <w:color w:val="000000"/>
          <w:sz w:val="16"/>
        </w:rPr>
        <w:t>,</w:t>
      </w:r>
      <w:r>
        <w:rPr>
          <w:rFonts w:ascii="Times New Roman" w:hAnsi="Times New Roman"/>
          <w:color w:val="000000"/>
          <w:sz w:val="20"/>
        </w:rPr>
        <w:t xml:space="preserve"> and Alzheimer’s disease affects an estimated 6.2 million Americans and 7.8 million Europeans.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Intrathecal delivery of an antisense oligonucleotide, or ASO, targeting Tau mRNA by Biogen/Ionis in a Phase 1 study demonstrated durable, robust, time and dose dependent lowering of tau protein and phospho-tau in cerebrospinal fluid of Alzheimer’s disease patients. Buoyed by these results, in August 2022, Biogen started a Phase 2 trial in people with mild cognitive impairment or mild dementia due to Alzheimer’s disease. This ASO target validation paved the way for other approaches targeting intercellular tau mRNA (reduce tau protein production), for treating Tauopathies.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Unlike an ASO treatment, which would require repeat lifelong administration, we are developing a one-time treatment for Tauopathies. TSHA-113 is an AAV9 capsid that packages a tau-specific miRNA and is delivered in the cerebrospinal fluid for the treatment of tauopathies. This miRNA targets all six isoforms of tau mRNA.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tested the efficacy of TSHA-113 in PS19 mice, a validated mouse model for tauopathies. These mice express human MAPT, and they exhibit significant tau pathology, neurodegeneration, loss of body weight and progressive hind-limb paralysis around nine to 12 months of age. We tested efficacy of our treatment by delivering TSHA-113 to PS19 mice at three months, six months and nine months of age via intracisterna magna injection. We found that the tau mRNA and protein levels were significantly reduced by TSHA-113 treatment. Consistently, the tau seeding assay showed reduced levels of pathological tau in brains from PS19 mice treated with TSHA-113. In addition, TSHA-113 treatment was able to rescue the survival rate, loss in body weight, and the hind limb clasping phenotype in the PS19 mice when treated at three months, six months and nine months of age. Taken together, these results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demonstrate that a one-time, vectorized delivery of a tau-specific miRNA is a promising approach for treatment for tauopathies. Ongoing and future work is focused on optimal dose determination for IND-enabling studies.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TSHA-106 for Angelman syndrome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developing TSHA-106 for the treatment of Angelman syndrome, a neurodevelopmental disorder caused by a maternal deficiency of the UBE3A gene. Angelman syndrome is characterized by profound developmental delay, ataxia and gait disturbance, sleep disorder, seizures, heightened anxiety, aggression and severe speech impairments. Angelman syndrome affects approximately one per 12,000 to 20,000 patients worldwide.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Angelman syndrome is an imprinting disorder in which the maternal gene is deficient and the paternal copy of UBE3A is intact but silenced by a long non-coding RNA, UBE3A antisense transcript, or UBE3A-ATS. Delivery of an ASO targeting UBE3A-ATS showed promising results in ameliorating Angelman syndrome symptoms in a transgenic mouse model.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in-licensed a novel gene replacement therapy from University of North Carolina. This novel construct is designed to express two isoforms of UBE3A mRNA from the same codon optimized transgene cassette and could potentially be a one-time treatment for the disease. The unique design feature allows short and long hUBE3A isoforms expression at a near-endogenous 3:1 (short/long) ratio, a feature that could help to support optimal therapeutic outcomes. Additionally, this construct uses human Synapsin 1 promoter, to limit UBE3A expression primarily in neurons, the primary therapeutic target for treating Angelman syndrome.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 published study, this dual isoform expressing cassette was packaged into PHP.B capsids and administered by intracerebroventricular injections in neonatal mice models. This treatment significantly improved motor learning and innate behaviors in Angelman syndrome mice (PMID: 34676830). It rendered Angelman syndrome mice resilient to epileptogenesis and associated hippocampal neuropathologies induced by seizure kindling. These results demonstrated the feasibility, tolerability, and therapeutic potential for dual-isoform hUBE3A gene transfer in the treatment of AS in mice.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advance these findings into translatable interventions, our collaborators packaged the dual isoform expressing cassette into AAV9 capsids and undertook animal proof of concept studies. Overall, these results are highly consistent with the published data describing neonatal ICV delivery of a similar dose of the PHP.B/hUBE3Aopt vector (PMID: 34676830) and support continued development. Ongoing and future work is focused on optimal dose and route of administration determination for IND enabling studies.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an estimated 55,000 patients with Angelman syndrome in the United States and Europe.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TSHA-114 for Fragile X Syndrome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developing TSHA-114 for the treatment of Fragile X syndrome, the most common single gene cause of autism and cognitive impairment, affecting about one in 6,000 individuals worldwide. Fragile X syndrome is diagnosed around three years of age and characterized by anxiety, aggression, hyperactivity, attention deficits and sleep and communication disruption.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Fragile X syndrome is caused by a pathological expansion of a CGG triplet repeat in the 5’ untranslated region of the FMR1 gene. Expansion of the triplet above the normal 5–55 repeats to 200 or more causes hypermethylation of the gene promoter, and shutdown of transcription and translation of the encoded protein, fragile X mental retardation protein, or FMRP. The expanded repeat also induces formation of RNA: DNA heteroduplexes that induces epigenetic gene silencing. Although most patients with Fragile X syndrome do not express FMRP, some individuals with the full mutation produce low amounts of the protein (less than 10% of normal levels). FMRP expression in unaffected persons varies greatly from person to person. Current pharmacotherapeutic treatments for Fragile X syndrome are solely directed towards symptom relief.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conducted proof of concept studies in animal models of Fragile X (Fmr1 KO) with TSHA-114. No significant adverse effects were observed in behavioral, serological or pathohistological markers up to 12 months after intrathecal administration of TSHA-114 in wild-type mice. TSHA-114 treated FMRKO showed widespread FMRP expression was observed throughout brain post administration. TSHA-114 treated FMRKO mice showed robust suppression of audiogenic seizures and normalization of fear conditioning behavior. In addition, assessment of circadian locomotor activity revealed restoration of hyperactivity and sleep. Assessment of transgene expression and behavioral responses in individual mice demonstrated correlations between the level of FMRP expression and potential drug efficacy.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results from the study support continued development. Ongoing and future work is focused on optimal dose and route of administration determination for IND enabling studies.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an estimated 75,000 patients with Fragile X syndrome in the United States and Europe.</w:t>
      </w:r>
    </w:p>
    <w:p>
      <w:pPr>
        <w:pStyle w:val="TextBody"/>
        <w:bidi w:val="0"/>
        <w:spacing w:before="36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License Agreements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Collaboration and License Agreement with The University of Texas Southwestern Medical Center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2019, we entered into a research, collaboration and license agreement, or the UT Southwestern Agreement, with The Board of Regents of the University of Texas System on behalf of UT Southwestern, as amended in April 2020.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UT Southwestern Agreement, we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We are required to use commercially reasonable efforts to develop, obtain regulatory approval for, and commercialize at least one licensed product. Additionally, we obtained a right of first refusal to negotiate for an exclusive license under certain additional patent rights and know-how of UT Southwestern.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UT Southwestern Agreement, we issued to UT Southwestern 2,179,000 shares of our common stock. We do not have any future milestone or royalty obligations to UT Southwestern under the UT Southwestern Agreement, other than costs related to the maintenance of patents.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UT Southwestern Agreement expires on a country-by-country and licensed product-by-licensed product basis upon the expiration of the last valid claim of a licensed patent in such country for such licensed product. After the initial research term, we may terminate the agreement, on an indication-by-indication and licensed product-by-licensed product basis, at any time upon specified written notice to UT Southwestern. Either party may terminate the agreement upon an uncured material breach of the agreement or insolvency of the other party.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License Agreement with Abeona (CLN1 Disease)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2020, we entered into a license agreement, or the Abeona CLN1 Agreement, with Abeona Therapeutics Inc., or Abeona. In connection with the Abeona CLN1 Agreement, we obtained an exclusive, worldwide, royalty-bearing license, with the right to grant sublicenses under certain patents, know-how and materials originally developed by the University of North Carolina at Chapel Hill and Abeona to research, develop, manufacture, have manufactured, use, and commercialize licensed products for gene therapy for the prevention, treatment, or diagnosis of CLN1 Disease (one of the forms of Batten disease) in humans.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Subject to certain obligations of Abeona, we are obligated to use commercially reasonable efforts to develop at least one product and commercialize at least one product in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license grant, we paid Abeona a one-time upfront license fee of $3.0 million during fiscal year 2020. We are obligated to pay Abeona up to $26.0 million in regulatory-related milestones and up to $30.0 million in sales-related milestones per licensed product and high single-digit royalties on net sales of licensed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 In addition, concurrent with the Abeona CLN1 Agreement, we entered into a purchase and reimbursement agreement with Abeona, pursuant to which we purchased specified inventory from Abeona and reimbursed Abeona for certain research and development costs previously incurred for total consideration of $4.0 million paid in fiscal year 2020.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2021 a regulatory milestone was triggered in connection with the Abeona CLN1 Agreement, and therefore we recorded $3.0 million within research and development expenses in the consolidated statements of operations for the year ended December 31, 2021. The milestone fee was paid in January 2022 and has been classified as an investing outflow in the consolidated statements of cash flows for the year ended December 31, 2022. No additional milestone payments were made or triggered during the year ended December 31,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Abeona CLN1 Agreement expires on a country-by-country and licensed product-by-licensed product basis upon the expiration of the royalty term of a licensed product in such country. Either party may terminate the agreement upon an uncured material breach of the agreement or insolvency of the other party. We may terminate the agreement for convenience upon specified prior written notice to Abeona.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License Agreement with Abeona (Rett Syndrome)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2020, we entered into a license agreement, or the Abeona Rett Agreement, with Abeona pursuant to which we obtained an exclusive, worldwide, royalty-bearing license, with the right to grant sublicenses under certain patents, know-how and materials originally developed by the University of North Carolina at Chapel Hill, the University of Edinburgh and Abeona to research, develop, manufacture, have manufactured, use, and commercialize licensed products for gene therapy and the use of related transgenes for Rett syndrome.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Subject to certain obligations of Abeona, we are required to use commercially reasonable efforts to develop at least one licensed product and commercialize at least one licensed product in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Abeona Rett Agreement, we paid Abeona a one-time upfront license fee of $3.0 million during fiscal year 2020. We are obligated to pay Abeona up to $26.5 million in regulatory-related milestones and up to $30.0 million in sales-related milestones per licensed product and high single-digit royalties on net sales of licensed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2022, our CTA filing for TSHA-102 for the treatment of Rett Syndrome was approved by Health Canada and therefore triggered a regulatory milestone payment in connection with the Rett Agreement. We recorded $1.0 million within research and development expenses in the consolidated statements of operations for the year ended December 31, 2022. This milestone fee was paid in July 2022 and has been classified as an investing outflow in the consolidated statements of cash flows for the year ended December 31, 2022. In May 2023, we dosed the first patient with TSHA-102 in the Phase 1/2 REVEAL trial evaluating the safety and preliminary efficacy of TSHA-102 in adult patients with Rett syndrome and therefore triggered a milestone payment in connection with this agreement. We recorded $3.5 million within research and development expenses in the consolidated statements of operations for the year ended December 31, 2023. This milestone fee was paid in August 2023 and has been classified as an investing cash outflow in the consolidated statements of cash flows for the year ended December 31, 2023. No additional milestone payments were made or triggered in connection with this agreement during the year ended December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Abeona Rett Agreement expires on a country-by-country and licensed product-by-licensed product basis upon the expiration of the royalty term of a licensed product in such country. Either party may terminate the agreement upon an uncured material breach of the agreement or insolvency of the other party. We may terminate the agreement for convenience.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Option Agreement with Astellas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21, 2022, or the Effective Date, we entered into an Option Agreement, or the Option Agreement with Audentes Therapeutics, Inc. (d/b/a Astellas Gene Therapy), or Astellas.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TSHA-120 Giant Axonal Neuropathy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Option Agreement, we granted to Astellas an exclusive option to obtain an exclusive, worldwide, royalty and milestone-bearing right and license (A) to research, develop, make, have made, use, sell, offer for sale, have sold, import, export and otherwise exploit, or, collectively, Exploit or the Exploitation, the product known, as of the Effective Date, as TSHA-120, or the 120 GAN Product, and any backup products with respect thereto for use in the treatment of GAN or any other gene therapy product for use in the treatment of GAN that is controlled by us or any of our affiliates or with respect to which we or any of our affiliates controls intellectual property rights covering the Exploitation thereof, or a GAN Product, and (B) under any intellectual property rights controlled by us or any of our affiliates with respect to such Exploitation, or the GAN Option. Following the receipt of Type C meeting feedback from the FDA regarding a registrational path for TSHA-120 in September 2023, Astellas elected not to exercise the GAN Option.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TSHA-102 Rett Syndrome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Option Agreement, we also granted to Astellas an exclusive option to obtain an exclusive, worldwide, royalty and milestone- bearing right and license (A) to Exploit any Rett Product (as defined below), and (B) under any intellectual property rights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controlled by us or any of our affiliates with respect to such Exploitation, or the Rett Option, and together with the GAN Option, each, an Option. Subject to certain extensions, the Rett Option is exercisable from the Effective Date through a specified period of time following Astellas’ receipt of (1) certain clinical data from the female pediatric trial and (2) certain specified data with respect to TSHA-102, or the Rett Option Period related to (i) the product known, as of the Effective Date, as TSHA-102 and any backup products with respect thereto for use in the treatment of Rett syndrome, and (ii) any other gene therapy product for use in the treatment of Rett syndrome that is controlled by us or any of our affiliates or with respect to which we or any of our affiliates controls intellectual property rights covering the Exploitation thereof, or a Rett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parties have agreed that, if Astellas exercises an Option, the parties will, for a specified period, negotiate a license agreement in good faith on the terms and conditions outlined in the Option Agreement, including payments by Astellas of a to-be-determined upfront payment, certain to-be-determined milestone payments, and certain to-be-determined royalties on net sales of GAN Products and/or Rett Products, as applicable.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actively seek to protect our proprietary technology, inventions, and other intellectual property that is commercially important to the development of our business by a variety of means, for example seeking, maintaining, and defending patent rights, whether developed internally or licensed from third parties. We also may rely on trade secrets and know-how relating to our proprietary technology platform, on continuing technological innovation and on in-licensing opportunities to develop, strengthen and maintain the strength of our position in the field of gene therapy that may be important for the development of our business. We also intend to seek patent protection or rely upon trade secret rights to protect other technologies that may be used to discover and validate targets, and that may be used to manufacture and develop novel gene therapy products. We are a party to license agreements that give us rights to use specific technologies in our gene therapy products and in manufacturing our products. Additional regulatory protection may also be afforded through data exclusivity, market exclusivity and patent term extensions where available.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February 27, 2024, we in-license five U.S. patents, six foreign patents, six pending Patent Cooperation Treaty, or PCT, applications, 68 pending foreign patent applications and 16 pending United States utility patent applications. Our policy is to file patent applications to protect technology, inventions and improvements to inventions that may be commercially important to the development of our business. Patent applications and patents directed to specific product candidates are summarized below:</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TSHA-102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in-license from The Board of Regents of The University of Texas System five pending patent applications worldwide directed to a minigene encoding MECP2 packaged into an AAV vector, and methods of using that vector to treat Rett syndrome. Any patents based on these applications, if issued, are expected to expire in 2040, without taking into account any possible patent term adjustment, regulatory extensions, or terminal disclaimers, and assuming payment of all annuity and/or maintenance fees. We also in-license from The Board of Regents of The University of Texas System one issued U.S. patent with claims to an AAV vector comprising a MecP2 transgene and a regulatory region, as well as methods of using the same to treat Rett Syndrome. The issued U.S. Patent will expire on October 27, 2041, assuming all maintenance fees are timely paid.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in-license from the University of Edinburgh and the University of Glasgow 13 pending patent applications worldwide directed to MECP2 expression cassettes for gene therapy. Any patents based on these applications, if issued, are expected to expire in 2038, without taking into account any possible patent term adjustment, regulatory extensions, or terminal disclaimers, and assuming payment of all annuity and/or maintenance fees. We also in-license from the University of Edinburgh and the University of Glasgow one Japanese patent and one Australian patent, each with claims to a MECP2 expression cassette and vector comprising the same, as well as their use for treating Rett Syndrome. These patents will expire in 2038 assuming all maintenance fees are timely paid.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in-license from the University of North Carolina at Chapel Hill 11 pending patent applications worldwide directed to feedback-enabled synthetic genes that inhibit MECP2 expression and use of these synthetic genes for treating Rett Syndrome. Any patents based on these applications, if issued, are expected to expire in 2039, without taking into account any possible patent term adjustment, regulatory extensions, or terminal disclaimers, and assuming payment of all annuity and/or maintenance fees.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TSHA-120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in-license from The Board of Regents of The University of Texas System 10 pending patent applications worldwide directed to gigaxonin-encoding transgene packaged in an AAV vector and methods of using that vector to treat Giant Axonal Neuropathy. Any patents based on these applications, if issued, are expected to expire in 2041, without taking into account any possible patent term adjustment, regulatory extensions, or terminal disclaimers, and assuming payment of all annuity and/or maintenance fees. We also in-license from The Board of Regents of The University of Texas System one issued U.S. patent with claims to a method of treatment with an rAAV vector comprising a transgene encoding gigaxonin administered to the vagus nerve,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including methods of treating giant axonal neuropathy. The issued U.S. Patent will expire on November 19, 2041, assuming all maintenance fees are timely paid.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TSHA-118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in-license certain patent rights directed to a palmitoyl-protein thioesterase 1-encoding transgene packaged into an AAV vector, and methods of using that vector to treat CLN1 disease (one of the forms of Batten disease). Specifically, pursuant to our license agreement with Abeona Therapeutics, Inc. we have in-licensed seven pending patent applications worldwide assigned to Abeona Therapeutics, Inc. Any patents based on these applications, if issued, are expected to expire in 2040, without taking into account any possible patent term adjustment, regulatory extensions, or terminal disclaimers, and assuming payment of all annuity and/or maintenance fees.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pursuant to the Abeona CLN1 agreement, we have sublicensed five pending patent applications worldwide assigned to the University of North Carolina at Chapel Hill. Any patents based on these patent applications, if issued, are expected to expire in 2037, without taking into account any possible patent term adjustment, regulatory extensions, or terminal disclaimers, and assuming payment of all annuity and/or maintenance fees. We have also licensed one U.S. patent, one Korean patent, one Israeli patent, one Indian patent and one Australian patent with claims to a CLN1 expression cassettes and vector comprising the same, which will expire in 2038 assuming all maintenance fees are timely paid.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TSHA-105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in-license from the University of North Carolina at Chapel Hill four pending patent applications worldwide directed to SLC13A5-encoding transgene packaged in an AAV vector and methods of using that vector to treat SLC13A5 deficiency. Any patents claiming priority to this PCT application, if issued, are expected to expire in 2041, without taking into account any possible patent term adjustment, regulatory extensions, or terminal disclaimers, and assuming payment of all annuity and/or maintenance fees.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in-license from The Board of Regents of The University of Texas System six pending patent applications worldwide directed to SLC13A5-encoding transgene packaged in an AAV vector and methods of using that vector to treat SLC13A5 deficiency. Any patents claiming priority to this PCT application, if issued, are expected to expire in 2042, without taking into account any possible patent term adjustment, regulatory extensions, or terminal disclaimers, and assuming payment of all annuity and/or maintenance fees.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TSHA-121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in-license from The Board of Regents of The University of Texas System one U.S. pending PCT application directed to CLN7-encoding transgene packaged in an AAV vector and methods of using that vector to treat disorders associated with aberrant CLN7 expression. Any patents claiming priority to this PCT application, if issued, are expected to expire in 2042, without taking into account any possible patent term adjustment, regulatory extensions, or terminal disclaimers, and assuming payment of all annuity and/or maintenance fees.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TSHA-106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in-license from The Board of Regents of The University of Texas System two pending patent applications worldwide directed to RNA interference (RNAi) constructs targeting UBE3A and methods of using these constructs for the treatment of Angelman Syndrome. Any patents claiming priority to this PCT application, if issued, are expected to expire in 2042, without taking into account any possible patent term adjustment, regulatory extensions, or terminal disclaimers, and assuming payment of all annuity and/or maintenance fees.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in-license from the University of North Carolina at Chapel Hill 10 pending patent applications worldwide directed to UBE3A-encoding transgene packaged in an AAV vector and methods of using that vector to Angelman Syndrome. Any patents based on these applications, if issued, are expected to expire in 2040, without taking into account any possible patent term adjustment, regulatory extensions, or terminal disclaimers, and assuming payment of all annuity and/or maintenance fees.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TSHA-113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in-license from The Board of Regents of The University of Texas System five pending patent applications worldwide directed to RNA interference (RNAi) constructs targeting MAPT and methods of using these constructs for the treatment of Tauopathies. Any patents claiming priority to this PCT application, if issued, are expected to expire in 2042, without taking into account any possible patent term adjustment, regulatory extensions, or terminal disclaimers, and assuming payment of all annuity and/or maintenance fees.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Fragile X Syndrome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in-license from The Board of Regents of The University of Texas System one pending PCT application directed to FMR1-encoding transgene packaged in an AAV vector and methods of using that vector to treat disorders associated with aberrant FMR1 expression (such as Fragile X Syndrome). Any patents based on these applications, if issued, are expected to expire in 2043, without taking into account any possible patent term adjustment, regulatory extensions, or terminal disclaimers, and assuming payment of all annuity and/or maintenance fees.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TSHA-103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in-license from The Board Of Regents Of The University Of Texas System two pending patent applications worldwide directed to SLC6A1-encoding transgene packaged in an AAV vector and methods of using that vector to treat disorders associated with aberrant SLC6A1 expression. Any patents based on these applications, if issued, are expected to expire in 2040, without taking into account any possible patent term adjustment, regulatory extensions, or terminal disclaimers, and assuming payment of all annuity and/or maintenance fees.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TSHA-116</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in-license from The Board Of Regents Of The University Of Texas System one pending PCT application directed to RNA interference (RNAi) constructs targeting </w:t>
      </w:r>
      <w:r>
        <w:rPr>
          <w:rFonts w:ascii="Times New Roman" w:hAnsi="Times New Roman"/>
          <w:color w:val="000000"/>
          <w:sz w:val="20"/>
          <w:u w:val="single"/>
        </w:rPr>
        <w:t xml:space="preserve">EHMT2 </w:t>
      </w:r>
      <w:r>
        <w:rPr>
          <w:rFonts w:ascii="Times New Roman" w:hAnsi="Times New Roman"/>
          <w:color w:val="000000"/>
          <w:sz w:val="20"/>
        </w:rPr>
        <w:t>and methods of using these constructs for the treatment of Prader-Willi Syndrome. Any patents claiming priority to this PCT application, if issued, are expected to expire in 2042, without taking into account any possible patent term adjustment, regulatory extensions, or terminal disclaimers, and assuming payment of all annuity and/or maintenance fees.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TSHA-101</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in-license from Queen’s University at Kingston and Kingston Health Sciences Centre two United States patent with claims directed to a bicistronic </w:t>
      </w:r>
      <w:r>
        <w:rPr>
          <w:rFonts w:ascii="Times New Roman" w:hAnsi="Times New Roman"/>
          <w:i/>
          <w:color w:val="000000"/>
          <w:sz w:val="20"/>
        </w:rPr>
        <w:t>HEXB</w:t>
      </w:r>
      <w:r>
        <w:rPr>
          <w:rFonts w:ascii="Times New Roman" w:hAnsi="Times New Roman"/>
          <w:color w:val="000000"/>
          <w:sz w:val="20"/>
        </w:rPr>
        <w:t>P2A</w:t>
      </w:r>
      <w:r>
        <w:rPr>
          <w:rFonts w:ascii="Times New Roman" w:hAnsi="Times New Roman"/>
          <w:i/>
          <w:color w:val="000000"/>
          <w:sz w:val="20"/>
        </w:rPr>
        <w:t>-HEXA</w:t>
      </w:r>
      <w:r>
        <w:rPr>
          <w:rFonts w:ascii="Times New Roman" w:hAnsi="Times New Roman"/>
          <w:color w:val="000000"/>
          <w:sz w:val="20"/>
        </w:rPr>
        <w:t xml:space="preserve"> transgene packaged into an AAV vector which will expire in 2039, assuming all maintenance fees are timely paid. This application has no foreign counterparts.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rely on trade secrets, know-how, continuing technological innovation and confidential information to develop and maintain our proprietary position and protect aspects of our business that are not amenable to, or that we do not consider appropriate for, patent protection. We seek to protect employees, consultants, scientific advisors, contractors and others who may have access to proprietary information, under which they are bound to assign to us inventions made during the term of their employment or term of service. We also seek to preserve the integrity and confidentiality of our data and trade secrets by maintaining physical security of our premises and physical and electronic security of our information technology systems.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Government Regulation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Food and Drug Administration, or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Biological products are subject to regulation under the Food, Drug, and Cosmetic Act, or FDCA, and the Public Health Service Act, or PHSA, and other federal, state, local and foreign statutes and regulations.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 Biologics Regulation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process required by the FDA before biological product candidates may be marketed in the United States generally involves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completion of extensive preclinical laboratory tests and animal studies performed in accordance with applicable regulations, including the good laboratory practice, or GLP,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submission to the FDA of an IND application, which must become effective before clinical trials may begin;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approval by an independent institutional review board, or IRB, or ethics committee at each clinical site before the trial is commenced;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performance of adequate and well-controlled human clinical trials to establish the safety, purity and potency of the proposed biological product candidate for its intended purpose;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preparation of and submission to the FDA of a BLA after completion of all pivotal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determination by the FDA within 60 days of its receipt of a BLA to file the application for review;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satisfactory completion of an FDA pre-approval inspection of the manufacturing facility or facilities at which the proposed product is produced to assess compliance with current Good Manufacturing Practice requirements, or cGMPs, and to assure that the facilities, methods and controls are adequate to preserve the biological product’s continued safety, purity and potency, and of selected clinical investigation sites to assess compliance with the FDA’s good clinical practices, or GCPs;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satisfactory completion of an FDA Advisory Committee review, if applicable;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FDA review and approval, or licensure, of a BLA to permit commercial marketing of the product for particular indications for use in the United States.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Preclinical and Clinical Development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Prior to beginning the first clinical trial with a product candidate, we must submit an IND to the FDA. An IND is a request for authorization from the FDA to administer an investigational new drug product to humans. The central focus of an IND submission is on the general investigational plan and the protocol or protocols for preclinical studies and clinical trials. The IND also includes results of animal and </w:t>
      </w:r>
      <w:r>
        <w:rPr>
          <w:rFonts w:ascii="Times New Roman" w:hAnsi="Times New Roman"/>
          <w:i/>
          <w:color w:val="000000"/>
          <w:sz w:val="20"/>
        </w:rPr>
        <w:t>in vitro</w:t>
      </w:r>
      <w:r>
        <w:rPr>
          <w:rFonts w:ascii="Times New Roman" w:hAnsi="Times New Roman"/>
          <w:color w:val="000000"/>
          <w:sz w:val="20"/>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the submission of an IND to the FDA before initiation of a clinical trial in the United States, certain human clinical trials involving recombinant or synthetic nucleic acid molecules are subject to oversight at the local level as set forth in the National Institutes of Health, or NIH, Guidelines. Specifically, under the NIH Guidelines, supervision of human gene transfer trials includes evaluation and assessment by an Institutional Biosafety Committee, or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preclinical studies and clinical trials and clinical study results to public registries.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purposes of BLA approval of a product candidate, human clinical trials are typically conducted in three sequential phases that may overlap or be combined: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Phase 1. For gene therapies, the investigational product is initially introduced into patients with the target disease or condition. These studies are designed to test the safety, dosage tolerance, absorption, metabolism and distribution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investigational product in humans, the side effects associated with increasing doses, and, if possible, to gain early evidence on effectiveness.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Phase 2. The investigational product is administered to a limited patient population to evaluate the preliminary efficacy, optimal dosages and dosing schedule and to identify possible adverse side effects and safety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Phase 3. 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When these phases overlap or are combined, the trials may be referred to as Phase 1/2 or Phase 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some cases, the FDA may require, or companies may voluntarily pursue, additional clinical trials after a product is approved to gain more information about the product. These so-called Phase 4 studies may be made a condition to approval of the BLA. Concurrent with clinical trials, companies may complete additional animal studies and develop additional information about the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all phases of clinical development, regulatory agencies require extensive monitoring and auditing of all clinical activities, clinical data, and clinical study investigators. The FDA or the sponsor or its data safety monitoring board may suspend a clinical study at any time on various grounds, including a finding that the research patients or patients are being exposed to an unacceptable health risk. Similarly, an IRB can suspend or terminate approval of a clinical study at its institution if the clinical study is not being conducted in accordance with the IRB’s requirements or if the biological product candidate has been associated with unexpected serious harm to patients. 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BLA Submission and Review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The submission of a BLA requires payment of a substantial application user fee to the FDA, unless a waiver or exemption applies. The FDA has sixty days from the applicant’s submission of a BLA to either issue a refusal to file letter or accept the BLA for filing, indicating that it is sufficiently complete to permit substantive review.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Once a BLA has been accepted for filing, the FDA’s goal is to review standard applications within ten months after it accepts the application for filing, or, if the application qualifies for priority review, six months after the FDA accepts the application for filing. In both standard and priority reviews, the review process is often significantly extended by FDA requests for additional information or clarification. The FDA reviews a BLA to determine, among other things, whether a product is safe, pure and potent for its intended use, and whether the facility in which it is manufactured, processed, packed or held meets standards designed to assure and preserve the product’s identity, safety, strength, quality, potency and purity.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After the FDA evaluates a BLA and conducts inspections of manufacturing facilities where the investigational product and/or its drug substance will be manufactured, the FDA may issue an approval letter or a Complete Response letter. An approval letter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which may include the potential requirement for additional clinical studies. The FDA may delay or refuse approval of a BLA if applicable regulatory criteria are not satisfied, require additional testing or information and/or require post-marketing testing and surveillance to monitor safety or efficacy of a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or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Expedited Development and Review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offers a number of expedited development and review programs for qualifying product candidates. The fast track program is intended to expedite or facilitate the process for reviewing new products that meet certain criteria. Specifically, new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frequent interactions with the review team during product development and, once a BLA is submitted, the product may be eligible for priority review. A fast 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product intended to treat a serious or life-threatening disease or condition may also be eligible for breakthrough therapy designation to expedite its development and review. A product can receive breakthrough therapy designation if preliminary clinical evidence indicates that the product,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including involvement of senior managers.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regenerative medicine advanced therapy, or RMAT, is defined as cell therapies, therapeutic tissue engineering products, human cell and tissue products, and combination products using any such therapies or products.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 new drug application or a BLA for an RMAT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studies, patient registries, or other sources of real-world evidence, such as electronic health records; the collection of larger confirmatory data sets; or post-approval monitoring of all patients treated with such therapy prior to its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marketing application for a biologic submitted to the FDA for approval, including a product with a fast track designation and/or breakthrough therapy designation, may be eligible for other types of FDA programs intended to expedite the FDA review and approval process, such as priority review and accelerated approval. A product is eligible for priority review if it has the potential to provide a significant improvement in the treatment, diagnosis or prevention of a serious disease or condition. For original BLAs,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priority review designation means the FDA’s goal is to take action on the marketing application within six months of the 60-day filing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products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Fast track designation, breakthrough therapy designation, RMAT designation, priority review and accelerated approval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Orphan Drug Designation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Orphan Drug Act, the FDA may grant orphan designation to a drug or biologic intended to treat a rare disease or condition, which is a disease or condition that affects fewer than 200,000 individuals in the United States, or 200,000 or more than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 if the holder of the orphan drug exclusivity cannot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and a waiver of the BLA application fee.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Rare Pediatric Disease Designation and Priority Review Vouchers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FDCA, as amended, the FDA incentivizes the development of drugs and biologics that meet the definition of a “rare pediatric disease,” defined to mean a serious or life-threatening disease in which the serious of life-threatening manifestations primarily affect individuals aged from birth to 18 years and the disease affects fewer than 200,000 individuals in the United States or affects 200,000 or more in the United States and for which there is no reasonable expectation that the cost of developing and making in the United States a drug for such disease or condition will be received from sales in the United States of such drug. The sponsor of a product candidate for a rare pediatric disease may be eligible for a voucher that can be used to obtain a priority review for a subsequent human drug or biologic application after the date of approval of the rare pediatric disease drug product, referred to as a priority review voucher, or PRV. A sponsor may request rare pediatric disease designation from the FDA prior to the submission of its NDA or BLA. A rare pediatric disease designation does not guarantee that a sponsor will receive a PRV upon approval of its NDA or BLA. Moreover, a sponsor who chooses not to submit a rare pediatric disease designation request may nonetheless receive a PRV upon approval of their marketing application if they request such a voucher in their original marketing application and meet all of the eligibility criteria. If a PRV is received, it may be sold or transferred an unlimited number of times. Congress has extended the PRV program until September 30, 2024, with the potential for PRVs to be granted until September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Post-Approval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the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cGMPs,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cGMPs and impose reporting requirements upon us and any third-party manufacturers that we may decide to use. Accordingly, manufacturers must continue to expend time, money and effort in the area of production and quality control to maintain compliance with cGMPs and other aspects of regulatory compliance.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the marketing or manufacturing of a product, complete withdrawal of the product from the market or product recalls;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fines, warning or untitled letters or holds on post-approval 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of the FDA to approve pending applications or supplements to approved applications, or suspension or revocation of existing product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seizure or detention, or refusal of the FDA to permit the import or export of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consent decrees, corporate integrity agreements, debarment or exclusion from federal healthcare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mandated modification of promotional materials and labeling and the issuance of corrective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issuance of safety alerts, Dear Healthcare Provider letters, press releases and other communications containing warnings or other safety information about the product;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The FDA closely regulates the marketing, labeling, advertising and promotion of biologics. A company can make only those claims relating to safety and efficacy, purity and potency that are approved by the FDA and in accordance with the provisions of the approved label. However, companies may share truthful and not misleading information that is otherwise consistent with a product’s FDA approved labeling.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circumstances. The FDA does not regulate the behavior of physicians in their choice of treatments. The FDA does, however, restrict manufacturer’s communications on the subject of off-label use of their products.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Biosimilars and Reference Product Exclusivity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Patient Protection and Affordable Care Act, as amended by the Health Care and Education Reconciliation Act, or collectively the ACA, includes a subtitle called the Biologics Price Competition and Innovation Act, or BPCIA, which created an abbreviated approval pathway for biological products that are biosimilar to or interchangeable with an FDA-approved reference biological product. To date, a number of biosimilars have been licensed under the BPCIA, and numerous biosimilars have been approved in Europe. The FDA has issued several guidance documents outlining an approach to review and approval of biosimilars.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is subject to significant uncertainty.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Foreign Regulation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market any product outside of the United States, we would need to comply with numerous and varying regulatory requirements of other countries and jurisdictions regarding quality, safety, and efficacy and governing, among other things, clinical trials, marketing authorization, commercial sales and distribution of our products. Whether or not we obtain FDA approval for a product, we would need to obtain the necessary approvals by the comparable foreign regulatory authorities before we can commence clinical trials or marketing of the product in foreign countries and jurisdictions. Although many of the issues discussed above with respect to the United States apply similarly in the context of the European Union, the approval process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EU Regulation of medicinal products</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Clinical Trials in the EU</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Similarly to the United States, the various phases of non-clinical and clinical research in the European Union, or EU are subject to significant regulatory controls. In the EU, clinical trials are governed by the Clinical Trials Regulation (EU) No 536/2014, or CTR, which entered into application on January 31, 2022 repealing and replacing the former Clinical Trials Directive 2001/20, or CTD.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CTR is intended to harmonize and streamline clinical trial authorizations, simplify adverse-event reporting procedures, improve the supervision of clinical trials and increase transparency. Specifically, the Regulation, which is directly applicable in all EU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Member States, introduces a streamlined application procedure through a single-entry point, the "EU portal", the Clinical Trials Information System, or CTIS; a single set of documents to be prepared and submitted for the application; as well as simplified reporting procedures for clinical trial sponsors. A harmonized procedure for the assessment of applications for clinical trials has been introduced and is divided into two parts. Part I assessment is led by the competent authorities of a reference Member State selected by the trial sponsor and relates to clinical trial aspects that are considered to be scientifically harmonized across EU Member States. This assessment is then submitted to the competent authorities of all concerned Member States in which the trial is to be conducted for their review. Part II is assessed separately by the competent authorities and Ethics Committees in each concerned EU Member State. Individual EU Member States retain the power to authorize the conduct of clinical trials on their territory.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extent to which on-going clinical trials will be governed by the CTR will depend on the duration of the individual clinical trial. For clinical trials in relation to which an application for approval was made on the basis of the CTD before January 31, 2023, the CTD will continue to apply on a transitional basis until January 31, 2025. By that date, all ongoing trials will become subject to the provisions of the CTR. The CTR will apply to clinical trials from an earlier date if the related clinical trial application was made on the basis of the CTR or if the clinical trial has already transitioned to the CTR framework before January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all cases, clinical trials must be conducted in accordance with GCP and the applicable regulatory requirements and the ethical principles that have their origin in the Declaration of Helsinki. Medicines used in clinical trials, including ATMPs, must be manufactured in accordance with the guidelines on cGMP and in a GMP licensed facility, which can be subject to GMP inspections.</w:t>
      </w:r>
    </w:p>
    <w:p>
      <w:pPr>
        <w:pStyle w:val="TextBody"/>
        <w:bidi w:val="0"/>
        <w:jc w:val="both"/>
        <w:rPr>
          <w:rFonts w:ascii="Times New Roman" w:hAnsi="Times New Roman"/>
          <w:i/>
          <w:color w:val="000000"/>
          <w:sz w:val="20"/>
        </w:rPr>
      </w:pPr>
      <w:r>
        <w:rPr>
          <w:rFonts w:ascii="Times New Roman" w:hAnsi="Times New Roman"/>
          <w:i/>
          <w:color w:val="000000"/>
          <w:sz w:val="20"/>
        </w:rPr>
        <w:t>EU Review and approval process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EU, medicinal products can only be commercialized after a related marketing authorization, or MA, has been granted. To obtain an MA for a product in the EU, an applicant must submit a Marketing Authorization Application, or MAA, either under a centralized procedure administered by the European Medicines Agency, or EMA, or one of the procedures administered by the competent authorities of EU Member States (decentralized procedure, national procedure or mutual recognition procedure). An MA may be granted only to an applicant established in the EU.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centralized procedure provides for the grant of a single MA by the European Commission that is valid throughout the EEA (which is comprised of the 27 EU Member States plus Norway, Iceland and Liechtenstein). Pursuant to Regulation (EC) No 726/2004, the centralized procedure is compulsory for specific products, including for (i) medicinal products derived from biotechnological processes, (ii) products designated as orphan medicinal products, (iii) advanced therapy medicinal products, or ATMPs, and (iv) products with a new active substance indicated for the treatment of HIV/AIDS, cancer, neurodegenerative diseases, diabetes, auto-immune and other immune dysfunctions and viral diseases. For products with a new active substance indicated for the treatment of other diseases and products that are highly innovative or for which a centralized process is in the interest of patients, authorization through the centralized procedure is optional on related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centralized procedure, the EMA’s Committee for Medicinal Products for Human Use, or CHMP, conducts the initial assessment of a product. The CHMP is also responsible for several post-authorization and maintenance activities, such as the assessment of modifications or extensions to an existing MA. The maximum timeframe for the evaluation of an MAA under the centralized procedure is 210 days, excluding clock stops when additional information or written or oral explanation is to be provided by the applicant in response to questions of the CHMP. Accelerated assessment may be granted by the CHMP in exceptional cases, when a medicinal product targeting an unmet medical need is expected to be of major interest from the point of view of public health and, in particular, from the viewpoint of therapeutic innovation. If the CHMP accepts a request for accelerated assessment, the time limit of 210 days will be reduced to 150 days (excluding clock stops). The CHMP can, however, revert to the standard time limit for the centralized procedure if it considers that it is no longer appropriate to conduct an accelerated assessment.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Unlike the centralized authorization procedure, the decentralized MA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Heads of Medicines Agencies’ Coordination Group for Mutual Recognition and Decentralised Procedures – Human, or CMDh, for review. The subsequent decision of the European Commission is binding on all EU Member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mutual recognition procedure allows companies that have a medicinal product already authorized in one EU Member State to apply for this authorization to be recognized by the competent authorities in other EU Member States. Like the decentralized procedure, the mutual recognition procedure is based on the acceptance by the competent authorities of the EU Member States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 of a medicinal product by the competent authorities of other EU Member States. The holder of a national MA may submit an application to the competent authority of an EU Member State requesting that this authority recognize the MA delivered by the competent authority of another EU Member State.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 MA has, in principle, an initial validity of five years. The MA may be renewed after five years on the basis of a re-evaluation of the risk-benefit balance by the EMA or by the competent authority of the EU Member State in which the original MA was granted. To support the application, the MA holder must provide the EMA or the competent authority with a consolidated version of the Common Technical Document providing up-to-date data concerning the quality, safety and efficacy of the product, including all variations introduced since the MA was granted, at least nine months before the MA ceases to be valid. The European Commission or the competent authorities of the EU Member States may decide on justified grounds relating to pharmacovigilance, to proceed with one further five year renewal period for the MA. Once subsequently definitively renewed, the MA shall be valid for an unlimited period. Any authorization which is not followed by the actual placing of the medicinal product on the EU market (for a centralized MA) or on the market of the authorizing EU Member State within three years after authorization ceases to be valid (the so-called sunset clause).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Innovative products that target an unmet medical need and are expected to be of major public health interest may be eligible for a number of expedited development and review programs, such as the Priority Medicines, or PRIME, scheme, which provides incentives similar to the breakthrough therapy designation in the U.S. PRIME is a voluntary scheme aimed at enhancing the EMA’s support for the development of medicinal products that target unmet medical needs. Eligible products must target conditions for which there is an unmet medical need (there is no satisfactory method of diagnosis, prevention or treatment in the EU or, if there is, the new medicinal product will bring a major therapeutic advantage) and they must demonstrate the potential to address the unmet medical need by introducing new methods of therapy or improving existing ones. Benefits accrue to sponsors of product candidates with PRIME designation, including but not limited to, early and proactive regulatory dialogue with the EMA, frequent discussions on clinical trial designs and other development program elements, and potentially accelerated MAA assessment once a dossier has been submitted.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EU, a “conditional” MA may be granted in cases where all the required safety and efficacy data are not yet available. The European Commission may grant a conditional MA for a medicinal product if it is demonstrated that all of the following criteria are met: (i) the benefit-risk balance of the medicinal product is positive; (ii) it is likely that the applicant will be able to provide comprehensive data post-authorization; (iii) the medicinal product fulfils an unmet medical need; and (iv) the benefit of the immediate availability to patients of the medicinal product is greater than the risk inherent in the fact that additional data are still required. The conditional MA is subject to conditions to be fulfilled for generating the missing data or ensuring increased safety measures. It is valid for one year and must be renewed annually until all related conditions have been fulfilled. Once any pending studies are provided, the conditional MA can be converted into a traditional MA. However, if the conditions are not fulfilled within the timeframe set by the EMA and approved by the European Commission, the MA will cease to be renewed.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 MA may also be granted “under exceptional circumstances” where the applicant can show that it is unable to provide comprehensive data on efficacy and safety under normal conditions of use even after the product has been authorized and subject to specific procedures being introduced. These circumstances may arise in particular when the intended indications are very rare and, in the state of scientific knowledge at that time, it is not possible to provide comprehensive information, or when generating data may be contrary to generally accepted ethical principles. Like a conditional MA, an MA granted in exceptional circumstances is reserved to medicinal products intended to be authorized for treatment of rare diseases or unmet medical needs for which the applicant does not hold a complete data set that is required for the grant of a standard MA. However, unlike the conditional MA, an applicant for authorization in exceptional circumstances is not subsequently required to provide the missing data. Although the MA “under exceptional circumstances” is granted definitively, the risk-benefit balance of the medicinal product is reviewed annually, and the MA will be withdrawn if the risk-benefit ratio is no longer favorable. </w:t>
      </w:r>
    </w:p>
    <w:p>
      <w:pPr>
        <w:pStyle w:val="TextBody"/>
        <w:bidi w:val="0"/>
        <w:spacing w:before="240" w:after="283"/>
        <w:jc w:val="both"/>
        <w:rPr>
          <w:rFonts w:ascii="Times New Roman" w:hAnsi="Times New Roman"/>
          <w:sz w:val="20"/>
        </w:rPr>
      </w:pPr>
      <w:r>
        <w:rPr>
          <w:rFonts w:ascii="Times New Roman" w:hAnsi="Times New Roman"/>
          <w:i/>
          <w:color w:val="000000"/>
          <w:sz w:val="20"/>
        </w:rPr>
        <w:t>Advanced Therapy Medicinal Products in the EU</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Advanced Therapy Medicinal Products, or ATMPs, include gene therapy products as well as somatic cell therapy products and tissue engineered products. The grant of marketing authorization in the EU for products containing viable human tissues or cells such as gene therapy medicinal products is governed by Regulation (EC) No. 1394/2007 on ATMPs, read in combination with Directive (EC) No. 2001/83 of the European Parliament and of the Council, commonly known as the Community code on medicinal products. Regulation (EC) No. 1394/2007 establishes specific rules concerning the authorization, supervision and pharmacovigilance of gene therapy medicinal products, somatic cell therapy medicinal products and tissue engineered products. Manufacturers of advanced therapy medicinal products must demonstrate the quality, safety and efficacy of their products to the EMA which is required to provide an opinion regarding the application for marketing authorization. The European Commission grants or refuses marketing authorization in light of the opinion delivered by the EMA.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Cell-based products must also comply with Directive (EC) No. 2004/23 of the European Parliament and of the Council of March 31, 2004 on setting standards of quality and safety for the donation, procurement, testing, processing, preservation, storage and distribution of human tissues and cells, or the Tissues and Cells Directive, as well as its technical implementing directives. This Directive describes the conditions and quality requirements which must be applied when sourcing the cells intended for manufacturing of the cell-based medicinal product. The EU Member States have transposed the Tissues and Cells Directive into their national laws. However, various interpretations of the Tissue and Cells Directive have occurred and are reflected in individual EU Member States national implementing legislation which have led to diverging approaches.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Pediatric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EU, Regulation (EC) No 1901/2006 provides that all MAAs for new medicinal products have to include the results of trials conducted in the pediatric population, in compliance with a pediatric investigation plan, or PIP, agreed with the EMA’s Pediatric Committee, or PDCO. The PIP sets out the timing and measures proposed to generate data to support a pediatric indication of the medicinal product for which MA is being sought. The PDCO can grant a deferral of the obligation to implement some or all of the measures provided in the PIP until there are sufficient data to demonstrate the efficacy and safety of the product in adults. Further,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 is obtained in all EU Member States and study results are included in the product information, even when negative, the product is eligible for a six-month extension to the Supplementary Protection Certificate, or SPC, if any is in effect at the time of authorization or, in the case of orphan medicinal products, a two-year extension of orphan market exclusivity.</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Manufacturing Regulation in the EU</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an MA, various other requirements apply to the manufacturing and placing on the EU market of medicinal products. The manufacturing of medicinal products in the EU requires a manufacturing authorization and import of medicinal products into the EU requires a manufacturing authorization allowing for import. The manufacturing authorization holder must comply with various requirements set out in the applicable EU laws, regulations and guidance, including EU cGMP standards. Similarly, the distribution of medicinal products within the EU is subject to compliance with the applicable EU laws, regulations and guidelines, including the requirement to hold appropriate authorizations for distribution granted by the competent authorities of EU Member States. Marketing authorization holders and/or manufacturing and import authorization, or MA holders and/or distribution authorization holders may be subject to civil, criminal or administrative sanctions, including suspension of manufacturing authorization, in case of non-compliance with the EU or EU Member States’ requirements applicable to the manufacturing of medicinal products.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Data and Market Exclusivity in the EU</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EU provides opportunities for data and market exclusivity related to MAs. Upon receiving an MA, innovative medicinal products are generally entitled to receive eight years of data exclusivity and 10 years of market exclusivity. Data exclusivity, if granted, prevents regulatory authorities in the EU from referencing the innovator’s data to assess a generic application or biosimilar application for eight years from the date of authorization of the innovative product, after which a generic or biosimilar MAA can be submitted, and the innovator’s data may be referenced. The market exclusivity period prevents a successful generic or biosimilar applicant from commercializing its product in the EU until 10 years have elapsed from the initial MA of the reference product in the EU. The overall ten-year period may, occasionally, be extended for a further year to a maximum of 11 years if, during the first eight years of those ten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chemical/biological entity, and products may not qualify for data exclusivity.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EU, there is a special regime for biosimilars, or biological medicinal products that are similar to a reference medicinal product but that do not meet the definition of a generic medicinal product. For such products, the results of appropriate preclinical or clinical trials must be provided in support of an application for MA. Guidelines from the EMA detail the type of quantity of supplementary data to be provided for different types of biological product.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Orphan Designation in the EU</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EU, Regulation (EC) No. 141/2000, as implemented by Regulation (EC) No. 847/2000 provides that a medicinal product can be designated as an orphan medicinal product by the European Commission if its sponsor can establish that: (i) the product is intended for the diagnosis, prevention or treatment of life-threatening or chronically debilitating conditions; (ii) either (a) such conditions affect not more than 5 in 10,000 persons in the EU when the application is made, or (b) the product without the benefits derived from orphan status, would not generate sufficient return in the EU to justify the necessary investment in developing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medicinal product; and (iii) there exists no satisfactory authorized method of diagnosis, prevention, or treatment of the condition that has been authorized in the EU, or even if such method exists, the product will be of significant benefit to those affected by that condition.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Regulation (EC) No 847/2000 sets out further provisions for implementation of the criteria for designation of a medicinal product as an orphan medicinal product. An application for the designation of a medicinal product as an orphan medicinal product must be submitted at any stage of development of the medicinal product but before filing of an MAA. An MA for an orphan medicinal product may only include indications designated as orphan. For non-orphan indications treated with the same active pharmaceutical ingredient, a separate marketing authorization has to be sought.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Orphan medicinal product designation entitles an applicant to incentives such fee reductions or fee waivers, protocol assistance, and access to the centralized marketing authorization procedure. Upon grant of a marketing authorization, orphan medicinal products are entitled to a ten-year period of market exclusivity for the approved therapeutic indication, which means that the EMA cannot accept another marketing authorization application or accept an application to extend for a similar product and the European Commission cannot grant a marketing authorization for the same indication for a period of ten years. The period of market exclusivity is extended by two years for orphan medicinal products that have also complied with an agreed PIP. No extension to any supplementary protection certificate can be granted on the basis of pediatric studies for orphan indications. Orphan medicinal product designation does not convey any advantage in, or shorten the duration of, the regulatory review and approval process.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period of market exclusivity may, however, be reduced to six years if, at the end of the fifth year, it is established that the product no longer meets the criteria on the basis of which it received orphan medicinal product destination, including where it can be demonstrated on the basis of available evidence that the original orphan medicinal product is sufficiently profitable not to justify maintenance of market exclusivity or where the prevalence of the condition has increased above the threshold. Additionally, an MA may be granted to a similar medicinal product with the same orphan indication during the 10 year period if: (i) if the applicant consents to a second original orphan medicinal product application, (ii) if the manufacturer of the original orphan medicinal product is unable to supply sufficient quantities; or (iii) if the second applicant can establish that its product, although similar, is safer, more effective or otherwise clinically superior to the original orphan medicinal product. A company may voluntarily remove a product from the register of orphan products.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Post-authorization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Where an MA is granted in relation to a medicinal product in the EU, the holder of the MA is required to comply with a range of regulatory requirements applicable to the manufacturing, marketing, promotion and sale of medicinal products. Similar to the United States, both MA holders and manufacturers of medicinal products are subject to comprehensive regulatory oversight by the EMA, the European Commission and/or the competent regulatory authorities of the individual EU Member States. The holder of an MA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or PSURs.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new MAAs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 Such risk- minimization measures or post-authorization obligations may include additional safety monitoring, more frequent submission of PSURs, or the conduct of additional clinical trials or post-authorization safety studies.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EU, the advertising and promotion of medicinal products are subject to both EU and EU Member States’ laws governing promotion of medicinal products, interactions with physicians and other healthcare professionals, misleading and comparative advertising and unfair commercial practices. General requirements for advertising and promotion of medicinal products, such as direct-to-consumer advertising of prescription medicinal products are established in EU law. However, the details are governed by regulations in individual EU Member States and can differ from one country to another. For example, applicable laws require that promotional materials and advertising in relation to medicinal products comply with the product’s Summary of Product Characteristics, or SmPC, which may require approval by the competent national authorities in connection with an MA. The SmPC is the document that provides information to physicians concerning the safe and effective use of the product. Promotional activity that does not comply with the SmPC is considered off-label and is prohibited in the EU.</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Healthcare Laws and Compliance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Pharmaceutical companies are subject to additional healthcare regulation and enforcement by the federal government and by authorities in the states and foreign jurisdictions in which they conduct their business. Such laws include, without limitation: the U.S. federal Anti-Kickback Statute, the civil False Claims Act, the Health Insurance Portability and Accountability Act of 1996, or HIPAA, and similar foreign, federal and state fraud and abuse, transparency and privacy laws.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U.S. federal Anti-Kickback Statute prohibits, among other things, persons and entities from knowingly and willfully soliciting, receiving, offering or paying remuneration, to induce, or in return for, either the referral of an individual, or the purchase or recommendation of an item or service for which payment may be made under any federal healthcare program. The term remuneration has been interpreted broadly to include anything of value, including stock options. The U.S. federal Anti-Kickback Statute has been interpreted to apply to arrangements between pharmaceutical manufacturers on one hand and prescribers, purchasers, and others on the other hand. There are a number of statutory exceptions and regulatory safe harbors protecting some common activities from prosecution, but they are drawn narrowly, and practices that involve remuneration, such as consulting agreements,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U.S. federal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 A person or entity does not need to have actual knowledge of the statute or specific intent to violate it in order to have committed a violation. In addition, a claim including items or services resulting from a violation of the U.S. federal Anti-Kickback Statute constitutes a false or fraudulent claim for purposes of the civil False Claims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Civil and criminal false claims laws, and civil monetary penalty laws, including the civil False Claims Act, which can be enforced through civil whistleblower or qui tam actions, prohibit, among other things, individuals or entities from knowingly presenting, or causing to be presented, claims for payment to the federal government, including federal healthcare programs, that are false or fraudulent. For example, the civil False Claims Act prohibits any person or entity from knowingly presenting, or causing to be presented, a false claim for payment to the federal government or knowingly making, using or causing to be made or used a false record or statement material to a false or fraudulent claim to the federal government. A claim includes “any request or demand” for money or property presented to the U.S. government. Several pharmaceutical and other healthcare companies have been prosecuted under these laws for allegedly providing free product to customers with the expectation that the customers would bill federal programs for the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HIPAA created additional federal civil and criminal liability for, among other things, knowingly and willfully executing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 In addition, HIPAA, as amended by the Health Information Technology for Economic and Clinical Health Act of 2009, or HITECH, and their respective implementing regulations, impose certain requirements on HIPAA covered entities, which include certain healthcare providers, healthcare clearing houses and health plans, and individuals and entities that provide services on their behalf that involve individually identifiable health information, known as business associates, relating to the privacy, security and transmission of individually identifiable health information, as well as their covered subcontractors.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U.S. federal Physician Payments Sunshine Act requires certain manufacturers of drugs, devices, biologics and medical supplies for which payment is available under Medicare, Medicaid or the Children’s Health Insurance Program, with specific exceptions, to annually report to the Centers for Medicare &amp; Medicaid Services, or CMS, information related to payments or other transfers of value made to physicians (currently defined to include doctors, dentists, optometrists, podiatrists and chiropractors), other health care professionals (such as physician assistants and nurse practitioners) and teaching hospitals, as well as ownership and investment interests held by physicians and their immediate family members.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also subject to additional similar U.S. state and foreign law equivalents of each of the above federal laws, such as anti-kickback and false claims laws which may apply to sales or marketing arrangements and claims involving healthcare items or services reimbursed by non-governmental third party payors, including private insurers, or that apply regardless of payor, state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foreign laws which require pharmaceutical companies to comply with the pharmaceutical industry’s voluntary compliance guidelines and the relevant compliance guidance promulgated by the government, state, local and foreign laws which require pharmaceutical companies to report information related to payments and other transfers of value to physicians and other healthcare providers or marketing expenditures, state and foreign laws which require the reporting of information related to drug pricing, state, local and foreign laws requiring the registration of pharmaceutical sales representatives, and state and foreign laws governing the privacy and security of health information which, in some cases, differ from each other in significant ways, and may not have the same effect, thus complicating compliance efforts. If our operations are found to be in violation of any of such laws or any other governmental regulations that apply, we may be subject to penalties, including, without limitation, significant civil, criminal and administrative penalties, imprisonment damages, fines, exclusion from government-funded healthcare programs, such as Medicare and Medicaid or similar programs in other countries or jurisdictions, integrity oversight and reporting obligations to resolve allegations of non-compliance, disgorgement, imprisonment, contractual damages, reputational harm, diminished profits and the curtailment or restructuring of our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Coverage and Reimbursement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uncertainty exists as to the coverage and reimbursement status of any pharmaceutical or biological product for which we obtain regulatory approval. Sales of any product, if approved, depend, in part, on the extent to which such product will be covered by third-party payors, such as federal, state, and foreign government healthcare programs, commercial insurance and managed healthcare organizations, and the level of reimbursement, if any, for such product by third-party payors. Decisions regarding whether to cover any of our product candidates, if approved, the extent of coverage and amount of reimbursement to be provided are made on a plan-by-plan basis. Further, no uniform policy for coverage and reimbursement exists in the United States, and coverage and reimbursement can differ significantly from payor to payor.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Nonetheless, product candidates may not be considered medically necessary or cost effective. A decision by a third-party payor not to cover any product candidates we may develop could reduce physician utilization of such product candidates once approved and have a material adverse effect on our sales, results of operations and financial condition. Third-party payors often rely upon Medicare coverage policy and payment limitations in setting their own reimbursement rates, but also have their own methods and approval process apart from Medicare determinations.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U.S. government, state legislatures and foreign governments have continued implementing cost-containment programs, including price controls, restrictions on coverage and reimbursement and requirements for substitution of generic products. 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Adoption of price controls and cost-containment measures, and adoption of more restrictive policies in jurisdictions with existing controls and measures, could further limit sales of any product that receives approval. Decreases in third-party reimbursement for any product or a decision by a third-party not to cover a product could reduce physician usage and patient demand for the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Outside the United States, ensuring adequate coverage and payment for any biological candidates we may develop will face challenges. Pricing of prescription pharmaceuticals is subject to governmental control in many countries. Pricing negotiations with governmental authorities can extend well beyond the receipt of regulatory marketing approval for a product and may require us to conduct a clinical study that compares the cost effectiveness of any product candidates we may develop to other available therapies. The conduct of such a clinical study could be expensive and result in delays in our commercialization efforts. In the European Union,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(so called health technology assessments) in order to obtain reimbursement or pricing approval. This HTA process is the procedure according to which the assessment of the public health impact, therapeutic impact and the economic and societal impact of use of a given medicinal product in the national healthcare systems of the individual country is conducted. The outcome of HTA regarding specific medicinal products will often influence the pricing and reimbursement status granted to these medicinal products by the competent authorities of individual EU Member States. For example, the European Union provides options for its member states to restrict the range of products for which their national health insurance systems provide reimbursement and to control the prices of medicinal products for human use. European Union member states may approve a specific price for a product or it may instead adopt a system of direct or indirect controls on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profitability of the company placing the product on the market. Other member states allow companies to fix their own prices for products but monitor and control prescription volumes and issue guidance to physicians to limit prescriptions. Recently, many countries in the European Union have increased the amount of discounts required on pharmaceuticals and these efforts could continue as countries attempt to manage healthcare expenditures, especially in light of the severe fiscal and debt crises experienced by many countries in the European Union.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European Union member states, and parallel trade (arbitrage between low-priced and high-priced member states), can further reduce prices. There can be no assurance that any country that has price controls or reimbursement limitations for pharmaceutical products will allow favorable reimbursement and pricing arrangements for any of our products, if approved in those countries.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Healthcare Reform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healthcare programs, and increased governmental control of drug pricing.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ACA, which was enacted in March 2010,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healthcare programs. Since its enactment, there have been judicial, Congressional and executive branch challenges to certain aspects of the ACA, and we expect there will be additional challenges and amendments to the ACA in the future. For example, on June 17, 2021, the U.S. Supreme Court dismissed a challenge on procedural grounds that argued the ACA is unconstitutional in its entirety because the “individual mandate” was repealed by Congress.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In addition, on August 16, 2022, President Biden signed the Inflation Reduction Act of 2022, or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It is possible that the ACA will be subject to judicial or Congressional challenges in the future. It is also unclear how such challenges and the healthcare reform measures of the Biden administration will impact the ACA and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legislative changes have been proposed and adopted since the ACA was enacted, including aggregate reductions of Medicare payments to providers of 2% per fiscal year and reduced payments to several types of Medicare providers. These reductions went into effect in April 2013 and, due to subsequent legislative amendments to the statute, will remain in effect through 2032 unless additional action is taken by Congress. Further, the American Taxpayer Relief Act of 2012, among other things, further reduced Medicare payments to several providers, including hospitals and cancer treatment centers, and increased the statute of limitations period for the government to recover overpayments to providers from three to five years. Additionally, on March 11, 2021, President Biden signed the American Rescue Plan Act of 2021 into law, which eliminates the statutory Medicaid drug rebate cap, currently set at 100% of a drug’s average manufacturer price, for single source and innovator multiple source drugs, effective January 1,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In July 2021, the Biden administration released an executive order, “Promoting Competition in the American Economy,” with multiple provisions aimed at prescription drugs. In response to Biden’s executive order, on September 9, 2021, the U.S. Department of Health and Human Services, or HHS, released a Comprehensive Plan for Addressing High Drug Prices that outlines principles for drug pricing reform and sets out a variety of potential legislative policies that Congress could pursue as well as potential administrative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actions HHS can take to advance these principles. In addition, the IRA, among other things, (i) directs HHS to negotiate the price of certain high-expenditure, single-source drugs and biologics covered under Medicare, and subject drug manufacturers to civil monetary penalties and a potential excise tax by offering a price that is not equal to or less than the negotiated “maximum fair price” for such drugs and biologics under the law, and (ii) imposes rebates with respect to certain drugs and biologics covered under Medicare Part B or Medicare Part D to penalize price increases that outpace inflation. The IRA permits HHS to implement many of these provisions through guidance, as opposed to regulation, for the initial years. These provisions take effect progressively starting in fiscal year 2023. On August 29, 2023, HHS announced the list of the first ten drugs that will be subject to price negotiations, although the Medicare drug price negotiation program is currently to legal challenges. It is unclear how the IRA will be implemented but is likely to have a significant impact on the pharmaceutical industry. In response to the Biden administration’s October 2022 executive order,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EU in December 2021, Regulation No 2021/2282 on Health Technology Assessment, or HTA Regulation, was adopted. The HTA Regulation is intended to boost cooperation among EU Member States in assessing health technologies, including new medicinal products, and providing the basis for cooperation at EU level for joint clinical assessments in these areas. When it enters into application in 2025, the HTA Regulation will be intended to harmonize the clinical benefit assessment of HTA across the European Union.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 state, federal and foreign healthcare reform measures may be adopted in the future.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Human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human capital is integral to helping us achieve our mission of eradicating monogenic diseases of the CNS. We have built a culture of high performance based on our core values: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Being an ally to the rare disease community;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Uncovering never-before-seen scientific discoveries;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cutting-edge technologies and medicines;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Having a true sense for the term “partnership”;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Exploring uncharted territory, just like the first Texas “wildcatters”.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human capital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we had 52 employees, all of whom were full-time. All of our employees are located in the United States. None of our employees are represented by a labor union or covered by a collective bargaining agreement. We consider our relationship with our employees to be good.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Corporate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were incorporated under the laws of the State of Texas in September 2019. In February 2020, we converted to a Delaware corporation. Our principal executive offices are located at 3000 Pegasus Park Drive Ste 1430, Dallas, Texas 75247 and our telephone number is (214) 612-0000.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internet website address is </w:t>
      </w:r>
      <w:r>
        <w:rPr>
          <w:rFonts w:ascii="Times New Roman" w:hAnsi="Times New Roman"/>
          <w:i/>
          <w:color w:val="000000"/>
          <w:sz w:val="20"/>
        </w:rPr>
        <w:t>www.tayshagtx.com</w:t>
      </w:r>
      <w:r>
        <w:rPr>
          <w:rFonts w:ascii="Times New Roman" w:hAnsi="Times New Roman"/>
          <w:color w:val="000000"/>
          <w:sz w:val="20"/>
        </w:rPr>
        <w:t>. In addition to the information about us and our subsidiaries contained in this Annual Report, information about us can be found on our website. Our website and information included in or linked to our website are not part of this Annual Report.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Our annual reports on Form 10-K, quarterly reports on Form 10-Q, current reports on Form 8-K and amendments to those reports filed or furnished pursuant to Section 13(a) or 15(d) of the Securities Exchange Act of 1934, as amended, are available free of charge through our website as soon as reasonably practicable after they are electronically filed with or furnished to the Securities and Exchange Commission, or SEC. Additionally the SEC maintains an internet site that contains reports, proxy and information statements and other information. The address of the SEC's website is </w:t>
      </w:r>
      <w:r>
        <w:rPr>
          <w:rFonts w:ascii="Times New Roman" w:hAnsi="Times New Roman"/>
          <w:i/>
          <w:color w:val="000000"/>
          <w:sz w:val="20"/>
        </w:rPr>
        <w:t>www.sec.gov</w:t>
      </w:r>
      <w:r>
        <w:rPr>
          <w:rFonts w:ascii="Times New Roman" w:hAnsi="Times New Roman"/>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4" w:name="item_1a_risk_factors_1"/>
      <w:bookmarkEnd w:id="4"/>
      <w:r>
        <w:rPr>
          <w:rFonts w:ascii="Times New Roman" w:hAnsi="Times New Roman"/>
          <w:b/>
          <w:color w:val="000000"/>
          <w:sz w:val="20"/>
        </w:rPr>
        <w:t>Item 1A.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information sets forth risk factors that could cause our actual results to differ materially from those contained in forward-looking statements we have made in this Annual Report on Form 10-K and those we may make from time to time. You should carefully consider the risks described below, in addition to the other information contained in this Annual Report on Form 10-K and our other public filings. Our business, financial condition or results of operations could be harmed by any of these risks. The risks and uncertainties described below are not the only ones we face. Additional risks not presently known to us or other factors not perceived by us to present significant risks to our business at this time also may impair our business operations.</w:t>
      </w:r>
    </w:p>
    <w:p>
      <w:pPr>
        <w:pStyle w:val="TextBody"/>
        <w:bidi w:val="0"/>
        <w:spacing w:before="240" w:after="283"/>
        <w:jc w:val="left"/>
        <w:rPr>
          <w:rFonts w:ascii="Times New Roman" w:hAnsi="Times New Roman"/>
          <w:sz w:val="20"/>
        </w:rPr>
      </w:pPr>
      <w:r>
        <w:rPr>
          <w:rFonts w:ascii="Times New Roman" w:hAnsi="Times New Roman"/>
          <w:b/>
          <w:color w:val="000000"/>
          <w:sz w:val="20"/>
        </w:rPr>
        <w:t>Selected Risks Affecting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subject to a number of risks of which you should be aware before making a decision to invest in our common stock. These risks are more fully described in this “Risk Factors” section,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significant losses since our inception. We expect to incur losses over the next several years and may never achieve or maintain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substantial additional funding to meet our financial obligations and to pursue our business objectives. If we are unable to raise capital when needed, we could be forced to curtail our planned operations and the pursuit of our growth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limited operating history and no history of commercializing products, which may make it difficult for an investor to evaluate the success of our business to date and to assess our future viability.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very early in our development efforts and all of our product candidates are in preclinical or clinical development. If we are unable to successfully develop, receive regulatory approval for and commercialize our product candidates for these or any other indications, or successfully develop any other product candidates, or experience significant delays in doing so, our business will be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gene therapy is novel and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intend to identify and develop novel gene therapy product candidates, which makes it difficult to predict the time, cost and potential success of product candidate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regulatory approval processes of the U.S. Food and Drug Administration, or FDA, the European Commission and comparable foreign authorities are lengthy, time consuming and inherently unpredictable. If we are not able to obtain required regulatory approval for our product candidates, our business will be substantially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yet completed testing of any product candidates in clinical trials. Success in preclinical studies or earlier clinical trials may not be indicative of results in future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successful in our efforts to build a pipeline of additional product candidates or our next-generation platform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conditions in our industry or the global economy could limit our ability to grow our business and negatively affect our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 therapies are novel, complex and difficult to manufacture. We could experience manufacturing problems that result in delays in the development or commercialization of our product candidates or otherwise harm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and our contract manufacturers for AAV9 are subject to significant regulation with respect to manufacturing our products. The third-party manufacturing facilities on which we rely, and any manufacturing facility that we may have in the future, may have limited capacity or fail to meet the applicable stringent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rely exclusively on our collaboration with UT Southwestern for our preclinical research and development programs, including for discovering, preclinically developing and conducting all IND-enabling studies for our lead product candidates and our near-term future pipeline. Failure or delay of UT Southwestern to fulfill all or part of its obligations to us under the agreement, a breakdown in collaboration between the parties or a complete or partial loss of this relationship would materially harm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UT Southwestern has entered into collaborations with third parties, including certain of our competitors, addressing targets and disease indications outside the scope of our collaboration. As a result, UT Southwestern may have competing interests with respect to their priorities and resources.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Negative public opinion of gene therapy and increased regulatory scrutiny of gene therapy and genetic research may adversely impact the development or commercial success of our current and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significant competition from other biotechnology and pharmaceutical companies, and our operating results will suffer if we fail to compete effectively.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initiate legal proceedings alleging that we are infringing their intellectual property rights, the outcome of which would be uncertain.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legal proceedings from time to time which seek material damages.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term loan agreement contains restrictions that potentially limit our flexibility in operating our business, and we may be required to make a prepayment or repay our outstanding indebtedness earlier than we expect.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obtain or protect intellectual property rights related to any of our product candidates, we may not be able to compete effectively in our market.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Financial Position and Capital Needs</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incurred significant losses since our inception. We expect to incur losses over the next several years and may never achieve or maintain profitability.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incurred significant net losses, and we expect to continue to incur significant expenses and operating losses for the foreseeable future. Our net losses were $111.6 million and $166.0 million for the years ended December 31, 2023 and 2022, respectively. As of December 31, 2023, we had an accumulated deficit of $513.0 million. We have financed our operations with $589.0 million in gross proceeds from equity financings, including from pre-IPO private placements of convertible preferred stock, our initial public offering, or the IPO, and subsequent sales of common stock in public and private securities offerings, from our previous loan agreement with Silicon Valley Bank and our current loan agreement with Trinity Capital and from the option agreement dated October 21, 2022, or the Option Agreement, with Audentes Therapeutics, Inc. (d/b/a Astellas Gene Therapy), or Astellas, and the securities purchase agreement dated October 21, 2022, or the Securities Purchase Agreement (and together with the Option Agreement, the Astellas Transactions), with Astellas. We have no products approved for commercialization and have never generated any revenue from product sales.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of our product candidates are still in the clinical or preclinical development stage. We expect to continue to incur significant expenses and operating losses over the next several years. We expect that it could be several years, if ever, before we have a commercialized product. Our net losses may fluctuate significantly from quarter to quarter and year to year. We anticipate that our expenses will increase substantially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advance the preclinical and clinical development of our product candidates and preclinical and discovery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 our ongoing clinical trials of TSHA-102 and any other current and future product candidates that we advance;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regulatory approval for any product candidates that successfully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develop our gene therapy product candidate pipeline and next-generation platforms;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scale up our clinical and regulatory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manufacture current good manufacturing practice, or cGMP, material for clinical trials or potential commercial sales;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 commercialization infrastructure and scale up internal and external manufacturing and distribution capabilities to commercialize any product candidates for which we may obtain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adapt our regulatory compliance efforts to incorporate requirements applicable to marketed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expand and protect our intellectual property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hire additional clinical, manufacturing quality control, regulatory, manufacturing and scientific and administrative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 operational, financial and management information systems and personnel, including personnel to support our product development and planned future commercialization efforts;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incur additional legal, accounting and other expenses in operating as a public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In 2023, we generated revenue from the Astellas Transactions; however, to date we have not generated any revenue from product sales. To become and remain profitable, we must succeed in developing and eventually commercializing product candidates that generate significant revenue. This will require us to be successful in a range of challenging activities, including completing preclinical testing and clinical trials of our product candidates, obtaining regulatory approval, and manufacturing, marketing and selling any product candidates for which we may obtain regulatory approval, as well as discovering and developing additional product candidates. We are only in the preliminary stages of most of these activities and all of our product candidates are in clinical or preclinical development. We may never succeed in these activities and, even if we do, may never generate any revenue or revenue that is significant enough to achieve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development efforts, obtain product approvals, diversify our offerings or continue our operations. A decline in the value of our company could also cause you to lose all or part of your investment.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a limited operating history and no history of commercializing products, which may make it difficult for an investor to evaluate the success of our business to date and to assess our future viability.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gene therapy company with a limited operating history. We commenced operations in 2019, and our operations to date have been largely focused on organizing and staffing our company, business planning, raising capital and entering into collaboration and license agreements for conducting preclinical research and development activities for our product candidates and gene therapy pipeline. To date, we have not yet demonstrated our ability to successfully complete clinical trials, including pivotal clinical trials, obtain regulatory approvals, manufacture a product on a commercial scale, or arrange for a third party to do so on our behalf, or conduct sales and marketing activities necessary for successful commercialization. Consequently, any predictions you make about our future success or viability may not be as accurate as they could be if we had a longer operating history or a history of successfully developing and commercializing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encounter unforeseen expenses, difficulties, complications, delays and other known or unknown factors in achieving our business objectives. We will need to develop commercial capabilities, and we may not be successful in doing so.</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will need substantial additional funding to meet our financial obligations and to pursue our business objectives. If we are unable to raise capital when needed, we could be forced to curtail our planned operations and the pursuit of our growth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have consumed substantial amounts of cash since inception. 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We expect to continue to incur significant expenses and operating losses over the next several years as we conduct clinical trials of our product candidates, initiate future clinical trials of our product candidates, advance our preclinical programs, seek marketing approval for any product candidates that successfully complete clinical trials and advance any of our other product candidates we may develop or otherwise acquire. In addition, our product candidates, if approved, may not achieve commercial success. Our revenue, if any, primarily will be derived from sales of products that we do not expect to be commercially available for a number of years, if at all. If we obtain marketing approval for any product candidates that we develop or otherwise acquire, we expect to incur significant commercialization expenses related to product sales, marketing, distribution and manufacturing. We also expect an increase in our expenses associated with creating additional infrastructure to support operations as a public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we had cash and cash equivalents of $143.9 million. We believe that our existing cash and cash equivalents will be sufficient to fund our operating expenses and capital requirements into 2026. This estimate is based on assumptions that may prove to be wrong, and we could use our available capital resources sooner than we expect. Changes may occur beyond our control that would cause us to consume our available capital before that time, including changes in and progress of our development activities, acquisitions of additional product candidates, and changes in regulation. Our future capital requirements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costs and results of discovery, preclinical development, laboratory testing and clinical trials for TSHA-102 and any current and future product candidates that we advance;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access sufficient additional capital on a timely basis and on favorable terms, including with respect to our term loan facility with Trinity Capital;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develop, in-license or acquire other product candidates and technologies in our gene therapy product candidate pipeline;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of process development and manufacturing scale-up activities associated with our product candidates and other programs as we advance them through preclinical and 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development requirements of product candidates that we may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timing and outcome of regulatory review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headcount growth and associated costs as we expand our research and development capabilities and establish a commercial infrastructure;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of future commercialization activities, including product manufacturing, marketing, sales, and distribution, for any of our product candidates for which we receive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of preparing, filing and prosecuting patent applications, maintaining and enforcing our intellectual property rights and defending any intellectual property-related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incurred in defending ourselves in any legal proceedings that we may be subject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revenue, if any, received from commercial sales of our product candidates for which we receive marketing approval;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operating as a public company.</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We will require additional capital to achieve our business objectives, including to conduct our ongoing and planned clinical trials of our product candidates. Additional funds may not be available on a timely basis, on favorable terms, or at all, and such funds, if raised, may not be sufficient to enable us to continue to implement our long-term business strategy. Further, our ability to raise additional capital may be adversely impacted by potential worsening global economic conditions, including decades-high inflation and concerns of a recession in the United States or other major markets, and the recent disruptions to and volatility in the credit and financial markets in the United States and worldwide, including from the COVID-19 pandemic. Weakness and volatility in the capital markets and the economy in general could also increase our costs of borrowing. If we are unable to raise sufficient additional capital, we could be forced to curtail our planned operations and the pursuit of our growth strategy.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existing indebtedness contains restrictions that potentially limit our flexibility in operating our business. In addition, we may be required to make a prepayment or repay our outstanding indebtedness earlier than we expect, or we may be unable to draw down the remaining tranches under our Term Loan Agreement if we are unable to satisfy certain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13, 2023, we entered into a Loan and Security Agreement, or the Trinity Term Loan Agreement, with the lenders party thereto from time to time, or the Trinity Lenders, and Trinity Capital Inc., as administrative agent and collateral agent for the Trinity Lenders, or Trinity, which provides for term loans of up to $40.0 million in the aggregate available in a single tranche. The Trinity Term Loan Agreement contains various covenants that limit our ability to engage in specified types of transactions. These covenants limit our ability to,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or assume certain debt;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merge or consolidate or acquire all or substantially all of the capital stock or property of another entity;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the nature of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our organizational structure or type;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license, transfer, or dispose of certain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grant certain types of liens on our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make certain investments;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 cash dividends;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enter into material transactions with affiliates.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A breach of any of these covenants could result in an event of default under the Trinity Term Loan Agreement. An event of default will also occur if, among other things, a material adverse change in our business, operations, or condition occurs, which could potentially include a material impairment of the prospect of our repayment of any portion of the amounts we owe under the Term Loan Agreement. In the case of a continuing event of default under the Trinity Term Loan Agreement, the Trinity Lenders could elect to declare all amounts outstanding to be immediately due and payable, proceed against the collateral in which we granted the Trinity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Lenders a security interest under the Term Loan Agreement, or otherwise exercise the rights of a secured creditor. Amounts outstanding under the Trinity Term Loan Agreement are secured by all of our existing and future assets, including intellectual property.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closing, we drew the full $40.0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have enough available cash to repay or refinance our indebtedness at the time any such repayment is required. In such an event, we may be required to delay, limit, reduce, or terminate our preclinical and clinical product development or commercialization efforts or grant others rights to develop and market product candidates that we would otherwise prefer to develop and market ourselves. Our business, financial condition, and results of operations could be materially adversely affected as a result.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Raising additional capital may cause dilution to our stockholders, restrict our operations or require us to relinquish rights to our technologies or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Until such time, if ever, as we can generate substantial revenue, we may finance our cash needs through a combination of equity offerings, government or private party grants, debt financings and license and collaboration agreements. We do not currently have any other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equity financing, if available, may involve agreements that include covenants limiting or restricting our ability to take specific actions, such as incurring additional debt, making capital expenditures or declaring dividends.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raise additional funds through collaborations, strategic alliances or marketing, distribution or licensing arrangements with third parties, we may be required to relinquish valuable rights to our technologies, future revenue streams or product candidates, grant licenses on terms that may not be favorable to us or commit to future payment streams.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pStyle w:val="TextBody"/>
        <w:bidi w:val="0"/>
        <w:spacing w:before="240" w:after="283"/>
        <w:jc w:val="left"/>
        <w:rPr>
          <w:rFonts w:ascii="Times New Roman" w:hAnsi="Times New Roman"/>
          <w:sz w:val="20"/>
        </w:rPr>
      </w:pPr>
      <w:r>
        <w:rPr>
          <w:rFonts w:ascii="Times New Roman" w:hAnsi="Times New Roman"/>
          <w:b/>
          <w:i/>
          <w:color w:val="000000"/>
          <w:sz w:val="20"/>
        </w:rPr>
        <w:t>Adverse developments affecting financial institutions, companies in the financial services industry or the financial services industry generally, such as actual events or concerns involving liquidity, defaults or non-performance, could adversely affect our operations and 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liquidity problems. For example, on March 10, 2023, Silicon Valley Bank, or SVB, was closed by the California Department of Financial Protection and Innovation, which appointed the Federal Deposit Insurance Corporation, or the FDIC, as receiver.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a statement by the U.S. Department of the Treasury, the Federal Reserve and the FDIC stated that all depositors of SVB would have access to all of their money after only one business day following the date of closure, uncertainty and liquidity concerns in the broader financial services industry remain. Inflation and rapid increases in interest rates have led to a decline in the trading value of previously issued government securities with interest rates below current market interest rates. The U.S. Department of Treasury, FDIC and Federal Reserve Board have announced a program to provide up to $25 billion of loans to financial institutions secured by such government securities held by financial institutions to mitigate the risk of potential losses on the sale of such instruments. However, widespread demands for customer withdrawals or other needs of financial institutions for immediate liquidity may exceed the capacity of such program. There is no guarantee that the U.S. Department of Treasury, FDIC and Federal Reserve Board will provide access to uninsured funds in the future in the event of the closure of other banks or financial institutions in a timely fashion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access to our cash and cash equivalents in amounts adequate to finance our operations could be significantly impaired by the financial institutions with which we have arrangements directly facing liquidity constraints or failures. 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material decline in available funding or our ability to access our cash and cash equivalents could adversely impact our ability to meet our operating expenses, result in breaches of our contractual obligations or result in violations of federal or state wage and hour laws, any of which could have material adverse impacts on our operations and liquidity.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Unfavorable global economic conditions could adversely affect our business, financial condition or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results of operations could be adversely affected by general conditions in the global economy. Unfavorable conditions in the economy both in the United States and abroad, including conditions resulting from changes in gross domestic product growth in the United States or abroad, financial and credit market fluctuations, inflation, rising interest rates, international trade relations, political turmoil, natural catastrophes, outbreaks of contagious diseases, such as the COVID-19 pandemic, warfare and terrorist attacks on the United States, Europe, the Asia Pacific region or elsewhere, such as the conflict in the Middle East, could cause a decrease in business investments, disrupt the timing and cadence of key industry events, and negatively affect the growth of our business and our results of operations. For example, the COVID-19 pandemic adversely affected workforces, economies and financial markets globally, leading to a reduction in the ability of, or the inability of, partners, suppliers, vendors or other parties to meet their contractual obligations, and for a period of time, a reduction in customer spending on technology, and such conditions may reoccur in the future. The war in Ukraine and the related political and economic responses imposed on Russia such as sanctions, may also exacerbate these issues and trends especially in Europe.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delays in payments for our services by third-party payors or our collaborators. Any of the foregoing could harm our business and we cannot anticipate all of the ways in which the current economic climate and financial market conditions could adversely impact our business, financial condition, results of operations and prospects.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the Development of our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TSHA-102 is currently our lead product candidate and there is no guarantee that we will be able to successfully develop and commercialize TSHA-102.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currently focused on the potential development of our lead product candidate, TSHA-102. We are still developing TSHA-102 and it cannot be marketed or sold in the United States or in foreign markets until regulatory approval has been obtained from the FDA or applicable foreign regulatory agencies. The process of obtaining regulatory approval is expensive and time consuming. The FDA and foreign regulatory authorities may never approve TSHA-102 for sale and marketing, and even if TSHA-102 is ultimately approved, regulatory approval may be delayed or limited in the United States or in other jurisdictions. Even if we are authorized to sell and market TSHA-102 in one or more markets, there is no assurance that we will be able to successfully market TSHA-102 or that TSHA-102 will achieve market acceptance sufficient to generate profits. If we are unable to successfully develop and commercialize TSHA-102 due to failure to obtain regulatory approval for TSHA-102, to successfully market TSHA-102, to generate profits from the sale of TSHA-102, or due to other risk factors outlined in this report, it would have material adverse effects on our business, financial condition, and results of operations as TSHA-102 is currently our sole product candidate.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very early in our development efforts and all of our product candidates are in clinical or preclinical development. If we are unable to successfully develop, receive regulatory approval for and commercialize our product candidates for these or any other indications, or successfully develop any other product candidates, or experience significant delays in doing so, our business will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very early in our development efforts and all of our product candidates are still in clinical or preclinical development. Each of our programs and product candidates will require additional preclinical and/or clinical development, regulatory approval, obtaining manufacturing supply, capacity and expertise, building a commercial organization or successfully outsourcing commercialization, substantial investment and significant marketing efforts before we generate any revenue from product sales. We do not have any products that are approved for commercial sale, and we may never be able to develop or commercialize marketable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generate revenue from our product candidates, which we do not expect will occur for several years, if ever, will depend heavily on the successful development, regulatory approval and eventual commercialization of our product candidates. The success of TSHA-102 or any other product candidates that we develop or otherwise may acquire will depend on several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INDs from the FDA or comparable foreign applications that allow commencement of our planned clinical trials or future clinical trials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enrollment and completion of clinical trials, including under the FDA’s and comparable foreign regulatory authorities’ current good clinical practices, or GCPs, and current Good Laboratory Practices;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timely and successful completion of preclinical studies, including toxicology studies, biodistribution studies and minimally efficacious dose studies in animals, where applicable,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sufficiency of our financial and other resources to complete the necessary preclinical studies and clinical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development of, or making arrangements with third-party manufacturers for, our commercial manufacturing processes for any of our product candidates that receive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receipt of timely marketing approvals from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launching commercial sales of products, if approved, whether alone or in collaboration with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of the benefits and use of our products, including method of administration, if approved, by patients, the medical community and third-party payors, for their approved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prevalence and severity of adverse events experienced with TSHA-102 or any other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perceived advantages, cost, safety and efficacy of alternative therapies for any product candidate, and any indications for such product candidate, that we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produce TSHA-102 or any other product candidates we develop on a commercial scale;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and maintaining patent, trademark and trade secret protection and regulatory exclusivity for our product candidates and otherwise protecting our rights in our intellectual property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compliance with regulatory requirements, including cGMPs, and complying effectively with other procedures;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and maintaining third-party coverage and adequate reimbursement and patients’ willingness to pay out-of-pocket in the absence of such coverage and adequate reimbursement;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 continued acceptable safety, tolerability and efficacy profile of the products following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any product candidate we develop, we may not be able to continue our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intend to identify and develop novel gene therapy product candidates, which makes it difficult to predict the time, cost and potential success of product candidate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strategy is to identify, develop and commercialize gene therapy product candidates using an AAV9 capsid for intrathecal delivery of therapeutic transgenes to certain kinds of cells. Our future success depends on the successful development of these novel therapeutic approaches. To date, very few products that utilize gene transfer have been approved in the United States, the EU or other European countries and no gene therapy products that utilize an intrathecal method of administration have been approved. There have been a limited number of clinical trials of gene transduction technologies, with only two product candidates ever approved by the FDA.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AAV9 has been tested in numerous clinical trials and is used in two currently approved products, we cannot be certain that our AAV9 product candidates will successfully complete preclinical studies and clinical trials, or that they will not cause significant adverse events or toxicities. We also cannot be certain that we will be able to avoid triggering toxicities in our future preclinical studies or clinical trials or that our intrathecal method of administration will not cause unforeseen side effects or other challenges. Any such results could impact our ability to develop a product candidate, including our ability to enroll patients in our clinical trials. As a result of these factors, it is more difficult for us to predict the time and cost of product candidate development, and we cannot predict whether the application of our approach to gene therapy, or any similar or competitive programs, will result in the identification, development, and regulatory approval of any product candidates, or that other gene therapy programs will not be considered better or more attractive. There can be no assurance that any development problems we experience in the future related to our current gene therapy product candidates or any of our research programs will not cause significant delays or unanticipated costs, or that such development problems can be solved. We may also experience delays and challenges in achieving sustainable, reproducible, and scalable production. Any of these factors may prevent us from completing our preclinical studies or clinical trials or commercializing any product candidates we may develop on a timely or profitable basis, if at all.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Because gene therapy is novel and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regulatory requirements that will govern any novel gene therapy product candidates we develop are not entirely clear and are subject to change. Within the broader genetic medicine field, very few therapeutic products have received marketing authorization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the FDA or the European Commission. Even with respect to more established products that fit into the categories of gene therapies or cell therapies, the regulatory landscape is still developing. Regulatory requirements governing gene therapy products and cell therapy products have changed frequently and will likely continue to change in the future. Moreover, there is substantial overlap in those responsible for regulation of existing gene therapy products and cell therapy products. For example, in the United States, the FDA has established the Office of Tissues and Advanced Therapies within its Center for Biologics Evaluation and Research, or CBER, to consolidate the review of gene therapy and related products, and the Cellular, Tissue and Gene Therapies Advisory Committee to advise CBER on its review.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 candidates will need to meet safety and efficacy standards applicable to any new biologic under the regulatory framework administered by the FDA. In addition to FDA oversight and oversight by institutional review boards, or IRBs, under guidelines promulgated by the National Institutes of Health, or NIH, gene therapy clinical trials are also subject to review and oversight by an institutional biosafety committee, or IBC, a local institutional committee that reviews and oversees research utilizing recombinant or synthetic nucleic acid molecules at that institution. The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 Although the FDA decides whether individual gene therapy protocols may proceed, the review process and determinations of other reviewing bodies can impede or delay the initiation of a clinical trial, even if the FDA has reviewed the trial and approved its initiation.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Similar considerations apply in the European Union. The EMA’s Committee for Advanced Therapies, or CAT, is responsible for assessing the quality, safety, and efficacy of advanced-therapy medicinal products. Advanced-therapy medicinal products include gene therapy medicines, somatic-cell therapy medicines and tissue-engineered medicines. The role of the CAT is to prepare a draft opinion on an application for marketing authorization for a gene therapy medicinal candidate that is submitted to the EMA. In the European Union, the development and evaluation of a gene therapy product must be considered in the context of the relevant EU legislation and guidelines. The EMA may issue new guidelines concerning the development and marketing authorization for gene therapy products and require that we comply with these new guidelines. As a result, the procedures and standards applied to gene therapy products and cell therapy products may be applied to any gene therapy product candidate we may develop, but that remains uncertain at this point.</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Adverse developments in preclinical studies or clinical trials conducted by others in the field of gene therapy and gene regulation products may cause the FDA, the EU, and other regulatory authorities to revise the requirements for approval of any product candidates we may develop or limit the use of products utilizing gene regulation technologies, either of which could harm our business. In addition, the clinical trial requirements of the FDA, the EU, national competent authorities of EU Member States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product candidates such as ours can be more expensive and take longer than for other, better known, or more extensively studied pharmaceutical or other product candidates. Further, as we are developing novel potential treatments for diseases in which, in some cases, there is little clinical experience with potential new endpoints and methodologies, there is heightened risk that the FDA, the EMA or the European Commission or other regulatory authorities may not consider the clinical trial endpoints to provide clinically meaningful results, and the resulting clinical data and results may be more difficult to analyze. In addition, we may not be able to identify or develop appropriate animal disease models to enable or support planned clinical development. Any natural history studies that we may conduct or rely upon in our clinical development may not be accepted by the FDA, EMA or the European Commission or other regulatory authorities. Regulatory authorities administering existing or future regulations or legislation may not allow production and marketing of products utilizing gene regulation technology in a timely manner or under technically or commercially feasible conditions. In addition, regulatory action or private litigation could result in expenses, delays, or other impediments to our research programs or the commercialization of resulting products. Further, approvals by one regulatory authority may not be indicative of what other regulatory authorities may require for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regulatory review committees and advisory groups described above and the new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these treatment candidates, or lead to significant post-approval limitations or restrictions. As we advance our research programs and develop future product candidates, we will be required to consult with these regulatory and advisory groups and to comply with applicable guidelines. If we fail to do so, we may be required to delay or discontinue development of any product candidates we identify and develop.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Preclinical studies and clinical trials are expensive, time-consuming, difficult to design and implement and involve an uncertain outcome. Further, we may encounter substantial delays in completing the development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our product candidates are in clinical or preclinical development and their risk of failure is high. The clinical trials and manufacturing of our product candidates are, and the manufacturing and marketing of our products, if approved, will be, subject to extensive and rigorous review and regulation by numerous government and regulatory authorities in the United States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In particular, because our product candidates are subject to regulation as biological products, we will need to demonstrate that they are safe, pure and potent for use in their target indications. Each product candidate must demonstrate an adequate risk versus benefit profile in its intended patient population and for its intended use.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Clinical testing is expensive and can take many years to complete and is subject to uncertainty. We cannot guarantee that any clinical trials will be conducted as planned or completed on schedule, if at all. Failure can occur at any time during the clinical trial process. Even if our future clinical trials are completed as planned, we cannot be certain that their results will support the safety and effectiveness of our product candidates for their targeted indications or support continued clinical development of such product candidates. Our future clinical trial results may not be successful.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even if such trials are successfully completed, we cannot guarantee that the FDA or foreign regulatory authorities will interpret the results as we do, and more trials could be required before we submit our product candidates for approval. This is particularly true for clinical trials in very rare diseases, such as with TSHA-102 for the treatment of Rett syndrome, where the very small patient population makes it difficult or impossible to conduct two traditional, adequate and well-controlled studies, and therefore the FDA or comparable foreign regulatory authorities are required to exercise flexibility in approving therapies for such diseases. For example, in January 2023, we reported feedback from the Type B end-of-Phase 2 meeting with the FDA following receipt of the formal meeting minutes. The FDA provided additional clarity for TSHA-120 where MFM32 was acknowledged as an acceptable endpoint with a recommendation to dose additional patients in a double-blind, placebo-controlled design to support a BLA. The FDA acknowledged that our overall approach to manufacturing of commercial material was appropriate pending their review of our CMC module 3 amendment submitted for TSHA-120. Moreover, results acceptable to support approval in one jurisdiction may be deemed inadequate by another regulatory authority to support regulatory approval in that other jurisdiction.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date, we have not completed any clinical trials required for the approval of our product candidates. We may experience delays in conducting any clinical trials and we do not know whether our clinical trials will begin on time, need to be redesigned, recruit and enroll patients on time or be completed on schedule, or at all. Events that may prevent successful or timely completion of clinical development include: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inability to generate sufficient preclinical, toxicology, or other </w:t>
      </w:r>
      <w:r>
        <w:rPr>
          <w:rFonts w:ascii="Times New Roman" w:hAnsi="Times New Roman"/>
          <w:i/>
          <w:color w:val="000000"/>
          <w:sz w:val="20"/>
        </w:rPr>
        <w:t>in vivo</w:t>
      </w:r>
      <w:r>
        <w:rPr>
          <w:color w:val="000000"/>
        </w:rPr>
        <w:t xml:space="preserve"> </w:t>
      </w:r>
      <w:r>
        <w:rPr>
          <w:rFonts w:ascii="Times New Roman" w:hAnsi="Times New Roman"/>
          <w:color w:val="000000"/>
          <w:sz w:val="20"/>
        </w:rPr>
        <w:t xml:space="preserve">or </w:t>
      </w:r>
      <w:r>
        <w:rPr>
          <w:rFonts w:ascii="Times New Roman" w:hAnsi="Times New Roman"/>
          <w:i/>
          <w:color w:val="000000"/>
          <w:sz w:val="20"/>
        </w:rPr>
        <w:t>in vitro</w:t>
      </w:r>
      <w:r>
        <w:rPr>
          <w:color w:val="000000"/>
        </w:rPr>
        <w:t xml:space="preserve"> </w:t>
      </w:r>
      <w:r>
        <w:rPr>
          <w:rFonts w:ascii="Times New Roman" w:hAnsi="Times New Roman"/>
          <w:color w:val="000000"/>
          <w:sz w:val="20"/>
        </w:rPr>
        <w:t>data to support the initiation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sufficiently developing, characterizing or controlling a manufacturing process suitable for advanced clinical trials, including our natural history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developing suitable assays for screening patients for eligibility for trials with respect to certain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reaching agreement with the FDA, EMA or other regulatory authorities as to the design or implementation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regulatory approval to commence a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reaching an agreement on acceptable terms with clinical trial sites or prospective contract research organizations, or CROs, the terms of which can be subject to extensive negotiation and may vary significantly among different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IRB approval and positive Ethics Committee opinions at each trial site;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recruiting suitable patients to participate in a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having patients complete a clinical trial or return for post-treatment follow-up;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sites, CROs or other third parties deviating from trial protocol or dropping out of a trial;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perform in accordance with the FDA’s GCP requirements, or applicable regulatory guidelines in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addressing patient safety concerns that arise during the course of a trial, including occurrence of adverse events associated with the product candidate that are viewed to outweigh its potential benefits;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adding a sufficient number of clinical trial sites;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 sufficient quantities of product candidate for use in clinical trials.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We may experience numerous unforeseen events during, or as a result of, clinical trials that could delay or prevent our ability to receive marketing approval or commercialize our product candidates or significantly increase the cost of such trials,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experience changes in regulatory requirements or guidance, or receive feedback from regulatory authorities that requires us to modify the design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of our product candidates may produce negative or inconclusive results, and we may decide, or regulators may require us, to conduct additional clinical trials or abandon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third-party contractors may fail to comply with regulatory requirements or meet their contractual obligations to us in a timely manner,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investigators might have to suspend or terminate clinical trials of our product candidates for various reasons, including non-compliance with regulatory requirements, a finding that our product candidates have undesirable side effects or other unexpected characteristics, or a finding that the participants are being exposed to unacceptable health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clinical trials of our product candidates may be greater than we anticipate and we may not have funds to cover the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supply or quality of our product candidates or other materials necessary to conduct clinical trials of our product candidates may be insufficient or inadequate;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regulators may revise the requirements for approving our product candidates, or such requirements may not be as we anticipate;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future collaborators that conduct clinical trials may face any of the above issues, and may conduct clinical trials in ways they view as advantageous to them but that are suboptimal for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unplanned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delayed in obtaining marketing approval for our product candidates or not obtain marketing approval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marketing approval in some countries and not in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marketing approval for indications or patient populations that are not as broad as intended or desired;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marketing approval with labeling that includes significant use or distribution restrictions or safety warnings, including boxed warnings or Risk Evaluation and Mitigation Strategies, or REMS, or comparable foreign strategies;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subject to additional post-marketing testing requirements;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have the product removed from the market after obtaining marketing approval.</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 xml:space="preserve">We could encounter delays if a clinical trial is suspended or terminated by us, by the IRBs or Ethics Committees of the institutions in which such trials are being conducted, by the Data Safety Monitoring Board for such trial or by the FDA, the competent authorities of EU Member States or other regulatory authorities. Such authorities may impose such a suspension or termination due to a number of factors, including failure to conduct the clinical trial in accordance with regulatory requirements or our clinical protocols,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inspection of the clinical trial operations or trial site by the FDA, the competent authorities of EU Member States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of our product candidates will require extensive clinical testing before we are prepared to submit a BLA or marketing authorization application, or MAA, for regulatory approval. We cannot predict with any certainty if or when we might complete the clinical development for our product candidates and submit a BLA or MAA for regulatory approval of any of our product candidates or whether any such BLA or MAA will be approved. We may also seek feedback from the FDA, EMA or other regulatory authorities on our clinical development program, and the FDA, EMA or such regulatory authorities may not provide such feedback on a timely basis, or such feedback may not be favorable, which could further delay our development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predict with any certainty whether or when we might complete a given clinical trial. If we experience delays in the commencement or completion of our clinical trials, or if we terminate a clinical trial prior to completion, the commercial prospects of our product candidates could be harmed, and our ability to generate revenues from our product candidates may be delayed or lost. In addition, any delays in our clinical trials could increase our costs, slow down the development and approval process and jeopardize our ability to commence product sales and generate revenues. Any of these occurrences may harm our business, financial condition and results of operations. In addition, many of the factors that cause, or lead to, a delay in the commencement or completion of clinical trials may also ultimately lead to the denial of regulatory approval of our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regulatory approval processes of the FDA, European Commission and comparable foreign authorities are lengthy, time consuming and inherently unpredictable. If we are not able to obtain required regulatory approval for our product candidates, our business will be substantially harmed.</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The time required to obtain approval or other marketing authorizations by the FDA, European Commission and comparable foreign authorities is unpredictable, and it typically takes many years following the commencement of clinical trials and depends upon numerous factors, including the substantial discretion of the regulatory authorities. In addition, approval policies, regulations, and the type and amount of clinical data necessary to gain approval may change during the course of a product candidate’s clinical development and may vary among jurisdictions. We have not obtained regulatory approval for any product candidate, and it is possible that we may never obtain regulatory approval for any product candidates we may seek to develop in the future. Neither we nor any current or future collaborator is permitted to market any drug product candidates in the United States until we receive regulatory approval of a BLA from the FDA, and we cannot market it in the European Union until we receive approval for a MAA from the European Commission, or other required regulatory approval in other countries. To date, we have had only limited discussions with the FDA regarding clinical development programs or regulatory approval for any product candidate within the United States. In addition, we have only had limited discussions with Health Canada, and no discussions with the EMA and other comparable foreign authorities, regarding clinical development programs or regulatory approval for any product candidate outside of the United States.</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Prior to obtaining approval to commercialize any drug product candidate in the United States or abroad, we must demonstrate with substantial evidence from well-controlled clinical trials, and to the satisfaction of the FDA or foreign regulatory authorities, that such product candidates are safe, pure and effective for their intended uses. Results from preclinical studies and clinical trials can be interpreted in different ways. Even if we believe the preclinical or clinical data for our product candidates are promising, such data may not be sufficient to support approval by the FDA and other regulatory authorities. The FDA or comparable foreign regulatory authorities may also require us to conduct additional preclinical studies or clinical trials for our product candidates either prior to or after approval, or it may object to elements of our clinical development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Of the large number of products in development, only a small percentage successfully complete the FDA or foreign regulatory approval processes and are commercialized. The lengthy approval and marketing authorization process as well as the unpredictability of future clinical trial results may result in our failing to obtain regulatory approval and marketing authorization to market our product candidates, which would significantly harm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invested a significant portion of our time and financial resources in the development of our preclinical product candidates. Our business is dependent on our ability to successfully complete preclinical and clinical development of, obtain regulatory approval for, and, if approved, successfully commercialize TSHA-102 and any future product candidates in a timely manner.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eventually complete clinical testing and receive approval of a BLA or foreign marketing application for TSHA-102 or any future product candidates, the FDA, European Commission or the applicable foreign regulatory authority may grant approval or other marketing authorization contingent on the performance of costly additional clinical trials, including post-marketing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clinical trials. The FDA, European Commission or the applicable foreign regulatory authority also may approve or authorize for marketing a product candidate for a more limited indication or patient population than we originally request, and the FDA, European Commission or applicable foreign regulatory authority may not approve or authorize the labeling that we believe is necessary or desirable for the successful commercialization of a product candidate. Any delay in obtaining, or inability to obtain, applicable regulatory approval or other marketing authorization would delay or prevent commercialization of that product candidate and would materially adversely impact our business and prospects.</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In addition, the FDA, EU and related regulatory authorities and other regulatory authorities may change their policies, issue additional regulations or revise existing regulations, or take other actions, which may prevent or delay approval of our future products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We have not yet completed testing of any product candidate in clinical trials. Success in preclinical studies or earlier clinical trials may not be indicative of results in future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 in preclinical testing and early clinical trials does not ensure that later clinical trials will generate the same results or otherwise provide adequate data to demonstrate the efficacy and safety of a product candidate. Preclinical tests and Phase 1 and Phase 2 clinical trials are primarily designed to test safety, to study pharmacokinetics and pharmacodynamics and to understand the side effects of product candidates at various doses and schedules. Success in preclinical or animal studies and early clinical trials does not ensure that later large-scale efficacy trials will be successful nor does it predict final results. For example, we may be unable to identify suitable animal disease models for our product candidates, which could delay or frustrate our ability to proceed into clinical trials or obtain marketing approval. Our product candidates may fail to show the desired safety and efficacy in clinical development despite positive results in preclinical studies or having successfully advanced through initial clinical trials. Our Phase 1/2 clinical trials of TSHA-102 will involve small patient populations. Because of the small sample sizes, the results of these trials may not be indicative of results of future clinical trials. Further, although other gene therapy clinical trials conducted by others also utilized AAV9 vectors, these trials should not be relied upon as evidence that our planned clinical trials will succeed.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Interim “top-line” and preliminary results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From time to time, we may publish interim top-line or preliminary results from our clinical trials. Interim results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For example, we have announced initial clinical observations from the first patients treated in the Phase 1/2 REVEAL trial of TSHA-102. However, those observations may not endure or be repeated in subsequently dosed patients or any age or disease severity, including patients receiving higher doses of TSHA-102. Initial clinical observations also may not translate into success on primary endpoints of the REVEAL trial through week 52. Differences between preliminary or interim data and final data could significantly harm our business prospects and may cause the trading price of our common stock to fluctuate significantly.</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Further, others, including regulatory authorities, may not accept or agree with our assumptions, estimates, calculations, conclusions or analyses or may interpret or weigh the importance of data differently, which could impact the approvability or commercialization of the particular product candidate or product and our business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product candidate or our business. If the top-line data that we report differ from actual results, or if others, including regulatory authorities, disagree with the conclusions reached, our ability to obtain approval for and commercialize any of our product candidates, our business, operating results, prospects or financial condition may be harmed.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preclinical studies and clinical trials may fail to demonstrate the safety and efficacy of our product candidates, or serious adverse or unacceptable side effects may be identified during the development of our product candidates, which could prevent or delay regulatory approval and commercialization, increase our costs or necessitate the abandonment or limitation of the development of some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obtaining regulatory approvals for the commercial sale of our product candidates, we must demonstrate through lengthy, complex and expensive preclinical testing and clinical trials that our product candidates are safe, pure and effective for use in each target indication, and failures can occur at any stage of testing. Preclinical studies and clinical trials often fail to demonstrate safety or efficacy of the product candidate studied for the target indication. Further, the patients evaluated in our clinical trials are often seriously ill. For example, a patient in our clinical trial of TSHA-101 succumbed to pneumonia and pleural effusion with a concomitant hospital-acquired MRSA infection, which was deemed by the principal investigator and independent DSMB not to be drug related. Any side effects or patient deaths could affect the development of our product candidates, even if deemed to not be drug related. Among the risks in any gene therapy product based on viral vectors are the risks of immunogenicity, elevated liver enzymes and insertional oncogenesis, which is the process whereby the insertion of a functional gene near a gene that is important in cell growth or division results in uncontrolled cell division, which could potentially enhance the risk of malignant transformation.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new AAV vectors have been developed to reduce side effects previously reported in third-party gene therapy treatments, and AAV9 has been generally well tolerated in clinical trials and in approved products, gene therapy is still a relatively new approach to disease treatment and additional adverse side effects could develop. There also is the potential risk of delayed adverse events following exposure to gene therapy products due to persistent biologic activity of the genetic material or other components of products used to carry the genetic material.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Possible adverse side effects that could occur with treatment with gene therapy products include an immunologic reaction early after administration, which, while not necessarily adverse to the patient’s health, could substantially limit the effectiveness of the treatment. For example, in previous third-party clinical trials involving other AAV vectors for gene therapy, some subjects experienced the development of a T-cell antibody response, whereby after the vector is within the target cells, the cellular immune response system triggers the removal of transduced cells by activated T-cells. Other preclinical studies have suggested that high dosages of AAV administration may result in toxicity due to degeneration of the DRG. If our vectors demonstrate a similar effect in other programs, we may decide or be required to perform additional preclinical studies or to halt or delay further clinical development of our product candidates.</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In addition to side effects caused by the product candidate, the administration process or related procedures also can cause adverse side effects. Each of our lead product candidates are expected to be administered by intrathecal injection. While this method of administration has been available for decades, its use for therapies is relatively new, no gene therapy is currently approved for intrathecal administration, and it may be perceived as having greater risk than more common methods of administration, such as intravenous injection. If any such adverse events occur, our clinical trials could be suspended or terminated. If we cannot demonstrate that any adverse events were not caused by the drug or administration process or related procedures, the FDA or foreign regulatory authorities could order us to cease further development of, or deny approval of, our product candidates for any or all targeted indications. Even if we are able to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If our product candidates are associated with side effects in clinical trials or have characteristics that are unexpected, we may need to abandon their development or limit development to more narrow uses in which the side effects or other characteristics are less prevalent, less severe or more acceptable from a risk-benefit perspective. The FDA, comparable foreign regulatory authorities, or an IRB or Ethics Committee may also require that we suspend, discontinue, or limit our clinical trials based on safety information, or that we conduct additional animal or human studies regarding the safety and efficacy of our product candidates which we have not planned or anticipated. Such findings could further result in regulatory authorities failing to provide marketing authorization for our product candidates or limiting the scope of the approved indication, if approved. Many product candidates that initially showed promise in early-stage testing have later been found to cause side effects that prevented further development of the product candidate.</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Additionally, if one or more of our product candidates receives marketing approval, and we or others identify undesirable side effects caused by such products, a number of potentially significant negative consequences could result, including:</w:t>
      </w:r>
    </w:p>
    <w:p>
      <w:pPr>
        <w:pStyle w:val="TextBody"/>
        <w:bidi w:val="0"/>
        <w:spacing w:before="0" w:after="20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regulatory authorities may withdraw, vary or suspend approvals of such product;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regulatory authorities may require additional warnings on the labels;</w:t>
      </w:r>
    </w:p>
    <w:p>
      <w:pPr>
        <w:pStyle w:val="TextBody"/>
        <w:bidi w:val="0"/>
        <w:spacing w:before="0" w:after="20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may be required to create a medication guide outlining the risks of such side effects for distribution to patients or other requirements subject to a REMS or comparable foreign strategies;</w:t>
      </w:r>
    </w:p>
    <w:p>
      <w:pPr>
        <w:pStyle w:val="TextBody"/>
        <w:bidi w:val="0"/>
        <w:spacing w:before="0" w:after="20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could be sued and held liable for harm caused to patients;</w:t>
      </w:r>
    </w:p>
    <w:p>
      <w:pPr>
        <w:pStyle w:val="TextBody"/>
        <w:bidi w:val="0"/>
        <w:spacing w:before="0" w:after="20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may not be able to achieve or maintain third-party payor coverage and adequate reimbursement; and</w:t>
      </w:r>
    </w:p>
    <w:p>
      <w:pPr>
        <w:pStyle w:val="TextBody"/>
        <w:bidi w:val="0"/>
        <w:spacing w:before="0" w:after="20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our reputation and physician or patient acceptance of our products may suffer.</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There can be no assurance that we will resolve any issues related to any product-related adverse events to the satisfaction of the FDA or foreign regulatory authority in a timely manner or at all. Moreover, any of these events could prevent us from achieving or maintaining market acceptance of the particular product candidate, if approved, and could significantly harm our business, results of operations and prospects.</w:t>
      </w:r>
    </w:p>
    <w:p>
      <w:pPr>
        <w:pStyle w:val="TextBody"/>
        <w:bidi w:val="0"/>
        <w:spacing w:before="360" w:after="283"/>
        <w:jc w:val="left"/>
        <w:rPr>
          <w:rFonts w:ascii="Times New Roman" w:hAnsi="Times New Roman"/>
          <w:sz w:val="20"/>
        </w:rPr>
      </w:pPr>
      <w:r>
        <w:rPr>
          <w:rFonts w:ascii="Times New Roman" w:hAnsi="Times New Roman"/>
          <w:b/>
          <w:i/>
          <w:color w:val="000000"/>
          <w:sz w:val="20"/>
        </w:rPr>
        <w:t>As an organization, we have never conducted pivotal clinical trials, and may be unable to do so for any product candidates we may develop, including TSHA-102</w:t>
      </w:r>
      <w:r>
        <w:rPr>
          <w:rFonts w:ascii="Times New Roman" w:hAnsi="Times New Roman"/>
          <w:color w:val="0F4761"/>
          <w:sz w:val="20"/>
        </w:rPr>
        <w:t>.</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We will need to successfully complete our ongoing and planned clinical trials, including pivotal clinical trials, in order to obtain FDA and comparable foreign regulatory approval to market our product candidates. Carrying out later-stage clinical trials and the submission of a successful BLA and comparable foreign application is a complicated process. As an organization, we have initiated Phase 1/2 clinical trials, have not previously conducted any later stage or pivotal clinical trials, but have limited experience in preparing, submitting and prosecuting regulatory filings and have not previously submitted a BLA or comparable foreign application for any product candidate. In addition, we have had limited interactions with the FDA comparable foreign regulatory authorities and cannot be certain how many additional clinical trials of our product candidates will be required or how such trials should be designed. Consequently, we may be unable to successfully and efficiently execute and complete necessary clinical trials in a way that leads to BLA submission or comparable foreign application and approval of any product candidate. We may require more time and incur greater costs than our competitors and may not succeed in obtaining regulatory approvals of product candidates that we develop. Failure to commence or complete, or delays in, our planned clinical trials, could prevent us from or delay us in commercializing our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disorders we seek to treat have low prevalence and it may be difficult to identify and enroll patients with these disorders. If we experience delays or difficulties in the enrollment and/or maintenance of patients in clinical trials, our receipt of necessary regulatory approvals could be delayed or prevented.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and timely completion of clinical trials will require that we enroll a sufficient number of patients. Patient enrollment, a significant factor in the timing of clinical trials, is affected by many factors, including the size and nature of the patient population and competition for patients with other trials. Genetic diseases generally, and especially the rare diseases for which some of our current product candidates are targeted, have low incidence and prevalence. For example, the estimated addressable patient population with typical Rett syndrome caused by a pathogenic/likely pathogenic MECP2 mutation is between 15,000 and 20,000 patients in the United States, European Union and United Kingdom, and accordingly it may be difficult for us to identify and timely recruit a sufficient number of eligible patients to conduct our clinical trials. Further, any natural history studies that we or our collaborators may conduct may fail to provide us with patients for our clinical trials because patients enrolled in the natural history studies may not be good candidates for our clinical trials, or may choose to not enroll in our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Trials may be subject to delays as a result of patient enrollment taking longer than anticipated or patient withdrawal. We may not be able to initiate or continue clinical trials for our product candidates if we are unable to locate and enroll a sufficient number of eligible patients to participate in these trials as required by the FDA, EMA or foreign regulatory authorities. We cannot predict how successful we will be at enrolling subjects in future clinical trials. Subject enrollment is affected by other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eligibility criteria for the trial in question;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of the patient population and process for identifying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perceived risks and benefits of the product candidate in the trial, including relating to AAV9-based gene therapy approaches and intrathecal delivery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competing commercially available therapies and other competing therapeutic candidates’ clinical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patients to be enrolled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efforts to facilitate timely enrollment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disruptions caused by public health crises, such as pandemics or similar outbreaks, including difficulties in initiating clinical sites, enrolling and retaining participants, diversion of healthcare resources away from clinical trials, travel or quarantine policies that may be implemented, and other factors;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patient referral practices of physicians;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monitor patients adequately during and after treatment;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proximity and availability of clinical trial sites for prospective patients.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Our inability to enroll a sufficient number of patients for clinical trials would result in significant delays and could require us to abandon one or more clinical trials altogether. Enrollment delays in these clinical trials may result in increased development costs for our product candidates, which would cause the value of our company to decline and limit our ability to obtain additional financing. Furthermore, we expect to rely on CROs and clinical trial sites to ensure the proper and timely conduct of our clinical trials and we will have limited influence over their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even if we are able to enroll a sufficient number of patients for our clinical trials, we may have difficulty maintaining enrollment of such patients in our clinical trials.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seek orphan drug designation for some of our product candidates and we may be unsuccessful, or may be unable to maintain the benefits associated with orphan drug designation, including the potential for market exclusivity, for product candidates for which we obtain orphan drug designation.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in some jurisdictions, including the United States, may designate drugs or biologics intended to treat relatively small patient populations as orphan drug products. Under the Orphan Drug Act, the FDA may designate a drug or biologic as an orphan drug if it is intended to treat a rare disease or condition, which is generally defined as a patient population of fewer than 200,000 individuals in the United States, or a patient population of 200,000 or more in the United States where there is no reasonable expectation that the cost of developing the drug will be recovered from sales in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United States, orphan drug designation entitled a party to financial incentives such as tax advantages and user fee waivers. Opportunities for grant funding toward clinical trial costs may also be available for clinical trials of drugs or biologics for rare diseases, regardless of whether the drugs or biologics are designated for the orphan use. In addition, if a drug or biologic with an orphan drug designation subsequently receives the first marketing approval for the indication for which it has such designation, the product is entitled to a seven year period of marketing exclusivity, which precludes the FDA from approving another marketing application for the same drug and indication for that time period, except in limited circumstances. If our competitors are able to obtain orphan drug exclusivity prior to us, for products that constitute the “same drug” and treat the same indications as our product candidates, we may not be able to have competing products approved by the applicable regulatory authority for a significant period of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EU, a medicinal product can be designated as an orphan medicinal product by the European Commission if its sponsor can establish that: (i) the product is intended for the diagnosis, prevention or treatment of life-threatening or chronically debilitating conditions; (ii) either (a) such conditions affect not more than 5 in 10,000 persons in the EU when the application is made, or (b) the product without the benefits derived from orphan status, would not generate sufficient return in the EU to justify the necessary investment in developing the medicinal product; and (iii) there exists no satisfactory authorized method of diagnosis, prevention, or treatment of the condition that has been authorized in the EU, or even if such method exists, the product will be of significant benefit to those affected by that condition.</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 xml:space="preserve">Orphan medicinal product designation entitles an applicant to incentives such fee reductions or fee waivers, protocol assistance, and access to the centralized marketing authorization procedure. Upon grant of a marketing authorization, orphan medicinal products are entitled to a ten-year period of market exclusivity for the approved therapeutic indication, which means that the EMA cannot accept another marketing authorization application or accept an application to extend for a similar product and the European Commission cannot grant a marketing authorization for the same indication for a period of ten years. The period of market exclusivity is extended by two years for orphan medicinal products that have also complied with an agreed PIP. The period of market exclusivity may, however, be reduced to six years if, at the end of the fifth year, it is established that the product no longer meets the criteria on the basis of which it received orphan medicinal product destination, including where it can be demonstrated on the basis of available evidence that the original orphan medicinal product is sufficiently profitable not to justify maintenance of market exclusivity or where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prevalence of the condition has increased above the threshold. Additionally, an MA may be granted to a similar medicinal product with the same orphan indication during the 10 year period if: (i) if the applicant consents to a second original orphan medicinal product application, (ii) if the manufacturer of the original orphan medicinal product is unable to supply sufficient quantities; or (iii) if the second applicant can establish that its product, although similar, is safer, more effective or otherwise clinically superior to the original orphan medicinal product. A company may voluntarily remove a product from the register of orphan products. Orphan medicinal product designation does not convey any advantage in, or shorten the duration of, the regulatory review and approval process. We have obtained orphan drug designation from the FDA for TSHA-120 for the treatment of GAN, TSHA-102 for the treatment of Rett syndrome, and TSHA-105 for the treatment of SLC13A5 deficiency. In addition, TSHA-118 has received orphan drug designation for the treatment of CLN1 disease from the FDA and EMA.</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We may seek orphan designation for certain of our other current and future product candidates. However, we may be unsuccessful in obtaining orphan drug designation for these or other product candidates and may be unable to maintain the benefits associated with orphan drug designation. Even if we obtain orphan drug exclusivity for any of our product candidates, that exclusivity may not effectively protect those product candidates from competition because different drugs can be approved for the same condition, and orphan drug exclusivity does not prevent the FDA or comparable foreign regulatory authorities from approving the same or a different drug in another indication. Even after an orphan drug is granted orphan exclusivity and approved, the FDA can subsequently approve a later application for the same drug for the same condition before the expiration of the seven-year exclusivity period if the FDA concludes that the later drug is clinically superior in that it is shown to be safer in a substantial portion of the target populations, more effective or makes a major contribution to patient care. In addition, a designated orphan drug may not receive orphan drug exclusivity if it is approved for a use that is broader than the indication for which it received orphan designation. Moreover, orphan-drug-exclusive marketing rights in the United States may be lost if the FDA later determines that the request for designation was materially defective or if we are unable to manufacture sufficient quantities of the product to meet the needs of patients with the rare disease or condition. Orphan drug designation neither shortens the development time or regulatory review time of a drug nor gives the drug any advantage in the regulatory review or approval process.</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We have obtained orphan drug designation from the FDA for TSHA-120 for the treatment of GAN and TSHA-102 for the treatment of Rett syndrome. We may seek orphan designation for certain of our other current and future product candidates. However, we may be unsuccessful in obtaining orphan drug designation for these or other product candidates and may be unable to maintain the benefits associated with orphan drug designation. Even if we obtain orphan drug exclusivity for any of our product candidates, that exclusivity may not effectively protect those product candidates from competition because different drugs can be approved for the same condition, and orphan drug exclusivity does not prevent the FDA or comparable foreign regulatory authorities from approving the same or a different drug in another indication. Even after an orphan drug is granted orphan exclusivity and approved, the FDA can subsequently approve a later application for the same drug for the same condition before the expiration of the seven-year exclusivity period if the FDA concludes that the later drug is clinically superior in that it is shown to be safer in a substantial portion of the target populations, more effective or makes a major contribution to patient care. In addition, a designated orphan drug may not receive orphan drug exclusivity if it is approved for a use that is broader than the indication for which it received orphan designation. Moreover, orphan-drug-exclusive marketing rights in the United States may be lost if the FDA later determines that the request for designation was materially defective or if we are unable to manufacture sufficient quantities of the product to meet the needs of patients with the rare disease or condition. Orphan drug designation neither shortens the development time or regulatory review time of a drug nor gives the drug any advantage in the regulatory review or approval process.</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We have received rare pediatric disease designation for TSHA-102 for the treatment of Rett syndrome. However, a marketing application for TSHA-102, if approved, may not meet the eligibility criteria for a PRV or the rare pediatric disease designation program may sunset before FDA is able consider us for a voucher.</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We have received rare pediatric disease designation for TSHA-102 for the treatment of Rett syndrome. Designation of a drug or biologic as a product for a rare pediatric disease does not guarantee that a BLA for such drug or biologic will meet the eligibility criteria for a rare pediatric disease PRV at the time the application is approved. Under the FDCA, we will need to request a rare pediatric disease PRV in our original BLA for TSHA-102, and any other candidates for which we submit a marketing application. The FDA may determine that such BLA, if approved, does not meet the eligibility criteria for a PRV, including for the following reasons: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Rett syndrome no longer meets the definition of a rare pediatric disease;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BLA contains an active ingredient that has been previously approved in a BLA;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BLA is not deemed eligible for priority review;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BLA does not rely on clinical data derived from studies examining a pediatric population and dosages of the drug intended for that population (that is, if the BLA does not contain sufficient clinical data to allow for adequate labeling for use by the full range of affected pediatric patients); or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BLA is approved for a different adult indication than the rare pediatric disease for which TSHA-102 is designated. </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authority for the FDA to award rare pediatric disease PRVs for drugs that have received rare pediatric disease designation prior to September 30, 2024 currently expires on September 30, 2026. Absent any extension through federal legislation, if the BLA for TSHA-102 is not approved prior to September 30, 2026 for any reason, regardless of whether it meets the criteria for a rare pediatric disease PRV, it will not be eligible for a PRV.</w:t>
      </w:r>
    </w:p>
    <w:p>
      <w:pPr>
        <w:pStyle w:val="TextBody"/>
        <w:bidi w:val="0"/>
        <w:spacing w:before="240" w:after="200"/>
        <w:jc w:val="left"/>
        <w:rPr>
          <w:rFonts w:ascii="Times New Roman" w:hAnsi="Times New Roman"/>
          <w:b/>
          <w:i/>
          <w:color w:val="000000"/>
          <w:sz w:val="20"/>
        </w:rPr>
      </w:pPr>
      <w:r>
        <w:rPr>
          <w:rFonts w:ascii="Times New Roman" w:hAnsi="Times New Roman"/>
          <w:b/>
          <w:i/>
          <w:color w:val="000000"/>
          <w:sz w:val="20"/>
        </w:rPr>
        <w:t>We may expend our limited resources to pursue a particular product candidate or indication and fail to capitalize on product candidates or indications that may be more profitable or for which there is a greater likelihood of success.</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Because we have limited financial and management resources, we must focus on development programs and product candidates that we identify for specific indications. As such, we are currently primarily focused on the development of TSHA-102 (Rett syndrome). As a result, we may forego or delay pursuit of opportunities with other product candidates, including TSHA-101 (GM2 gangliosidosis), TSHA-103 (SLC6A1), TSHA-105 (SLC13A5 deficiency), TSHA-118 (CLN1 disease), and TSHA-121 (CLN7) or for other indications for these product candidates that later prove to have greater commercial potential. Our resource allocation decisions, for example, our strategic prioritization in March 2022, may cause us to fail to capitalize on viable commercial products or profitable market opportunities. Our spending on current and future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TextBody"/>
        <w:bidi w:val="0"/>
        <w:spacing w:before="240" w:after="200"/>
        <w:jc w:val="left"/>
        <w:rPr>
          <w:rFonts w:ascii="Times New Roman" w:hAnsi="Times New Roman"/>
          <w:b/>
          <w:i/>
          <w:color w:val="000000"/>
          <w:sz w:val="20"/>
        </w:rPr>
      </w:pPr>
      <w:r>
        <w:rPr>
          <w:rFonts w:ascii="Times New Roman" w:hAnsi="Times New Roman"/>
          <w:b/>
          <w:i/>
          <w:color w:val="000000"/>
          <w:sz w:val="20"/>
        </w:rPr>
        <w:t>We are currently conducting our Phase 1/2 adolescent and adult trial of TSHA-102 in Canada and plan to conduct in the future additional clinical trials for our product candidates outside the United States, and the FDA and similar foreign regulatory authorities may not accept data from such trials.</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We are conducting our Phase adolescent and adult 1/2 clinical trial of TSHA-102 in Canada and may in the future choose to conduct additional clinical trials outside the United States, including in the United Kingdom, European Union or other foreign jurisdictions. The acceptance of trial data from clinical trials conducted outside the United States by the FDA may be subject to certain conditions. In cases where data from clinical trials conducted outside the United States are intended to serve as the sole basis for marketing approval in the United States, the FDA will generally not approve the application on the basis of foreign data alone unless (i) the data are applicable to the United States population and United States medical practice;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similar foreign regulatory authority will accept data from trials conducted outside of the United States or the applicable jurisdiction. If the FDA or any similar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not be successful in our efforts to build a pipeline of additional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model is centered on developing therapies for patients with rare, monogenic central nervous system, or CNS, disorders by establishing focused selection criteria to select, develop and advance product candidates that we believe will have a high probability of technical and regulatory success through development into commercialization. We may not be able to continue to identify and develop new product candidates, including from our next-generation platform technologies, in addition to the pipeline of product candidates that we have established through our collaboration with UT Southwestern. Even if we are successful in continuing to build our pipeline, the potential product candidates that we identify may not be suitable for clinical development. For example, they may be shown to have harmful side effects or other characteristics that indicate that they are unlikely to be drugs that will receive marketing approval and achieve market acceptance. If we do not successfully develop and commercialize product candidates based upon our approach, we will not be able to obtain product revenue in future periods, which likely would result in significant harm to our financial position and adversely affect our stock price.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do not achieve our projected development goals in the time frames we announce and expect, the commercialization of our products may be delayed.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estimate the timing of the accomplishment of various scientific, clinical, regulatory, manufacturing and other product development goals, which we sometimes refer to as milestones. These milestones may include the commencement or completion of preclinical studies and clinical trials and the submission of regulatory filings, including IND/CTA submissions. From time to time, we may publicly announce the expected timing of some of these milestones. All of these milestones are, and will be, based on a variety of assumptions. The actual timing of these milestones can vary significantly compared to our estimates, in some cases for reasons beyond our control. We may experience numerous unforeseen events during, or as a result of, any future clinical trials that we conduct that could delay or prevent our ability to receive marketing approval or commercialize our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United Kingdom’s withdrawal from the European Union may adversely impact our ability to obtain regulatory approvals of our product candidates in the European Union, result in restrictions or imposition of taxes and duties for importing our product candidates into the European Union and require us to incur additional expenses in order to develop, manufacture and commercialize our product candidates in the European Union.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United Kingdom’s, withdrawal from the EU on January 31, 2020, commonly referred to as Brexit, has changed the regulatory relationship between the United Kingdom and the EU. The Medicines and Healthcare products Regulatory Agency, or MHRA, is now the United Kingdom’s standalone regulator for medicinal products and medical devices. Great Britain (England, Scotland and Wales) is now a third country to the EU. Northern Ireland will, with regard to EU regulations, continue to follow the EU regulatory rules for now.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United Kingdom regulatory framework in relation to clinical trials is governed by the </w:t>
      </w:r>
      <w:r>
        <w:rPr>
          <w:rFonts w:ascii="Times New Roman" w:hAnsi="Times New Roman"/>
          <w:color w:val="040C28"/>
          <w:sz w:val="20"/>
        </w:rPr>
        <w:t xml:space="preserve">Medicines for Human Use (Clinical Trials) Regulations 2004, as amended, which is </w:t>
      </w:r>
      <w:r>
        <w:rPr>
          <w:rFonts w:ascii="Times New Roman" w:hAnsi="Times New Roman"/>
          <w:color w:val="000000"/>
          <w:sz w:val="20"/>
        </w:rPr>
        <w:t>derived from the CTD, as implemented into the United Kingdom national law through secondary legislation. On January 17, 2022, the MHRA launched an eight-week consultation on reframing the United Kingdom legislation for clinical trials, and which aimed to streamline clinical trials approvals, enable innovation, enhance clinical trials transparency, enable greater risk proportionality, and promote patient and public involvement in clinical trials. The United Kingdom Government published its response to the consultation on March 21, 2023 confirming that it would bring forward changes to the legislation. These resulting legislative amendments will determine how closely the United Kingdom regulations will align with the CTR. In October 2023, the MHRA announced a new Notification Scheme for clinical trials which enables a more streamlined and risk-proportionate approach to initial clinical trial applications for Phase 4 and low-risk Phase 3 clinical trial applications.</w:t>
      </w:r>
    </w:p>
    <w:p>
      <w:pPr>
        <w:pStyle w:val="TextBody"/>
        <w:bidi w:val="0"/>
        <w:spacing w:before="240" w:after="283"/>
        <w:jc w:val="both"/>
        <w:rPr>
          <w:rFonts w:ascii="Times New Roman" w:hAnsi="Times New Roman"/>
          <w:sz w:val="20"/>
        </w:rPr>
      </w:pPr>
      <w:r>
        <w:rPr>
          <w:rFonts w:ascii="Times New Roman" w:hAnsi="Times New Roman"/>
          <w:color w:val="231F20"/>
          <w:sz w:val="20"/>
        </w:rPr>
        <w:t xml:space="preserve">Marketing authorizations in the United Kingdom are governed by the </w:t>
      </w:r>
      <w:r>
        <w:rPr>
          <w:rFonts w:ascii="Times New Roman" w:hAnsi="Times New Roman"/>
          <w:color w:val="333333"/>
          <w:sz w:val="20"/>
        </w:rPr>
        <w:t xml:space="preserve">Human Medicines Regulations (SI 2012/1916), as amended. </w:t>
      </w:r>
      <w:r>
        <w:rPr>
          <w:rFonts w:ascii="Times New Roman" w:hAnsi="Times New Roman"/>
          <w:color w:val="231F20"/>
          <w:sz w:val="20"/>
        </w:rPr>
        <w:t>Since January 1, 2021, an applicant for the EU centralized procedure marketing authorization can no longer be established in the United Kingdom. As a result, since this date, companies established in the United Kingdom cannot use the EU centralized procedure and instead must follow one of the United Kingdom national authorization procedures</w:t>
      </w:r>
      <w:r>
        <w:rPr>
          <w:rFonts w:ascii="Times New Roman" w:hAnsi="Times New Roman"/>
          <w:color w:val="000000"/>
          <w:sz w:val="20"/>
        </w:rPr>
        <w:t xml:space="preserve"> or one of the remaining post-Brexit international cooperation procedures</w:t>
      </w:r>
      <w:r>
        <w:rPr>
          <w:rFonts w:ascii="Times New Roman" w:hAnsi="Times New Roman"/>
          <w:color w:val="231F20"/>
          <w:sz w:val="20"/>
        </w:rPr>
        <w:t xml:space="preserve"> to obtain a marketing authorization to market products in the United Kingdom. A</w:t>
      </w:r>
      <w:r>
        <w:rPr>
          <w:rFonts w:ascii="Times New Roman" w:hAnsi="Times New Roman"/>
          <w:color w:val="000000"/>
          <w:sz w:val="20"/>
        </w:rPr>
        <w:t>ll existing EU marketing authorizations for centrally authorized products were automatically converted or grandfathered into United Kingdom marketing authorization, effective in Great Britain only, free of charge on January 1, 2021, unless the marketing authorization holder opted-out of this possibility. Northern Ireland currently remains within the scope of EU authorizations in relation to centrally authorized medicinal products. Accordingly, u</w:t>
      </w:r>
      <w:r>
        <w:rPr>
          <w:rFonts w:ascii="Times New Roman" w:hAnsi="Times New Roman"/>
          <w:color w:val="0B0C0C"/>
          <w:sz w:val="20"/>
        </w:rPr>
        <w:t>ntil the Windsor Framework is implemented in Northern Ireland on January 1, 2025, products falling within the scope of the EU centralized procedure can only be authorized through United Kingdom national authorization procedures in Great Britain.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MHRA has also introduced changes to national marketing authorization procedures. This includes introduction of procedures to prioritize access to new medicines that will benefit patients, including a 150-day assessment route, a rolling review procedure and the International Recognition Procedure. Since January 1, 2024, the MHRA may rely on the International Recognition Procedure, or IRP, when reviewing certain types of marketing authorization applications. This procedure is available for applicants for marketing authorization who have already received an authorization for the same product from a reference regulator. These include the FDA, the EMA, and national competent authorities of individual EEA countries. A positive opinion from the EMA and CHMP, or a positive end of procedure outcome from the mutual recognition or decentralized procedures are considered to be authorizations for the purposes of the IRP.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is no pre-marketing authorization orphan designation for medicinal products in the United Kingdom. Instead, the MHRA reviews applications for orphan designation in parallel to the corresponding marketing authorization application. The criteria are essentially the same as those in the EU, but have been tailored for the market. This includes the criterion that prevalence of the condition in Great Britain, rather than the EU, must not be more than five in 10,000. Upon the grant of a marketing authorization with orphan status, the medicinal product will benefit from up to 10 years of market exclusivity from similar products in the approved orphan indication. The start of this market exclusivity period will be set from the date of first approval of the product in Great Britain.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 a significant proportion of the regulatory framework in the United Kingdom applicable to our business and our product candidates is derived from European Union directives and regulations, Brexit has materially impacted and could continue to further impact, the regulatory regime with respect to the development, manufacture, importation, approval and commercialization of our product candidates in the United Kingdom or the European Union. Any delay in obtaining, or an inability to obtain, any marketing approvals, as a result of Brexit or otherwise, would limit our ability to generate revenue and achieve and sustain profitability. In addition, while the Trade and Cooperation Agreement provides for the tariff-free trade of medicinal products between the United Kingdom and the European Union there are additional non-tariff costs to such trade which did not exist prior to Brexit. Furthermore, Brexit has reduced trade between the European Union and the United Kingdom and there are frequent delays in the transit of goods between the European Union and the United Kingdom. The ongoing impact of Brexit may force us to restrict or delay efforts to seek regulatory approval in the United Kingdom or the European Union for our product candidates, or incur significant additional expenses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the Manufacturing of our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Gene therapies are novel, complex and difficult to manufacture. We could experience manufacturing problems that result in delays in the development or commercialization of our product candidates or otherwise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manufacture of gene therapy products is technically complex and necessitates substantial expertise and capital investment. Production difficulties caused by unforeseen events may delay the availability of material for our clinical studies.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currently rely on third party contract manufacturing organizations, or CMOs, including Catalent, to manufacture our product candidates. We expect to rely on third party manufacturing organizations for our manufacturing needs for the foreseeable future. To date, our manufacturing partners have met our manufacturing requirements and quality standards for our program materials, and we expect that these organizations, primarily Catalent, will be capable of providing sufficient quantities of our program materials to meet anticipated clinical trial scale demands. While we believe that there are alternate sources of supply for our program materials that can satisfy our clinical and commercial requirements, identifying and establishing relationships with such sources, if necessary, would result in delays and additional costs, both of which could be significant.</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manufacturers of pharmaceutical products must comply with strictly enforced cGMP requirements, state and federal regulations, as well as foreign requirements when applicable. Any failure of us or our CMOs to adhere to or document compliance to such regulatory requirements could lead to a delay or interruption in the availability of our program materials for clinical trials or enforcement action from the FDA, competent authorities of EU Member States or foreign regulatory authorities. If we or our manufacturers were to fail to comply with the FDA, EU or other regulatory authority requirements, it could result in sanctions being imposed on us, including clinical holds, fines, injunctions, civil penalties, delays, suspension, variation or withdrawal of approvals, license revocation, seizures or recalls of product candidates or products, operating restrictions and criminal prosecutions, any of which could significantly and adversely affect supplies of our product candidates. Our potential future dependence upon others for the manufacture of our product candidates may also adversely affect our future profit margins and our ability to commercialize any product candidates that receive regulatory approval on a timely and competitive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Biological products are inherently difficult to manufacture. Although we believe that the manufacture of our product candidates may be simplified due to their shared raw materials and other similarities, we cannot be certain that this will be the case and we may be required to develop manufacturing methods that ultimately differ significantly between product candidates, which would require that we invest substantial time and capital to develop suitable manufacturing methods. Our program materials are manufactured using technically complex processes requiring specialized equipment and facilities, highly specific raw materials, cells, and reagents, and other production constraints. Our production process requires a number of highly specific raw materials, cells and reagents with limited suppliers. Even though we aim to have backup supplies of raw materials, cells and reagents whenever possible, we cannot be certain they will be sufficient if our primary sources are unavailable. A shortage of a critical raw material, cell line, or reagent, or a technical issue during manufacturing may lead to delays in clinical development or commercialization plans. We are particularly susceptible to any shortages, delays or our inability to obtain suitable AAV9 raw materials, given that all of our current and planned product candidates require this starting material. Any changes in the manufacturing of components of the raw materials we use could result in unanticipated or unfavorable effects in our manufacturing processes, resulting in delays.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and our contract manufacturers for AAV9 are subject to significant regulation with respect to manufacturing our products. The third-party manufacturing facilities on which we rely</w:t>
      </w:r>
      <w:r>
        <w:rPr>
          <w:rFonts w:ascii="Times New Roman" w:hAnsi="Times New Roman"/>
          <w:color w:val="000000"/>
          <w:sz w:val="20"/>
        </w:rPr>
        <w:t xml:space="preserve"> </w:t>
      </w:r>
      <w:r>
        <w:rPr>
          <w:rFonts w:ascii="Times New Roman" w:hAnsi="Times New Roman"/>
          <w:b/>
          <w:i/>
          <w:color w:val="000000"/>
          <w:sz w:val="20"/>
        </w:rPr>
        <w:t>may have limited capacity or fail to meet the applicable stringent regulatory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relationships with a limited number of suppliers for the manufacturing of plasmids and viruses, components of our product candidates. However, if we experience slowdowns or problems with our facility or those of our manufacturing partners and are unable to establish or scale our internal manufacturing capabilities, we will need to continue to contract with manufacturers that can produce the preclinical, clinical and commercial supply of our products. Each supplier may require licenses to manufacture such components if such processes are not owned by the supplier or in the public domain and we may be unable to license such intellectual property rights on reasonable commercial terms or to transfer or sublicense the intellectual property rights we may have with respect to such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entities involved in the preparation of therapeutics for clinical trials or commercial sale, including our existing CMOs for components of our product candidates, are subject to extensive regulation. Components of a finished therapeutic product approved for commercial sale or used in late-stage clinical trials in the European Union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are at an increased risk given that our product candidates have been and for the foreseeable future will be produced on the same manufacturing lines, which could, for example, lead to issues with cross-contamination. We or our CMOs must supply all necessary documentation in support of a BLA or MAA on a timely basis. Our facilities and quality systems and the facilities and quality systems of some or all of our third-party contractors must pass 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and they could put a hold on one or more of our clinical trials if the facilities of our contract development and manufacturing organizations, or CDMOs, do not pass such audit or inspections. If these facilities do not pass a pre-approval plant inspection, FDA approval of the products will not be granted.</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regulatory authorities also may, at any time following approval of a product for sale, inspect or audit our manufacturing facilities or those of our third-party contractors, including periodic unannounced inspections by the FDA, competent authorities of EU Member States or other comparable foreign regulatory authorities, to monitor and ensure compliance with cGMP.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harm our business. If we or any of our third-party manufacturers fail to maintain regulatory compliance, the FDA or comparable foreign regulatory authority can impose regulatory sanctions including, among other things, shutdown of the third-party vendor or invalidation of drug product lots or processes, fines, injunctions, civil penalties, delays, refusal to approve a pending application for a new drug product or biologic product, or revocation, suspension or variation of a pre-existing approval, license revocation, seizures or recalls of product candidates or drugs, operating restrictions and criminal prosecutions, any of which could significantly and adversely affect supplies of our products, if approved, and significantly harm our business, financial condition, results of operations and prospects. Additionally, if supply from one approved manufacturer is interrupted, there could be a significant disruption in commercial supply. An alternative manufacturer would need to be qualified through a BLA and/or MAA supplement which could result in further delay. The regulatory authorities may also require additional studies if a new manufacturer is relied upon for commercial production. Switching manufacturers may involve substantial costs and is likely to result in a delay in our desired clinical and commercial timelines.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factors could cause the delay of clinical trials, regulatory submissions, required approvals or commercialization of our product candidates, cause us to incur higher costs and prevent us from commercializing our products successfully, if approved. Furthermore, if our suppliers fail to meet contractual requirements, and we are unable to secure one or more replacement suppliers capable of production at a substantially equivalent cost, our clinical trials may be delayed or we could lose potential revenue.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depend on third-party suppliers for materials used in the manufacture of our product candidates, and the loss of these third-party suppliers or their inability to supply us with adequate materials could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third-party suppliers for certain materials and components required for the production of our product candidates. Our dependence on these third-party suppliers and the challenges we may face in obtaining adequate supplies of materials involve several risks, including limited control over pricing, availability, and quality and delivery schedules. There is substantial demand and limited supply for certain of the raw materials used to manufacture gene therapy products. As a small company, our negotiation leverage is limited and we are likely to get lower priority than our competitors that are larger than we are. We cannot be certain that our suppliers will continue to provide us with the quantities of these raw materials that we require or satisfy our anticipated specifications and quality requirements.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Any contamination or interruption in our manufacturing process, shortages of raw materials or failure of our suppliers of plasmids and viruses to deliver necessary components could result in delays in our clinical development or marketing schedules.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Given the nature of gene therapy manufacturing, there is a risk of contamination. Any contamination could adversely affect our ability to produce product candidates on schedule and could, therefore, harm our results of operations and cause reputational damage. Some of the raw materials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adversely affect our development timelines and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methods of product candidate manufacturing or formulation may result in additional costs or delay.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product characteristics. Such changes carry the risk that they will not achieve our intended objectives. Any such changes could cause our product candidates to perform differently and affect the results of planned clinical trials or other future clinical trials conducted with the materials manufactured using altered processes. Such changes may also require additional testing, FDA notification or FDA approval, or comparable foreign regulatory requirements.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 In addition, we may be required to make significant changes to our upstream and downstream processes across our pipeline, which could delay the development of our future product candidates.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the Commercialization of our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Even if any of our product candidates receive marketing approval, they may fail to achieve the degree of market acceptance by physicians, patients, third-party payors and others in the medical community necessary for commercial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of our product candidates receive marketing approval, they may nonetheless fail to gain sufficient market acceptance by physicians, patients, third-party payors and others in the medical community. If our product candidates do not achieve an adequate level of acceptance, we may not generate significant revenue and we may not become profitable. The degree of market acceptance of our product candidates, if approved for commercial sale, will depend on a number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efficacy, safety and potential advantages compared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offer our products for sale at competitive prices;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convenience and ease of administration compared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labeling or product insert requirements of the FDA or foreign regulatory authorities, including any limitations or warnings contained in a product’s approved labeling, including any black box warning or REMS or comparable foreign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the target patient population to try new treatments and of physicians to prescribe these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hire and retain a sales force in the United States;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strength of marketing and distribution support;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third-party coverage and adequate reimbursement for TSHA-102 and any other product candidates, once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prevalence and severity of any side effects;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restrictions on the use of our products together with other medications.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Negative public opinion of gene therapy and increased regulatory scrutiny of gene therapy and genetic research may adversely impact the development or commercial success of our current and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potential therapeutic products involve introducing genetic material into a patient’s cells via intrathecal administration. The clinical and commercial success of our potential products will depend in part on public acceptance of the use of gene therapy and gene regulation for the prevention or treatment of human diseases. Public attitudes may be influenced by claims that gene therapy and gene regulation are unsafe, unethical or immoral, and consequently, our products may not gain the acceptance of the public or the medical community. Adverse public attitudes may adversely impact our ability to enroll clinical trials. Moreover, our success will depend upon physicians prescribing, and their patients being willing to receive, treatments that involve the use of product candidates we may develop in lieu of, or in addition to, existing treatments with which they are already familiar and for which greater clinical data may be available.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 restrictive government regulations or negative public opinion would have a negative effect on our business or financial condition and may delay or impair the development and commercialization of our product candidates or demand for any products once approved. For example, in 2003, trials using early versions of murine gamma-retroviral vectors, which integrate with, and thereby alter, the host cell’s DNA, have led to several well-publicized adverse events, including reported cases of leukemia. Although none of our current product candidates utilize murine gamma-retroviral vectors, our product candidates use AAV9 viral vectors. Among the risks in any gene therapy product based on viral vectors are the risks of immunogenicity, elevated liver enzymes, and insertional oncogenesis. If any of our vectors demonstrate a similar effect we may decide or be required to halt or delay further clinical development of any product candidates that utilize that vector. Adverse events in our or others’ clinical trials, even if not ultimately attributable to our product candidates, and the resulting publicity could result in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 The risk of cancer remains a concern for gene therapy and we cannot assure that it will not occur in any of our planned or future clinical trials or in any clinical trials conducted by other companies. In addition, there is the potential risk of delayed adverse events following exposure to gene therapy products due to persistent biological activity of the genetic material or other components of products used to carry the genetic material. In addition, for our regulated gene replacement therapy candidates that require that the expression of a therapeutic transgene be tightly regulated, such as TSHA-102, we may inadvertently cause overexpression, which could lead to numerous issues, including safety and toxicity concerns. Furthermore, these regulatory gene replacement therapy candidates require the insertion of miRNA targets into the viral genome, which is a technology that to our knowledge is not present in any approved gene therapy products. If any such adverse events occur, commercialization of our product candidates or further advancement of our clinical trials could be halted or delayed, which would have a negative impact on our business and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unable to establish sales, marketing and distribution capabilities for TSHA-102 or any other product candidate that may receive regulatory approval, we may not be successful in commercializing those product candidates if and when they are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sales or marketing infrastructure. To achieve commercial success for TSHA-102 or any other product candidate for which we may obtain marketing approval, we will need to establish a sales and marketing organization. In the future, we expect to build a focused sales and marketing infrastructure to market some of our product candidates in the United States, if and when they are approved. There are risks involved with establishing our own sales, marketing and distribution capabilities.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Factors that may inhibit our efforts to market our products on our own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recruit, train and retain adequate numbers of effective sales and marketing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of sales personnel to obtain access to physicians in order to educate physicians about our product candidates, once approved;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lack of complementary products to be offered by sales personnel, which may put us at a competitive disadvantage relative to companies with more extensive product lines;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unforeseen costs and expenses associated with creating an independent sales and marketing organization.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establish our own sales, marketing and distribution capabilities and are forced to enter into arrangements with, and rely on, third parties to perform these services, our revenue and our profitability, if any, are likely to be lower than if we had developed such capabilities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affected populations for our other product candidates may be smaller than we or third parties currently project, which may affect the addressable markets for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focus our research and product development on several indications that are orphan diseases. However, our projections of the number of people who have the diseases we are seeking to treat, as well as the subset of people with these diseases who have the potential to benefit from treatment with our product candidates, are estimates based on our knowledge and understanding of these diseases. These estimates may prove to be incorrect and new studies may further reduce the estimated incidence or prevalence of this disease. The number of patients in the United States, the European Union and elsewhere may turn out to be lower than expected, may not be otherwise amenable to treatment with our product candidate or patients may become increasingly difficult to identify and access, all of which would adversely affect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total addressable market opportunity for our product candidates will ultimately depend upon a number of factors including the diagnosis and treatment criteria included in the final label, if approved for sale in specified indications, acceptance by the medical community, patient access and product pricing and reimbursement. Incidence and prevalence estimates are frequently based on information and assumptions that are not exact and may not be appropriate, and the methodology is forward-looking and speculative. The process we have used in developing an estimated incidence and prevalence range for the indications we are targeting has involved collating limited data from multiple sources. Accordingly, the incidence and prevalence estimates included in this Annual Report on Form 10-K should be viewed with caution. Further, the data and statistical information used in this Annual Report on Form 10-K, including estimates derived from them, may differ from information and estimates made by our competitors or from current or future studies conducted by independent sources.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face significant competition from other biotechnology and pharmaceutical companies, and our operating results will suffer if we fail to compete effectively.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Drug development, particularly in the gene therapy field, is highly competitive and subject to rapid and significant technological advancements. As a significant unmet medical need exists in the neurology field, particularly for the treatment of neurodegenerative diseases, neurodevelopmental disorders and genetic epilepsies, there are several large and small pharmaceutical companies focused on delivering therapeutics for the treatment of these diseases. Further, it is likely that additional drugs will become available in the future for the treatment of our target indications.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Trofinetide was approved by the FDA in March 2023 for the treatment of Rett Syndrome. We are aware that our competitors are developing product candidates for the treatment of diseases that our product candidates will target. With respect to TSHA-102, we are aware that Neurogene has a clinical stage gene therapy program for the treatment of Rett syndrome. We are also aware that Alcyone Therapeutics, the Rett Syndrome Research Trust, Amicus Therapeutics, Shape Therapeutics and Sarepta Therapeutics have disclosed the existence of discovery-stage gene therapy programs for the treatment of Rett syndrome.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of our existing or potential competitors have substantially greater financial, technical and human resources than we do and significantly greater experience in the discovery and development of product candidates, as well as in obtaining regulatory approvals of those product candidates in the United States and in foreign countries. Our current and potential future competitors may also have significantly more experience commercializing drugs, particularly gene therapy and other biological products, that have been approved for marketing. Mergers and acquisitions in the pharmaceutical and biotechnology industries could result in even more resources being concentrated among a small number of our competitors.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face competition from other drugs or from other non-drug products currently approved or that will be approved in the future in the neurology field, including for the treatment of diseases and disorders in the therapeutic categories we intend to target. Therefore, our ability to compete successfully will depend largely on our ability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and commercialize drugs that are superior to other products in the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demonstrate through our clinical trials that our product candidates are differentiated from existing and future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attract qualified scientific, product development and commercial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patent or other proprietary protection for our medicines;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required regulatory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coverage and adequate reimbursement from, and negotiate competitive pricing with, third-party payors;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successfully collaborate with pharmaceutical companies in the discovery, development and commercialization of new medicines.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availability of our competitors’ products could limit the demand, and the price we are able to charge, for any product candidate we develop. The inability to compete with existing or subsequently introduced drugs would have an adverse impact on our business, financial condition and prospects. In addition, the reimbursement structure of approved gene therapies by other companies could impact the anticipated reimbursement structure of our gene therapies, if approved, and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Established 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discovering, developing, receiving regulatory and marketing approval for, or commercializing, drugs before we do, which would have an adverse impact on our business and results of operations.</w:t>
        <w:br/>
        <w:t> </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Biologic products may face competition sooner than anticipated.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The Biologics Price Competition and Innovation Act, or BPCIA,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a risk that any of our product candidates approved as a biological product under a BLA would not qualify for the 12-year period of exclusivity or that this exclusivity could be shortened due to congressional action or otherwise, or that the FDA will not consider our product candidates to be reference products for competing products, potentially creating the opportunity for generic competition sooner than anticipated. If competitors are able to obtain marketing approval for biosimilars referencing our candidates, if approved, our products may become subject to competition from such biosimilars, with the attendant competitive pressure and potential adverse consequences.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success of our product candidates will depend significantly on coverage and adequate reimbursement or the willingness of patients to pay for these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our success depends on obtaining and maintaining coverage and adequate reimbursement for our product candidates, including TSHA-102 for the treatment of Rett syndrome and the extent to which patients will be willing to pay out-of-pocket for such products, in the absence of reimbursement for all or part of the cost. In the United States and in other countries, patients who are provided medical treatment for their conditions generally rely on third-party payors to reimburse all or part of the costs associated with their treatment. The availability of coverage and adequacy of reimbursement for our products by third-party payors, including government health care programs (e.g., Medicare, Medicaid, TRICARE), managed care providers, private health insurers, health maintenance organizations, and other organizations is essential for most patients to be able to afford medical services and pharmaceutical products such as our product candidates. Third-party payors often rely upon Medicare coverage policy and payment limitations in setting their own coverage and reimbursement policies. However, decisions regarding the extent of coverage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amount of reimbursement to be provided are made on a payor-by-payor basis. One payor’s determination to provide coverage for a drug product does not assure that other payors will also provide coverage, and adequate reimbursement. The principal decisions about reimbursement for new medicines are typically made by the Centers for Medicare &amp; Medicaid Services, or CMS, an agency within the U.S. Department of Health and Human Services, or HHS. CMS decides whether and to what extent products will be covered and reimbursed under Medicare and private payors tend to follow CMS to a substantial degree.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Third-party payors determine which products and procedures they will cover and establish reimbursement levels. Even if a third-party payor covers a particular product or procedure, the resulting reimbursement payment rates may not be adequate. Patients who are treated in-office for a medical condition generally rely on third-party payors to reimburse all or part of the costs associated with the procedure, including costs associated with products used during the procedure, and may be unwilling to undergo such procedures in the absence of such coverage and adequate reimbursement. Physicians may be unlikely to offer procedures for such treatment if they are not covered by insurance and may be unlikely to purchase and use our product candidates, if approved, for our stated indications unless coverage is provided and reimbursement is adequate. In addition, for products administered under the supervision of a physician, obtaining coverage and adequate reimbursement may be particularly difficult because of the higher prices often associated with such drugs.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Reimbursement by a third-party payor may depend upon a number of factors, including the third-party payor’s determination that a procedure is safe, effective and medically necessary; appropriate for the specific patient; cost-effective; supported by peer-reviewed medical journals; included in clinical practice guidelines; and neither cosmetic, experimental, nor investigational. Further, increasing efforts by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Additionally,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We expect to experience pricing pressures from third-party payors in connection with the potential sale of any of our product candidates.</w:t>
        <w:b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Foreign governments also have their own healthcare reimbursement systems, which vary significantly by country and region, and we cannot be sure that coverage and adequate reimbursement will be made available with respect to the treatments in which our products are used under any foreign reimbursement system. The EU provides options for EU Member States to restrict the range of medicinal products for which their national health insurance systems provide reimbursement and to control the prices of medicinal products for human use. An EU Member State may approve a specific price for the medicinal product, it may refuse to reimburse a product at the price set by the manufacturer or it may instead adopt a system of direct or indirect controls on the profitability of the company placing the medicinal product on the market. Many EU Member States also periodically review their reimbursement procedures for medicinal products, which could have an adverse impact on reimbursement status. Moreover, in order to obtain reimbursement for our products in some European countries, including some EU Member States, we may be required to compile additional data comparing the cost-effectiveness of our products to other available therapies. This Health Technology Assessment, or HTA, of medicinal products is becoming an increasingly common part of the pricing and reimbursement procedures in some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 </w:t>
      </w:r>
    </w:p>
    <w:p>
      <w:pPr>
        <w:pStyle w:val="TextBody"/>
        <w:bidi w:val="0"/>
        <w:jc w:val="both"/>
        <w:rPr>
          <w:rFonts w:ascii="Times New Roman" w:hAnsi="Times New Roman"/>
          <w:color w:val="000000"/>
          <w:sz w:val="20"/>
        </w:rPr>
      </w:pPr>
      <w:r>
        <w:rPr>
          <w:rFonts w:ascii="Times New Roman" w:hAnsi="Times New Roman"/>
          <w:color w:val="000000"/>
          <w:sz w:val="20"/>
        </w:rPr>
        <w:t>Legislators, policymakers and healthcare insurance funds in the EU and the United Kingdom may continue to propose and implement cost-containing measures to keep healthcare costs down, particularly due to the financial strain that the COVID-19 pandemic has placed on national healthcare systems of European countries. These measures could include limitations on the prices we would be able to charge for product candidates that we may successfully develop and for which we may obtain regulatory approval or the level of reimbursement available for these products from governmental authorities or third-party payors. Further, an increasing number of EU and other foreign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can be no assurance that TSHA-102 or any other product candidate, if approved for sale in the United States or in other countries, will be considered medically reasonable and necessary, that it will be considered cost-effective by third-party payors, that coverage or an adequate level of reimbursement will be available or that reimbursement policies and practices in the United States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foreign countries where our products are sold will not adversely affect our ability to sell our product candidates profitably, if they are approved for sale.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Product liability lawsuits against us could cause us to incur substantial liabilities and to limit commercialization of any products that we may develop.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an inherent risk of product liability exposure related to the testing of our product candidates in human clinical trials and will face an even greater risk if we commercially sell any products that we may develop. If we cannot successfully defend ourselves against claims that our product candidates or drugs caused injuries, we will incur substantial liabilities. Regardless of merit or eventual outcome, liability claims may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decreased demand for any product candidates or drugs that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injury to our reputation and significant negative media attention;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withdrawal of clinical trial participants;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costs to defend the related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 monetary awards paid to trial participants or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of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resources of our management to pursue our business strategy;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commercialize any products that we may develop.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maintain product liability insurance coverage, such insurance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Dependence on Third Parties</w:t>
      </w:r>
    </w:p>
    <w:p>
      <w:pPr>
        <w:pStyle w:val="TextBody"/>
        <w:bidi w:val="0"/>
        <w:spacing w:before="120" w:after="200"/>
        <w:jc w:val="left"/>
        <w:rPr>
          <w:rFonts w:ascii="Times New Roman" w:hAnsi="Times New Roman"/>
          <w:b/>
          <w:i/>
          <w:color w:val="000000"/>
          <w:sz w:val="20"/>
        </w:rPr>
      </w:pPr>
      <w:r>
        <w:rPr>
          <w:rFonts w:ascii="Times New Roman" w:hAnsi="Times New Roman"/>
          <w:b/>
          <w:i/>
          <w:color w:val="000000"/>
          <w:sz w:val="20"/>
        </w:rPr>
        <w:t>We currently rely on our collaboration with UT Southwestern for our preclinical research and development programs, including for discovering, preclinically developing and conducting all IND-enabling studies for our lead product candidates and our near-term future pipeline. Failure or delay of UT Southwestern to fulfill all or part of its obligations to us under the agreement, a breakdown in collaboration between the parties or a complete or partial loss of this relationship would materially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collaboration with UT Southwestern is critical to our business. We entered into the UT Southwestern Agreement with UT Southwestern to discover and develop certain AAV vector-based therapeutics, and the product candidates developed under such collaboration currently represent all of our pipeline and discovery programs. We currently rely on UT Southwestern for much of our preclinical research and development capabilities, and in particular the UT Southwestern Gene Therapy Program under the direction of Drs. Steven Gray and Berge Minassian. Pursuant to the UT Southwestern Agreement, UT Southwestern is primarily responsible for discovery, preclinical development activities, including all IND-enabling non-clinical studies and research grade manufacturing, and other collaborative activities set forth in the plan for the funded research including leading interactions with FDA and other regulatory authorities. Either party has the right in certain circumstances to terminate the collaboration pursuant to the terms of the UT Southwestern Agreement. If UT Southwestern delays or fails to perform its obligations under the UT Southwestern Agreement, disagrees with our interpretation of the terms of the collaboration or our discovery plan or terminates our existing agreement, our pipeline of product candidates would be significantly adversely affected and our prospects will be materially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term of the research funding portion of the UT Southwestern Agreement, under which we have the ability to acquire exclusive rights to additional gene therapy products for rare, monogenic CNS indications, has been extended to extend research funding pursuant to sponsored research agreements on a program-by-program basis. UT Southwestern has also entered into collaborations with third parties, including certain of our competitors, addressing targets and disease indications outside the scope of our collaboration. As a result, UT Southwestern may have competing interests with respect to their priorities and resources. We may have disagreements with UT Southwestern with respect to the interpretation of the UT Southwestern Agreement, use of resources or otherwise that could cause our relationship with UT Southwestern to deteriorate. As a result, UT Southwestern may reduce their focus on, and resources allocated to, our programs, potentially delaying or terminating our ability to advance product candidates through preclinical studies. Additionally, if either of Dr. Gray or Dr. Minassian were to leave UT Southwestern or to otherwise no longer be meaningfully involved with us, our preclinical research and development capabilities may be substantially reduced.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under the UT Southwestern Agreement, UT Southwestern is primarily responsible for prosecuting and maintaining our licensed intellectual property, and it may fail to properly prosecute, maintain or defend such intellectual property. In such event, if we are unable to otherwise maintain or defend such intellectual property, we could face the potential invalidation of the intellectual property or be subjected to litigation or arbitration, any of which would be time-consuming and expensive. To enforce the licensed intellectual property rights under the UT Southwestern Agreement, we will need to coordinate with UT Southwestern, which could slow down or hamper our ability to enforce our licensed intellectual property rights. In such event, we could face increased competition that could materially and adversely affect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intend to rely on third parties to conduct a significant portion of our existing clinical trials and potential future clinical trials for product candidates, and those third parties may not perform satisfactorily, including failing to meet deadlines for the completion of such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engaged CROs for our ongoing and planned clinical trials for TSHA-102. We expect to continue to rely on third parties, including clinical data management organizations, medical institutions and clinical investigators, to conduct those clinical trials. Any of these third parties may terminate their engagements with us, some in the event of an uncured material breach and some at any time for convenience. If any of our relationships with these third parties terminate, we may not be able to timely enter into arrangements with alternative third parties or to do so on commercially reasonable terms, if at all. Switching or adding CROs involves substantial cost and requires management time and focus. In addition, there is a natural transition period when a new CRO commences work. As a result, delays occur, which can materially impact our ability to meet our desired clinical development timelines. Though we intend to carefully manage our relationships with our CROs, there can be no assurance that we will not encounter challenges or delays in the future or that these delays or challenges will not have a material adverse impact on our business, financial condition and prospects. Further, the performance of our CROs may also be interrupted by health epidemics, including due to travel restrictions, quarantine policies, heightened exposure of CRO staff who are healthcare providers to health epidemics or prioritization of resources toward a health epidemic.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any third parties conducting our clinical trials will not be our employees, and except for remedies available to us under our agreements with such third parties, we cannot control whether or not they devote sufficient time and resources to our clinical programs.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Consequently, our results of operations and the commercial prospects for our product candidates would be harmed, our costs could increase substantially and our ability to generate revenue could be delayed significantly.</w:t>
        <w:b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rely on these parties for execution of our preclinical studies and clinical trials, and generally do not control their activities. 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and comparable foreign regulatory require us to comply with standards, commonly referred to as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government-sponsored databases, such as ClinicalTrials.gov, within specified timeframes. Failure to do so can result in fines, adverse publicity and civil and criminal sanctions. If we or any of our CROs or other third parties, including trial sites, fail to comply with applicable GCPs, the clinical data generated in our clinical trials may be deemed unreliable and the FDA, European Commission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complies with GCP regulations. In addition, our clinical trials must be conducted with product produced under cGMP conditions. Our failure to comply with these regulations may require us to repeat clinical trials, which would delay the regulatory approval process.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and comparable foreign regulatory authorities. The FDA or comparable foreign regulatory authority may conclude that a financial relationship between us and a principal investigator has created a conflict of interest or otherwise affected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and may ultimately lead to the denial of marketing approval of TSHA-102 or any other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expect to rely on other third parties to store and distribute product supplies for our clinical trials. Any performance failure on the part of our distributors could delay clinical development or marketing approval of our product candidates or commercialization of our products, producing additional losses and depriving us of potential revenue.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seek collaborations with third parties for the development or commercialization of our product candidates. If those collaborations are not successful, we may not be able to capitalize on the market potential of these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seek third-party collaborators for the development and commercialization of our product candidates, including for the commercialization of any of our product candidates that are approved for marketing outside the United States. Our likely collaborators for any such arrangements include regional and national pharmaceutical companies and biotechnology companies. If we enter into any additional such arrangements with any third parties, we will likely have limited control over the amount and timing of resources that our collaborators dedicate to the development or commercialization of our product candidates. Our ability to generate revenue from these arrangements will depend on our collaborators’ abilities to successfully perform the functions assigned to them in these arrangements.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Collaborations involving our product candidates would pose the following risks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 to these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perform their obligations as expected;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grant exclusive rights to our collaborators that would prevent us from collaborating with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candidates discovered in collaboration with us may be viewed by our collaborators as competitive with their own product candidates or drugs, which may cause collaborators to cease to devote resources to the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collaborator with marketing and distribution rights to one or more of our product candidates that achieve regulatory approval may not commit sufficient resources to the marketing and distribution of such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infringe the intellectual property rights of third parties, which may expose us to litigation and potential liability;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may be terminated for the convenience of the collaborator and, if terminated, we could be required to raise additional capital to pursue further development or commercialization of the applicable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Collaboration agreements may not lead to development or commercialization of product candidates in the most efficient manner or at all. If any future collaborator of ours were to be involved in a business combination, the continued pursuit and emphasis on our product development or commercialization program could be delayed, diminished or terminated.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face significant competition in seeking appropriate collaborators. Whether we reach a definitive agreement for any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be able to negotiate additional collaborations on a timely basis, on acceptable terms, or at all. If we are unable to do so, we may have to curtail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obtain or protect intellectual property rights related to any of our product candidates, we may not be able to compete effectively in our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upon a combination of patents, trade secret protection and confidentiality agreements to protect the intellectual property related to our product candidates. Our success depends in large part on our ability to obtain and maintain patent and other intellectual property protection in the United States and in other countries with respect to our proprietary technology and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offer any assurances about which of our patent applications will issue, the breadth of any resulting patent or whether any of the issued patents will be found invalid and unenforceable or will be threatened by third parties. We cannot offer any assurances that the breadth of our granted patents will be sufficient to stop a competitor from developing and commercializing a product, including a biosimilar product that would be competitive with one or more of our product candidates. Furthermore, any successful challenge to these patents or any other patents owned by or licensed to us after patent issuance could deprive us of rights necessary for the successful commercialization of any of our product candidates. Further, if we encounter delays in regulatory approvals, the period of time during which we could market a product candidate under patent protection could be reduced.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patent prosecution process is expensive and time-consuming. We may not be able to prepare, file and prosecute all necessary or desirable patent applications at a commercially reasonable cost or in a timely manner or in all jurisdictions. It is also possible that we may fail to identify patentable aspects of inventions made in the course of development and commercialization activities before it is too late to obtain patent protection on them.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may not be prosecuted and enforced in a manner consistent with the best interests of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the protection provided by our patent estate, we rely on trade secret protection and confidentiality agreements to protect proprietary know-how that is not amenable to patent protection. Although we generally require all of our employees to assign their inventions to us, and all of our employees, consultants, advisors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Moreover, our competitors may independently develop knowledge, methods and know-how equivalent to our trade secrets. Competitors could purchase our products, if approved,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our agreements or security measures may be breached, and we may not have adequate remedies for any breach. Also, if the steps taken to maintain our trade secrets are deemed inadequate, we may have insufficient recourse against third parties for misappropriating the trade secret. In addition, others may independently discover our trade secrets and proprietary information. For example, the FDA is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we are unable to prevent material disclosure of the non-patented intellectual property related to our technologies to third parties, and there is no guarantee that we will have any such enforceable trade secret protection, we may not be able to establish or maintain a competitive advantage in our market, which could materially adversely affect our business, results of operations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Patent terms may be inadequate to protect our competitive position on our products for an adequate amount of time, and if we do not obtain protection under the Hatch-Waxman Amendments and similar non-United States legislation for extending the term of patents covering each of our product candidates, our business may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Given the amount of time required for the development, testing and regulatory review of new product candidates, patents protecting such candidates might expire before or shortly after such candidates are commercialized. Depending upon the timing, duration and conditions of FDA marketing approval of our product candidates, one or more of our United States patents may be eligible for limited patent term extension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as compensation for effective patent term lost during product development and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and could have a material adverse effect on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comply with our obligations in our current and future intellectual property licenses with third parties, we could lose rights that are important to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heavily reliant upon licenses to certain patent rights and proprietary technology for the development of our product candidates, in particular the UT Southwestern Agreement and our license agreements with Queen’s University and Abeona. These license agreements impose diligence, development and commercialization timelines and milestone payment, royalty, insurance and other obligations on us. If we fail to comply with our obligations, our licensors may have the right to terminate our licenses, in which event we might not be able to develop, manufacture or market any product that is covered by the intellectual property we in-license from such licensor and may face other penalties. Such an occurrence would materially adversely affect our business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Licenses to additional third-party technology and materials that may be required for our development programs may not be available in the future or may not be available on commercially reasonable terms, or at all, which could have a material adverse effect on our business and financial condition. Although we control the prosecution, maintenance and enforcement of the licensed and sublicensed intellectual property relating to our product candidates, we may require the cooperation of our licensors and any upstream licensor, which may not be forthcoming. Therefore, we cannot be certain that the prosecution, maintenance and enforcement of these patent rights will be in a manner consistent with the best interests of our business. If we or our licensor fail to maintain such patents, or if we or our licensor lose rights to those patents or patent applications, the rights we have licensed may be reduced or eliminated and our right to develop and commercialize any of our product candidates that are the subject of such licensed rights could be adversely affected. In addition to the foregoing, the risks associated with patent rights that we license from third parties will also apply to patent rights we may own in the future. Further, if we fail to comply with our development obligations under our license agreements, we may lose our patent rights with respect to such agreement on a territory-by-territory basis, which would affect our patent rights worldwide.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Termination of our current or any future license agreements would reduce or eliminate our rights under these agreements and may result in our having to negotiate new or reinstated agreements with less favorable terms or cause us to lose our rights under these agreements, including our rights to important intellectual property or technology. Any of the foregoing could prevent us from commercializing our other product candidates, which could have a material adverse effect on our operating results and overall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intellectual property rights that we in-license in the future may be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our product candidates may be materially harmed.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Patent reform legislation could increase the uncertainties and costs surrounding the prosecution of our patent applications and the enforcement or defense of our future patents.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patents is highly uncertain because, to date, some legal principles remain unresolved, and there has not been a consistent policy regarding the breadth or interpretation of claims allowed in patents in the United States. Furthermore, the specific content of patents and patent applications that are necessary to support and interpret patent claims is highly uncertain due to the complex nature of the relevant legal, scientific, and factual issues. Changes in either patent laws or interpretations of patent laws in the United States and other countries may diminish the value of our intellectual property or narrow the scope of our patent protection.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example, on September 16, 2011, the Leahy-Smith America Invents Act, or the Leahy-Smith Act, was signed into law. The Leahy-Smith Act included a number of significant changes to United States patent law. These included provisions that affect the way patent applications will be prosecuted and may also affect patent litigation. The United States Patent and Trademark Office, or USPTO, has developed new and untested regulations and procedures to govern the full implementation of the Leahy-Smith Act, and many of the substantive changes to patent law associated with the Leahy-Smith Act, and in particular, the first to file provisions, became effective in March 2013. The Leahy-Smith Act has also introduced procedures making it easier for third parties to challenge issued patents, as well as to intervene in the prosecution of patent applications. Finally, the Leahy-Smith Act contained new statutory provisions that require the USPTO to issue new regulations for their implementation, and it may take the courts years to interpret the provisions of the new statute. It is too early to tell what, if any, impact the Leahy-Smith Act will have on the operation of our business and the protection and enforcement of our intellectual property. However, the Leahy-Smith Act and its implementation could increase the uncertainties and costs surrounding the prosecution of our patent applications and the enforcement or defense of our future patents. Further,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would weaken our ability to obtain new patents or to enforce patents that we have owned or licensed or that we might obtain in the future. An inability to obtain, enforce, and defend patents covering our proprietary technologies would materially and adversely affect our business prospects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Similarly,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may obtain in the future. 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For example, if the issuance in a given country of a patent covering an invention is not followed by the issuance in other countries of patents covering the same invention, or if any judicial interpretation of the validity, enforceability or scope of the claims or the written description or enablement, in a patent issued in one country is not similar to the interpretation given to the corresponding patent issued in another country, our ability to protect our intellectual property in those countries may be limited. Changes in either patent laws or in interpretations of patent laws in the United States and other countries may materially diminish the value of our intellectual property or narrow the scope of our patent protection.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be involved in lawsuits to protect or enforce our patents, which could be expensive, time consuming and unsuccessful.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may infringe the patents for which we have applied. To counter infringement or unauthorized use, we may be required to file infringement claims, which can be expensive and time-consuming. If we initiate legal proceedings against a third party to enforce a patent covering one of our product candidates, the defendant could counterclaim that the patent covering our product or product candidate is invalid and/or unenforceable. In patent litigation in the United States, counterclaims alleging invalidity and/or unenforceability are common, and there are numerous grounds upon which a third party can assert invalidity or unenforceability of a patent. In an infringement proceeding, a court may decide that the patent claims we are asserting are invalid and/or unenforceable, or may refuse to stop the other party from using the technology at issue on the grounds that our patent claims do not cover the technology in question. Third parties may also raise similar claims before administrative bodies in the United States or abroad, even outside the context of litigation. Such mechanisms include re-examination, post grant review, inter partes review and equivalent proceedings in foreign jurisdictions (for example, opposition proceedings). Such proceedings could result in revocation of or amendment to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 candidates. An adverse result in any litigation or defense proceedings could put one or more of our patents at risk of being invalidated or interpreted narrowly, could put our patent applications at risk of not issuing and could have a material adverse impact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Interference proceedings provoked by third parties or brought by us may be necessary to determine the priority of inventions with respect to our patent applications. An unfavorable outcome could require us to cease using the related technology or force us to take a license under the patent rights of the prevailing party, if available. Furthermore,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misappropriation of our intellectual property rights, particularly in countries where the laws may not protect those rights as fully as in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be unsuccessful in licensing or acquiring intellectual property from third parties that may be required to develop and commercialize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third party may hold intellectual property, including patent rights that are important or necessary to the development and commercialization of our product candidates. It may be necessary for us to use the patented or proprietary technology of third parties to commercialize our product candidates, in which case we would be required to acquire or obtain a license to such intellectual property from these third parties, and we may be unable to do so on commercially reasonable terms or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Third parties may initiate legal proceedings alleging that we are infringing their intellectual property rights, the outcome of which would be uncertain.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our current and future product candidates progress toward commercialization, the possibility of a patent infringement claim against us increases. We cannot provide any assurance that our current and future product candidates do not infringe other parties’ patents or other proprietary rights, and competitors or other parties may assert that we infringe their proprietary rights in any event. We may become party to, or threatened with, adversarial proceedings or litigation regarding intellectual property rights with respect to our current and future product candidates, including interference or derivation proceedings before the USPTO. Even if we believe such claims are without merit, a court of competent jurisdiction could hold that these third-party patents are valid, enforceable and infringed, which could have a negative impact on our ability to commercialize TSHA-102 or any future product candidates. In order to successfully challenge the validity of any such United States patent in federal court, we would need to overcome a presumption of validity. As this burden is high and requires us to present clear and convincing evidence as to the invalidity of any such United States patent claim, there is no assurance that a court of competent jurisdiction would agree with us and invalidate the claims of any such United States patent. Moreover, given the vast number of patents in our field of technology, we cannot be certain that we do not infringe existing patents or that we will not infringe patents that may be granted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we may decide to initiate proceedings to challenge the validity of these or other patents in the future, we may be unsuccessful, and courts or patent offices in the United States and abroad could uphold the validity of any such patent.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product candidates. Regardless of when filed, we may fail to identify relevant third-party patents or patent applications, or we may incorrectly conclude that a third-party patent is invalid or not infringed by our product candidates or activities. If a patent holder believes that one of our product candidates infringes its patent, the patent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holder may sue us even if we have received patent protection for our technology. Moreover, we may face patent infringement claims from non-practicing entities that have no relevant drug revenue and against whom our own patent portfolio may thus have no deterrent effect. If a patent infringement suit were threatened or brought against us, we could be forced to stop or delay research, development, manufacturing or sales of the drug or product candidate that is the subject of the actual or threatened suit.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aware of issued patent or patents issued to REGENX that claim AAV vectors that have an AAV9 capsid serotype. If we commercialize any of our product candidates prior to the expiry of those patents in 2026 without a license, the patent owner could bring an action claiming infringement. If we are found to infringe a third party’s valid intellectual property rights, we could be required to obtain a license from such third party to continue commercializing our product candidates. However, we may not be able to obtain any required license on commercially reasonable terms or at all. Even if a license can be obtained on acceptable terms, the rights may be non-exclusive, which could give our competitors access to the same technology or intellectual property rights licensed to us. If we fail to obtain a required license, we may be unable to effectively market product candidates based on our technology, which could limit our ability to generate revenue or achieve profitability and possibly prevent us from generating revenue sufficient to sustain our operations. Alternatively, we may need to redesign our infringing products, which may be impossible or require substantial time and monetary expenditure. Under certain circumstances, we could be forced, including by court orders, to cease commercializing our product candidates. In addition, in any such proceeding or litigation, we could be found liable for substantial monetary damages, potentially including treble damages and attorneys’ fees, if we are found to have willfully infringed the patent at issue. A finding of infringement could prevent us from commercializing our product candidates or force us to cease some of our business operations, which could harm our business. Any claims by third parties that we have misappropriated their confidential information or trade secrets could have a similar negative impact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be subject to claims that our employees, consultants, or independent contractors have wrongfully used or disclosed confidential information of third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employ individuals who were previously employed at other biotechnology or biopharmaceutical companies. Although we try to ensure that our employees, consultants and advisors do not use the proprietary information or know-how of others in their work for us, we may be subject to claims that we or our employees, consultants, or independent contractors have inadvertently or otherwise used or disclosed confidential information of our employees’ former employers or other third parties. We may also be subject to claims that former employers or other third parties have an ownership interest in our future patents. Litigation may be necessary to defend against these claims. There is no guarantee of success in defending these claims, and even if we are successful, litigation could result in substantial cost and be a distraction to our management and other employees.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be subject to claims challenging the inventorship or ownership of our future patents and other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also be subject to claims that former employees, collaborators, or other third parties have an ownership interest in our patent applications, our future patents, or other intellectual property. We may be subject to ownership disputes in the future arising, for example, from conflicting obligations of consultants or others who are involved in developing our product candidates. Although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Reliance on third parties requires us to share our trade secrets, which increases the possibility that a competitor will discover them or that our trade secrets will be misappropriated or disclosed.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rely on third parties to manufacture or commercialize our product candidates, or if we collaborate with additional third parties for the development of such product candidates, we must, at times, share trade secrets with them. We may also conduct joint research and development programs that may require us to share trade secrets under the terms of our research and development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partnerships or similar agreements.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could have an adverse effect on our business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these agreements typically restrict the ability of our advisors, employees, third-party contractors and consultants to publish data potentially relating to our trade secrets. Despite our efforts to protect our trade secrets, we may not be able to prevent the unauthorized disclosure or use of our technical know-how or other trade secrets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and we could lose our trade secrets as a result. Moreover, if confidential information that is licensed or disclosed to us by our partners, collaborators, or others is inadvertently disclosed or subject to a breach or violation, we may be exposed to liability to the owner of that confidential information. Enforcing a claim that a third party illegally obtained and is using our trade secrets, like patent litigation, is expensive and time consuming, and the outcome is unpredictable. In addition, courts outside the United States are sometimes less willing to protect trade secrets.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enjoy only limited geographical protection with respect to certain patents and we may not be able to protect our intellectual property rights throughout the world.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Filing and prosecuting patent applications and defending patents covering our product candidates in all countries throughout the world would be prohibitively expensive. Competitors may use our technologies in jurisdictions where we have not obtained patent protection to develop their own products and, further, may export otherwise infringing products to territories where we have patent protection, but enforcement rights are not as strong as that in the United States or Europe. These products may compete with our product candidates, and our future patents or other intellectual property rights may not be effective or sufficient to prevent them from competing.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It is also quite common that depending on the country, the scope of patent protection may vary for the same product candidate or technology.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laws of some jurisdictions do not protect intellectual property rights to the same extent as the laws or rules and regulations in the United States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rights, which could make it difficult for us to stop the infringement of our future patents or marketing of competing products in violation of our proprietary rights generally. Proceedings to enforce our patent rights in other jurisdictions, whether or not successful, could result in substantial costs and divert our efforts and attention from other aspects of our business, could put our future patents at risk of being invalidated or interpreted narrowly and our patent applications at risk of not issuing as patents,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we are forced to grant a license to third parties with respect to any patents relevant to our business, our competitive position may be impaired.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Periodic maintenance fees, renewal fees, annuity fees and various other government fees on patents and/or applications will be due to be paid to the USPTO and various government patent agencies outside of the United States over the lifetime of our patents and/or applications and any patent rights we may obtain in the future. Furthermore, the USPTO and various non-United States government patent agencies require compliance with several procedural, documentary, fee payment and other similar provisions during the patent application process. In many cases, an inadvertent lapse of a patent or patent application can be cured by payment of a late fee or by other means in accordance with the applicable rules. There are situations, however, in which non-compliance can result in abandonment or lapse of the patents or patent applications, resulting in partial or complete loss of patent rights in the relevant jurisdiction. In such an event, potential competitors might be able to enter the market, which could have a material adverse effect on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Any trademarks we have obtained or may obtain may be infringed or otherwise violated, or successfully challenged, resulting in harm to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rely on trademarks as one means to distinguish our product candidates, if approved for marketing, from the drugs of our competitors. Once we select new trademarks and apply to register them, our trademark applications may not be approved. Third parties may oppose or attempt to cancel our trademark applications or trademarks, or otherwise challenge our use of the trademarks. In the event that our trademarks are successfully challenged, we could be forced to rebrand our drugs, which could result in loss of brand recognition and could require us to devote resources to advertising and marketing new brands. Our competitors may infringe or otherwise violate our trademarks and we may not have adequate resources to enforce our trademarks. Any of the foregoing events may have a material adverse effect on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Intellectual property rights do not necessarily address all potential threats to our competitive advantage.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be able to make products that are similar to or otherwise competitive with our product candidates but that are not covered by the claims of our current or future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in-license necessary for the manufacture, use, sale, offer for sale or importation of one or more of our product candidates may be terminated by the licensor;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future collaborators might not have been the first to make the inventions covered by our issued or future issued patents or our pending patent applications;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future collaborators might not have been the first to file patent applications covering certain of our inventions;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 without infringing our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our pending patent applications will not lead to issued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issued patents that we own or in-license may be held invalid or unenforceable as a result of legal challenges by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issued patents that we own or in-license may not provide coverage for all aspects of our product candidates in all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develop additional proprietary technologies that are patentable;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patents of others may have an adverse effect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Should any of these events occur, they could significantly harm our business, results of operations and prospects.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Legal and Regulatory Compliance Matters</w:t>
      </w:r>
    </w:p>
    <w:p>
      <w:pPr>
        <w:pStyle w:val="TextBody"/>
        <w:bidi w:val="0"/>
        <w:spacing w:before="120" w:after="200"/>
        <w:jc w:val="left"/>
        <w:rPr>
          <w:rFonts w:ascii="Times New Roman" w:hAnsi="Times New Roman"/>
          <w:b/>
          <w:i/>
          <w:color w:val="000000"/>
          <w:sz w:val="20"/>
        </w:rPr>
      </w:pPr>
      <w:r>
        <w:rPr>
          <w:rFonts w:ascii="Times New Roman" w:hAnsi="Times New Roman"/>
          <w:b/>
          <w:i/>
          <w:color w:val="000000"/>
          <w:sz w:val="20"/>
        </w:rPr>
        <w:t>Our relationships with customers, healthcare providers, including physicians, and third-party payors are subject, directly or indirectly, to federal, state and foreign healthcare fraud and abuse laws, false claims laws, health information privacy and security laws, and other healthcare laws and regulations. If we are unable to comply, or have not fully complied, with such laws, we could face substantial penalties.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Healthcare providers, including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state and foreign fraud and abuse laws and other healthcare laws, including, without limitation in the United States, the federal Anti-Kickback Statute, the federal civil and criminal false claims laws and the law commonly referred to as the Physician Payments Sunshine Act and regulations promulgated under such laws. These laws will impact, among other things, our clinical research, proposed sales, marketing and educational programs, and other interactions with healthcare professionals. In addition, we may be subject to patient privacy laws by both the federal government, the states and foreign countries in which we conduct or may conduct our business. The laws that will affect our operations include, but are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Anti-Kickback Statute, which prohibits, among other things, individuals or entities from knowingly and willfully soliciting, receiving, offering or paying any remuneration (including any kickback, bribe or rebate), directly or indirectly, overtly or covertly, in cash or in kind in return for, or to induce, either the referral of an individual, or the purchase, lease, order or arrangement for or recommendation of the purchase, lease, order or arrangement for any good, facility, item or service for which payment may be made, in whole or in part, under a federal healthcare program, such as the Medicare and Medicaid programs. The term “remuneration” has been broadly interpreted to include anything of value.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A person does not need to have actual knowledge of this statute or specific intent to violate it in order to have committed a violation. In addition, the Patient Protection and Affordable Care Act, as amended by the Health Care and Education Reconciliation Act, or collectively, the ACA, signed into law in 2010, provides that the government may assert that a claim including items or services resulting from a violation of the federal Anti-Kickback Statute constitutes a false or fraudulent claim for purposes of the federal False Claims 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civil and criminal false claims laws, including, without limitation, the federal False Claims Act, which can be enforced by private citizens through civil whistleblower or qui tam actions, and civil monetary penalty laws which prohibit, among other things, individuals or entities from knowingly presenting, or causing to be presented, claims for payment or approval from the federal government, including Medicare, Medicaid and other government payors, that are false or fraudulent or knowingly making, using or causing to be made or used a false record or statement material to a false or fraudulent claim or to avoid, decrease or conceal an obligation to pay money to the federal government. A claim includes “any request or demand” for money or property presented to the United States federal government.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products for unapproved, and thus non-reimbursable, uses;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Health Insurance Portability and Accountability Act of 1996, or HIPAA, which created additional federal criminal statutes which prohibit, among other things, a person from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HIPAA, as amended by the Health Information Technology for Economic and Clinical Health Act, or HITECH, and their implementing regulations, which imposes certain requirements relating to the privacy, security and transmission of individually identifiable health information on health plans, healthcare clearinghouses and certain healthcare providers, known as “covered entities”, and their respective HIPAA “business associates”, which are independent contractors that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perform certain services for or on behalf of covered entities involving the use or disclosure of individually identifiable health information, as well as their covered subcontractors. HITECH also created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transparency laws, including the federal Physician Payments Sunshine Act, which requires certain manufacturers of drugs, medical devices, biologicals and medical supplies for which payment is available under Medicare, Medicaid or the State Children’s Health Insurance Program, with specific exceptions, to report annually to CMS information related to: (i) payments or other “transfers of value’’ made to physicians (defined to include doctors, dentists, optometrists, podiatrists and chiropractors), other health care professionals (such as physician assistants and nurse practitioners), and teaching hospitals, and (ii) ownership and investment interests held by physicians and their immediate family members;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analogous state and foreign laws and regulations; state and foreign laws that require manufacturers to report information related to payments and other transfers of value to physicians and other healthcare providers, marketing expenditures or drug pricing; state and foreign laws that require pharmaceutical companies to comply with the pharmaceutical industry’s voluntary compliance guidelines and the relevant compliance guidance promulgated by the federal government, or that otherwise restrict payments that may be made to healthcare providers; state and local laws that require the registration of pharmaceutical sales representatives; and state and foreign laws that govern the privacy and security of health information in some circumstances, many of which differ from each other in significant ways and often are not preempted by HIPAA, thus complicating compliance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Outside the United States, interactions between pharmaceutical companies and health care professionals are also governed by strict laws, such as national anti-bribery laws of European countries, national sunshine rules, regulations, industry self-regulation codes of conduct and physicians’ codes of professional conduct. Failure to comply with these requirements could result in reputational risk, public reprimands, administrative penalties, fines or imprisonment.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of the breadth of these laws and the narrowness of the statutory exceptions and regulatory safe harbors available, it is possible that some of our business activities could be subject to challenge under one or more of such laws.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without limitation, civil, criminal and administrative penalties, damages, fines, disgorgement, imprisonment, exclusion from participating in federal and state funded healthcare programs, such as Medicare and Medicaid, or comparable foreign programs, additional reporting requirements and oversight if we become subject to a corporate integrity agreement or similar agreement to resolve allegations of non-compliance with these laws, contractual damages, diminished profits and future earnings, reputational harm and the curtailment or restructuring of our operations, any of which could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risk of our being found in violation of these laws is increased by the fact that many of them have not been fully interpreted by the regulatory authorities or the courts, and their provisions are open to a variety of interpretations. 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we obtain regulatory approval for TSHA-102 or any future product candidates, they will remain subject to ongoing regulatory oversight.</w:t>
        <w:br/>
      </w:r>
      <w:r>
        <w:rPr>
          <w:rFonts w:ascii="Times New Roman" w:hAnsi="Times New Roman"/>
          <w:color w:val="000000"/>
          <w:sz w:val="20"/>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Even if we obtain any regulatory approval for TSHA-102, or any future product candidates, such product candidates, once approved, will be subject to ongoing regulatory requirements applicable to manufacturing, labeling, packaging, storage, advertising, promoting, sampling, record-keeping and submitting of safety and other post-market information, among other things. Any regulatory approvals that we receive for TSHA-102, or any future product candidates may also be subject to a REMS, comparable foreign strategies, limitations on the approved indicated uses for which the drug may be marketed or to the conditions of approval, or requirements that we conduct potentially costly post-marketing testing, including Phase 4 trials and surveillance to monitor the quality, safety and efficacy of the drug. An unsuccessful post-marketing study or failure to complete such a study could result in the withdrawal of marketing approval. We will further be required to immediately report any serious and unexpected adverse events and certain quality or production problems with our products to regulatory authorities along with other periodic reports.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Any new legislation addressing drug safety issues could result in delays in product development or commercialization, or increased costs to assure compliance. We will also have to comply with requirements concerning advertising and promotion for our products. Promotional communications with respect to prescription drug products are subject to a variety of legal and regulatory restrictions and must be consistent with the information in the product’s approved label. As such, we will not be allowed to promote our products for indications or uses for which they do not have approval, commonly known as off-label promotion. The holder of an approved BLA or comparable foreign approval must submit new or supplemental applications and obtain prior approval for certain changes to the approved product, product labeling, or manufacturing process. A company that is found to have improperly promoted off-label uses of their products may be subject to significant civil, criminal and administrative penalties.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drug manufacturers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 previously unknown problems with a drug, such as adverse events of unanticipated severity or frequency, or problems with the facility where the drug is manufactured or if a regulatory authority disagrees with the promotion, marketing or labeling of that drug, a regulatory authority may impose restrictions relative to that drug, the manufacturing facility or us, including requesting a recall or requiring withdrawal of the drug from the market or suspension of manufacturing.</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If we fail to comply with applicable regulatory requirements following approval of TSHA-102 or any future product candidates, a regulatory authority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 an untitled letter or warning letter asserting that we are in violation of the law;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an injunction or impose administrative, civil or criminal penalties or monetary fines;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suspend, vary or withdraw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suspend any ongoing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refuse to approve a pending BLA or comparable foreign marketing application (or any supplements thereto) submitted by us or our strategic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 the marketing or manufacturing of the drug;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seize or detain the drug or otherwise require the withdrawal of the drug from the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refuse to permit the import or export of product candidates;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refuse to allow us to enter into supply contracts, including government contracts.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Any government investigation of alleged violations of law could require us to expend significant time and resources in response and could generate negative publicity. The occurrence of any event or penalty described above may inhibit our ability to commercialize TSHA-102 or any future product candidates and harm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Even if we obtain FDA or EMA approval any of our product candidates in the United States or European Union, we may never obtain approval for or commercialize any of them in any other jurisdiction, which would limit our ability to realize their full market potential.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market any products in any particular jurisdiction, we must establish and comply with numerous and varying regulatory requirements on a country-by-country basis regarding safety and efficacy.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Approval by the FDA in the United States or the European Commission in the European Union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and we do not have experience in obtaining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Healthcare legislative or regulatory reform measures may have a negative impact on our business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w:t>
        <w:b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For example, in March 2010, the ACA was passed, which substantially changed the way healthcare is financed by both the government and private insurers, and significantly impacts the United States pharmaceutical industry.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have been judicial, congressional, and executive branch challenges to certain aspects of the ACA, including efforts to repeal or replace certain aspects of the ACA. For example, on June 17, 2021, the U.S. Supreme Court dismissed a challenge on procedural grounds that argued the ACA is unconstitutional in its entirety because the “individual mandate” was repealed by Congress.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In addition, on August 16, 2022, President Biden signed the Inflation Reduction Act of 2022, or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It is possible that the ACA will be subject to judicial or Congressional challenges in the future. It is also unclear how any additional healthcare reform measures of the Biden administration will impact the ACA and our business.</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 xml:space="preserve">Other legislative changes have been proposed and adopted since the ACA was enacted. These changes include aggregate reductions to Medicare payments to providers of 2% per fiscal year pursuant to the Budget Control Act of 2011, which began in 2013, and due to subsequent legislative amendments to the statute, will remain in effect until 2032, unless additional congressional action is taken. The American Taxpayer Relief Act of 2012, among other things, further reduced Medicare payments to several providers, including hospitals and cancer treatment centers, and increased the statute of limitations period for the government to recover overpayments to providers from three to five years. These laws may result in additional reductions in Medicare and other healthcare funding, which could have an adverse effect on customers for our product candidates, if approved, and, accordingly, our financial operations. Additionally,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Additionally, there has been heightened governmental scrutiny in the United States of pharmaceutical pricing practices in light of the rising cost of prescription drugs and biologics. Such scrutiny has resulted in several recent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(i) directs HHS to negotiate the price of certain high-expenditure, single-source drugs and biologics covered under Medicare, and subject drug manufacturers to civil monetary penalties and a potential excise tax by offering a price that is not equal to or less than the negotiated “maximum fair price” for such drugs and biologics under the law, and (ii) imposes rebates with respect to certain drugs and biologics covered under Medicare Part B or Medicare Part D to penalize price increases that outpace inflation. The IRA permits HHS to implement many of these provisions through guidance, as opposed to regulation, for the initial years. These provisions take effect progressively starting in fiscal year 2023. On August 29, 2023, HHS announced the list of the first ten drugs that will be subject to price negotiations, although the Medicare drug price negotiation program is currently subject to legal challenges. It is currently unclear how the IRA will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implemented but is likely to have a significant impact on the pharmaceutical industry. In response to the Biden administration’s October 2022 executive order,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expect that these and other healthcare reform measures that may be adopted in the future may result in more rigorous coverage criteria and in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FDA and comparable foreign regulatory regulations and guidance may be revised or reinterpreted by the FDA or the comparable foreign regulatory in ways that may significantly affect our business and our products. Any new regulations or guidance, or revisions or reinterpretations of existing regulations or guidance, may impose additional costs or lengthen FDA review times for TSHA-102 or any future product candidates. We cannot determine how changes in regulations, statutes, policies, or interpretations when and if issued, enacted or adopted, may affect our business in the future. Such changes could, among other things, require: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clinical trials to be conducted prior to obtaining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to manufacturing methods;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recalls, replacements, or discontinuance of one or more of our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recordkeeping.</w:t>
      </w:r>
    </w:p>
    <w:p>
      <w:pPr>
        <w:pStyle w:val="TextBody"/>
        <w:bidi w:val="0"/>
        <w:spacing w:before="120" w:after="283"/>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For instance, the regulatory landscape related to clinical trials in the EU recently evolved. The EU Clinical Trials Regulation, or CTR, which was adopted in April 2014 and repeals the EU Clinical Trials Directive, became applicable on January 31, 2022. The CTR allows sponsors to make a single submission to both the competent authority and an ethics committee in each EU Member State, leading to a single decision for each EU Member State. The assessment procedure for the authorization of clinical trials has been harmonized as well, including a joint assessment by all EU Member States concerned, and a separate assessment by each EU Member State with respect to specific requirements related to its own territory, including ethics rules. Each EU Member State’s decision is communicated to the sponsor via the centralized EU portal. Once the clinical trial approved, clinical study development may proceed. The CTR foresees a three-year transition period. The extent to which ongoing and new clinical trials will be governed by the CTR varies. For clinical trials in relation to which application for approval was made on the basis of the Clinical Trials Directive before January 31, 2023, the Clinical Trials Directive will continue to apply on a transitional basis until January 31, 2025. By that date, all ongoing trials will become subject to the provisions of the CTR. The CTR will apply to clinical trials from an earlier date if the related clinical trial application was made on the basis of the CTR or if the clinical trial has already transitioned to the CTR framework before January 31, 2025. Compliance with the CTR requirements by us and our third-party service providers, such as CROs, may impact our developments plans.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In light of the entry into application of the CTR on January 31, 2022, we may be required to transition clinical trials for which we have obtained regulatory approvals in accordance with the CTD to the regulatory framework of the CTR. Transition of clinical trials governed by the CTD to the CTR will be required for clinical trials which will have at least one site active in the E.U. on January 30, 2025. A transitioning application would need to be submitted to the competent authorities of E.U. Member States through the Clinical Trials Information Systems and related regulatory approval obtained to continue the clinical trial past January 30, 2025. This would require financial, technical and human resources. If we are unable to transition our clinical trials in time, the conduct of those clinical trials may be negatively impacted.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It is currently unclear to what extent the UK will seek to align its regulations with the EU in the future. The UK regulatory framework in relation to clinical trials is derived from existing EU legislation (as implemented into UK law, through secondary legislation). On January 17, 2022, the UK Medicines and Healthcare products Regulatory Agency, or MHRA, launched an eight-week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consultation on reframing the UK legislation for clinical trials. The UK Government published its response to the consultation on March 21, 2023 confirming that it would bring forward changes to the legislation. These resulting legislative amendments will determine how closely the UK regulations will align with the CTR. Failure of the UK to closely align its regulations with the EU may have an effect on the cost of conducting clinical trials in the UK as opposed to other countries and/or make it harder to seek a marketing authorization for our product candidates on the basis of clinical trials conducted in the United Kingdom.</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In addition, on April 26, 2023, the European Commission adopted a proposal for a new Directive and Regulation to revise the existing pharmaceutical legislation. If adopted in the form proposed, the recent European Commission proposals to revise the existing EU laws governing authorization of medicinal products may result in a decrease in data and market exclusivity opportunities for our product candidates in the EU and make them open to generic or biosimilar competition earlier than is currently the case with a related reduction in reimbursement status.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If we are slow or unable to adapt to changes in existing requirements or the adoption of new requirements or policies, our development plans may be impacted.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Such changes would likely require substantial time and impose significant costs, or could reduce the potential commercial value of TSHA-102 or other product candidates, and could materially harm our business and our financial results. In addition, delays in receipt of or failure to receive regulatory clearances or approvals for any other products would harm our business, financial condition, and results of operations.</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Disruptions at the FDA, the SEC and other government agencies and regulatory authorities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ability of the FDA and comparable foreign regulatory authorities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U.S. Securities and Exchange Commission, or SEC, and other government agencies on which our operations may rely, including those that fund research and development activities, is subject to the political process, which is inherently fluid and unpredictable.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Disruptions at the FDA and other agencies and comparable regulatory authorities may also slow the time necessary for new drugs or biologics to be reviewed and/or approved by necessary government agencies and regulatory authorities, which would adversely affect our business. For example, over the last several years, including most recently from December 22, 2018 to January 25, 2019,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w:t>
      </w:r>
    </w:p>
    <w:p>
      <w:pPr>
        <w:pStyle w:val="TextBody"/>
        <w:bidi w:val="0"/>
        <w:spacing w:before="0" w:after="200"/>
        <w:jc w:val="left"/>
        <w:rPr>
          <w:rFonts w:ascii="Times New Roman" w:hAnsi="Times New Roman"/>
          <w:sz w:val="20"/>
        </w:rPr>
      </w:pPr>
      <w:r>
        <w:rPr>
          <w:rFonts w:ascii="Times New Roman" w:hAnsi="Times New Roman"/>
          <w:b/>
          <w:i/>
          <w:color w:val="000000"/>
          <w:sz w:val="20"/>
        </w:rPr>
        <w:t>We are subject to legal proceedings and claims from time to time that may seek material damages or otherwise may have a material adverse effect on our business. The costs we incur in defending ourselves or associated with settling any of these proceedings, as well as a material final judgment or decree against us, could materially adversely affect our financial condition.</w:t>
      </w:r>
      <w:r>
        <w:rPr>
          <w:rFonts w:ascii="Times New Roman" w:hAnsi="Times New Roman"/>
          <w:color w:val="000000"/>
          <w:sz w:val="20"/>
        </w:rPr>
        <w:t xml:space="preserve">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We are subject to legal proceedings and claims from time to time that may seek material damages or otherwise may have a material adverse effect on our business. For example, in January 2024, we were named a nominal defendant in a shareholder derivative lawsuit against certain of our current and former directors in the Court of Chancery of the State of Delaware. See “Item 3—Legal Proceedings” and “Part II, Item 8, Note 13—Commitments and Contingencies” in this Annual Report on Form 10-K for more information. This or any future litigation could result in substantial costs and diversion of management’s attention and resources, which could adversely impact our business. The costs we incur in defending ourselves or associated with settling such proceedings, as well as a material final judgment or decree against us, could materially adversely affect our financial condition.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Employee Matters and Managing our Growth</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future success depends on our ability to retain key executives and to attract, retain and motivate qualified personnel, and recent changes to our team might harm future operating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highly dependent on the management, development, clinical, financial and business development expertise of our executive officers. Each of our executive officers may currently terminate their employment with us at any time. We do not maintain “key person” insurance for any of our executives or employees.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March 2022, as part of our strategic prioritization initiatives to improve operating efficiency, we reduced our headcount by approximately 35%, and throughout 2022 and early 2023 we further reduced headcount, including the separations of our former Chief Executive Officer, Chief Medical Officer and Chief Development Officer. These reductions resulted in a year-over-year reduction in headcount of 63% at December 31, 2022 as compared to December 31, 2021. As of December 31, 2023, we had 52 employees. As a result of our headcount reductions, we have engaged various outside consultants, principally in the areas of clinical development and clinical operations. Although we believe these employee transitions are in the best interest of our company and our stockholders, these transitions may result in the loss of personnel with deep institutional or technical knowledge. Further, the transition could potentially disrupt our operations and relationships with employees, suppliers and partners and due to added costs, operational inefficiencies, decreased employee morale and productivity and increased turnover. In addition, our competitors may seek to use these transitions and the related potential disruptions to gain a competitive advantage over us. Furthermore, these changes increase our dependency on the other members of our leadership team and clinical and preclinical operations teams that remain with us, who are not contractually obligated to remain employed with us and may leave at any time. Any such departure could be particularly disruptive and, to the extent we experience additional turnover, competition for top talent is high such that it may take some time to find a candidate that meets our requirements. Our future operating results depend substantially upon the continued service of our key personnel and in significant part upon our ability to attract and retain qualified management personnel. If we are unable to mitigate these or other similar risks, our business, results of operation and financial condition may be adversely affected.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Recruiting and retaining qualified scientific and clinical personnel and, if we progress the development of our product pipeline toward scaling up for commercialization, manufacturing and sales and marketing personnel, will also be critical to our success. The loss of the services of our executive officers or other key employees could impede the achievement of our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Such competition may increase due to the recent move by companies to offer a remote or hybrid work environment. In addition, we rely on consultants and advisors, including scientific and clinical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 Further, we may experience employee turnover, consistent with high numbers of employee resignations across the broader American economy, that would have an adverse impact on our business strategy. New hires require significant training and, in most cases, take significant time before they achieve full productivity. New employees may not become as productive as we expect, and we may be unable to hire or retain sufficient numbers of qualified individuals. If we are unable to continue to attract and retain high quality personnel, motivate existing employees or maintain our corporate culture in a hybrid or remote work environment, particularly if we experience increased turnover, our ability to pursue our growth strategy will be limited.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employees, independent contractors, consultants, collaborators, principal investigators, CROs, suppliers and vendors may engage in misconduct or other improper activities, including non-compliance with regulatory standards and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the risk that our employees, independent contractors, consultants, collaborators, principal investigators, CROs, suppliers and vendors may engage in fraudulent conduct or other illegal activity. Misconduct by these parties could include intentional, reckless and/or negligent conduct that violates FDA or comparable foreign regulations, including those laws requiring the reporting of true, complete and accurate information to the FDA or comparable foreign regulatory authority, manufacturing standards, federal and state healthcare laws and regulations, and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We have adopted a code of business conduct and ethics,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imprisonment, exclusion from participation in government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Ownership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trading price of the shares of our common stock may be volatile, and purchasers of our common stock could incur substantial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stock price may be volatile. The stock market in general and the market for biopharmaceutical companies in particular have experienced extreme volatility that has often been unrelated to the operating performance of particular companies. Specifically, from September 24, 2020, the date our stock began trading on Nasdaq, through March 1, 2024 our stock price fluctuated from a low of $0.50 to a high of $33.35 per share. As a result of this volatility, investors may not be able to sell their common stock at or above the price paid for the shares. The market price for our common stock may be influenced by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reporting of unfavorable preclinical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commencement, enrollment or results of our clinical trials of TSHA-102 or any future clinical trials we may conduct, or changes in the development status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delay in our regulatory filings for TSHA-102 or any other product candidate we may develop, and any adverse development or perceived adverse development with respect to the applicable regulatory authority’s review of such filings, including without limitation the FDA’s issuance of a “refusal to file” letter or a request for additional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inability to obtain additional funding;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by us to comply with the terms of our Term Loan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results from, delays in or termination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regulatory decisions, including failure to receive regulatory approval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unanticipated serious safety concerns related to the use of TSHA-102 or any other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financial estimates by us or by any equity research analysts who might cover our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conditions or trends in our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market valuations of similar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reports of adverse events in other gene therapy products or clinical studies of such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 market price and volume fluctuations of comparable companies and, in particular, those that operate in the biopharmaceutical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publication of research reports about us or our industry or positive or negative recommendations or withdrawal of research coverage by securities analysts;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or our competitors of significant acquisitions, strategic partnerships or divestitures;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relationships with our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of investigations or regulatory scrutiny of our operations or lawsuits filed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investors’ general perception of our company and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recruitment or departure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overall performance of the equity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trading volume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or other developments relating to proprietary rights, including patents, litigation matters and our ability to obtain patent protection for our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lawsuits, including patent or stockholder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structure of healthcare payment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political and economic conditions;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events or factors, many of which are beyond our control.</w:t>
      </w:r>
    </w:p>
    <w:p>
      <w:pPr>
        <w:pStyle w:val="TextBody"/>
        <w:bidi w:val="0"/>
        <w:spacing w:before="0" w:after="20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stock market in general, and the Nasdaq Global Market and biotechnology companies in particular, have experienced extreme price and volume fluctuations that have often been unrelated or disproportionate to the operating performance of these companies, which has resulted in decreased stock prices for many companies notwithstanding the lack of a fundamental change in their underlying business models or prospects. Broad market and industry factors, including potentially worsening economic conditions, inflation and other adverse effects or developments, may negatively affect the market price of our common stock, regardless of our actual operating performance. The realization of any of the above risks or any of a broad range of other risks, including those described in this section, could have a significant and material adverse impact on the market price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in the past, stockholders have initiated class action lawsuits against pharmaceutical and biotechnology companies following periods of volatility in the market prices of these companies’ stock. Such litigation, if instituted against us, could cause us to incur substantial costs and divert management’s attention and resources from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equity research analysts do not publish research or reports, or publish unfavorable research or reports, about us, our business or our market, our stock price and trading volume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market for our common stock will be influenced by the research and reports that equity research analysts publish about us and our business.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Sales of a substantial number of shares of our common stock in the public market could cause the market price of our common stock to drop significantly, even if our business is doing well.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a substantial number of shares of our common stock in the public market could occur at any time, subject to the restrictions and limitations described below. If our stockholders sell, or the market perceives that our stockholders intend to sell, substantial amounts of our common stock in the public market, the market price of our common stock could decline significantly. All of our outstanding shares of common stock are available for sale in the public market, subject only to the restrictions of Rule 144 under the Securities Act in the case of our affiliates.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have filed registration statements on Form S-8 under the Securities Act of 1933, as amended, or the Securities Act, registering the issuance of shares of common stock subject to options or other equity awards issued or reserved for future issuance under our equity incentive plans. Shares registered under these registration statements on Form S-8 are available for sale in the public market subject to vesting arrangements and exercise of options and the restrictions of Rule 144 in the case of our affiliates.</w:t>
      </w:r>
    </w:p>
    <w:p>
      <w:pPr>
        <w:pStyle w:val="TextBody"/>
        <w:bidi w:val="0"/>
        <w:spacing w:before="360" w:after="283"/>
        <w:jc w:val="left"/>
        <w:rPr>
          <w:rFonts w:ascii="Times New Roman" w:hAnsi="Times New Roman"/>
          <w:sz w:val="20"/>
        </w:rPr>
      </w:pPr>
      <w:r>
        <w:rPr>
          <w:rFonts w:ascii="Times New Roman" w:hAnsi="Times New Roman"/>
          <w:b/>
          <w:i/>
          <w:color w:val="000000"/>
          <w:sz w:val="20"/>
        </w:rPr>
        <w:t>An active trading market for our common stock may not continue to be developed or sustained.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our initial public offering, there was no public market for our common stock. Although our common stock is listed on The Nasdaq Global Market, an active trading market for our shares may never develop or be sustained. If an active market for our common stock does not develop or is not sustained, it may be difficult for you to sell shares of our common stock at an attractive price or at all.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provisions in our certificate of incorporation and bylaws that may make it difficult for a third party to acquire, or attempt to acquire, control of our company, even if a change of control was considered favorable by you and other stockholders. For example, our board of directors has the authority to issue up to 10,000,000 shares of preferred stock. The board of directors can fix the price, rights, preferences, privileges, and restrictions of the preferred stock without any further vote or action by our stockholders. The issuance of shares of preferred stock may delay or prevent a change of control transaction. As a result, the market price of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common stock and the voting and other rights of our stockholders may be adversely affected. An issuance of shares of preferred stock may result in the loss of voting control to other stockholders.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Our charter documents also contain other provisions that could have an anti-takeover effect,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only one of our three classes of directors will be elected each year;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stockholders will not be entitled to remove directors other than by a 66 2/3% vote and only for cause;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stockholders will not be permitted to take actions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stockholders cannot call a special meeting of stockholders;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stockholders must give advance notice to nominate directors or submit proposals for consideration at stockholder meetings.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of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Concentration of ownership of our common stock among our principal stockholders may prevent new investors from influencing significant corporate decisions.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beneficial owners of 5% or more of our common stock and their respective affiliates beneficially own a majority of our common stock. As a result, these persons, acting together, would be able to significantly influence all matters requiring stockholder approval, including the election and removal of directors, any merger, consolidation, sale of all or substantially all of our assets, or other significant corporate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Some of these persons or entities may have interests different than yours. For example, because many of these stockholders purchased their shares at prices substantially below the current market price of our common stock and have held their shares for a longer period, they may be more interested in selling our company to an acquirer than other investors, or they may want us to pursue strategies that deviate from the interests of other stockholders.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an “emerging growth company” and a “smaller reporting company” and, as a result of the reduced disclosure and governance requirements applicable to emerging growth companies and smaller reporting companies, our common stock may be less attractive to investors.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an “emerging growth company” as defined in the Jumpstart Our Business Startups Act of 2012, or the JOBS Act, and we intend to take advantage of some of the exemptions from reporting requirements that are applicable to other public companies that are not emerging growth companies,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being required to comply with the auditor attestation requirements in the assessment of our internal control over financial reporting;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disclosure obligations regarding executive compensation in our periodic reports, proxy statements and registration statements;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being required to hold a nonbinding advisory vote on executive compensation and stockholder approval of any golden parachute payments not previously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December 31, 2025 or, if earlier, (i) the last day of the fiscal year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which we have total annual gross revenue of at least $1.235 billion, (ii) the date on which we are deemed to be a large accelerated filer, which means the market value of our common stock that is held by non-affiliates exceeds $700 million as of the prior June 30th, or (iii) the date on which we have issued more than $1.0 billion in non-convertible debt during the prior three-year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after we no longer qualify as an emerging growth company, we may, under certain circumstances, still qualify as a “smaller reporting company,” which would allow us to take advantage of many of the same exemptions from disclosure requirements, including reduced disclosure obligations regarding executive compensation in our periodic reports and proxy statements.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broad discretion in the use our 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broad discretion over the use of our cash and cash equivalents. You may not agree with our decisions, and our use of the proceeds may not yield any return on your investment. Our failure to apply our cash and cash equivalents effectively could compromise our ability to pursue our growth strategy and we might not be able to yield a significant return, if any, on our investment of these net proceeds. You will not have the opportunity to influence our decisions on how to use our cash and cash equivalents.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Because we do not anticipate paying any cash dividends on our common stock in the foreseeable future, capital appreciation, if any, will be your sole source of gains and you may never receive a return on your investment.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You should not rely on an investment in our common stock to provide dividend income. We have not declared or paid cash dividends on our common stock to date. We currently intend to retain our future earnings, if any, to fund the development and growth of our business. As a result, capital appreciation, if any, of our common stock will be your sole source of gain for the foreseeable future. Investors seeking cash dividends should not purchase our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certificate of incorporation provides that the Court of Chancery of the State of Delaware is the exclusive forum for the following types of actions or proceedings under Delaware statutory or common law: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derivative action or proceeding brought on our behalf;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asserting a breach of fiduciary duty;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asserting a claim against us arising under the Delaware General Corporation Law, our amended and restated certificate of incorporation, or our amended and restated bylaws;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claim or cause of action seeking to interpret, apply, enforce or determine the validity of our restated certificate or our amended and restated bylaws;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claim or cause of action as to which the Delaware General Corporation Law confers jurisdiction on the Court of Chancery of the state of Delaware;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asserting a claim against us that is governed by the internal-affairs doctrine.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be inapplicable or unenforceable in an action, we may incur further significant additional costs associated with resolving the dispute in other jurisdictions, all of which could seriously harm our business. </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General Risks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subject to stringent and evolving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impacts.</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 xml:space="preserve">In the ordinary course of business, we collect, receive, store, process, use, generate, transfer, disclose, make accessible, protect, secure, dispose of, transmit, and share (collectively, Process) personal data and sensitive information, and other information necessary to operate our business, for legal and marketing purposes, and for other business-related purposes, such as information we collect about patients and healthcare providers in connection with clinical trials in the U.S. and abroad, proprietary and confidential business data, trade secrets, and intellectual property.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Our data Processing activities subject us to numerous federal, state, local, and foreign laws, regulations, and guidance industry standards, external and internal data privacy and security policies, contractual requirements, and other obligations relating to data privacy and security. The number and scope of which is changing, subject to differing applications and interpretations, and which may be inconsistent among jurisdictions, or in conflict with other rules, laws or Data Protection Obligations (as defined below).</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In the United States, federal, state, and local governments have enacted numerous data privacy and security laws, including data breach notification laws, personal data privacy laws, and consumer protection laws. For example, the HIPAA, as amended by HITECH, imposes specific requirements relating to the privacy, security, and transmission of individually identifiable health information. In the past few years, numerous U.S. states—including California, Virginia, Colorado, Connecticut, and Utah—have enacted comprehensive data privacy and security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(CPRA) (collectively, CCPA), applies to personal data of consumers, business representatives, and employees who are California residents, and requires businesses to provide specific disclosure in privacy notices and honor requests of California residents certain rights. The CCPA allows for up to $7,500 per intentional violation and allows private litigants affected by certain data breaches to recover significant statutory damages. Although these states, like the CCPA, also exempt some data Processed in the context of clinical trials, these developments further complicate compliance efforts, and increase legal risk and compliance costs for us and the third parties upon whom we rely.</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Outside the United States, an increasing number of laws, regulations, and industry standards govern data privacy and security. Our operations may be subject to increased scrutiny or attention from foreign data privacy and security authorities. Our clinical trial programs and research collaborations outside the United States may implicate foreign data privacy and security laws, including in Canada, the UK and Europe. The European Union’s General Data Protection Regulation (EU GDPR), the United Kingdom’s General Data Protection Regulation (UK GDPR), and Canada’s Personal Information Protection and Electronic Documents Act (PIPEDA), and various related provincial laws, as well as Canada’s Anti-Spam Legislation (CASL), may apply to our operations. The EU GDPR, and the UK GDPR, impose strict requirements for Processing the personal data of individuals located, respectively, within the European Economic Area (EEA), and the United Kingdom (UK). Under the GDPR, government regulators may impose temporary or definitive bans on data Processing, as well as fines up to 20 million euros under EU GDPR, 17.5 million pounds sterling under UK GDPR or, in each case, 4% of the annual global revenue, whichever is greater. Further, the law allows for private litigation related to Processing of personal data brought by classes of data subjects or consumer protection groups authorized by law to represent their interests.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Our employees and personnel use generative artificial intelligence (AI) technologies to perform their work, and the disclosure and use of personal data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lawsuits. If we are unable to use generative AI, it could make our business less efficient and result in competitive disadvantages.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In the ordinary course of business, we may transfer personal data from Europe and other jurisdictions to the United States or other countries. Certain jurisdictions, including Europe and the UK, have enacted data localization laws and cross-border personal data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transfers laws. For example, absent appropriate safeguards or other circumstances, the EU GDPR and UK GDPR generally restricts the transfer of personal data to countries outside of the EEA and UK respectively, such as the United States. Other jurisdictions have enacted or are considering similar cross-border personal data transfer laws and local personal data residency laws, any of which could increase the cost and complexity of doing business. Although there are currently various mechanisms that may be used to transfer personal data from the EEA and UK to the United States in compliance with law, such as the EEA standard contractual clauses, the UK’s International Data Transfer Agreement/Addendum, and the EU-U.S. Data Privacy Framework and the UK extension thereto (which allows for transfers to relevant U.S.-based organizations who self-certify compliance and participate in the Framework), if we cannot implement a valid compliance mechanism for cross-border personal data transfers, or if the requirements for a legally-compliant transfer are too onerous, we may face adverse consequences, including interruption or degradation of our operations, increased exposure to regulatory actions, substantial fines, and injunctions against Processing or transferring personal data from Europe or elsewhere. Inability to import personal data to the United States may significantly and negatively impact our business operations, including by limiting our ability to conduct clinical trial activities in Europe and elsewhere; limiting our ability to collaborate with parties subject to European and other data protection laws or requiring us to increase our personal data Processing capabilities in Europe and/or elsewhere at significant expense.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EU GDPR’s cross-border data transfer limitations.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are also subject to the terms of our data privacy and security policies, representations, certifications, standards, publications and frameworks, and contractual obligations to third parties related to data privacy, security and the Processing of personal data (collectively, Data Protection Obligations), including without limitation, operating rules and standards imposed by industry organizations. Data privacy and security issues worldwide are, and are likely to remain, uncertain for the foreseeable future. We strive to comply with applicable data privacy and security laws and Data Protection Obligations to the extent possible, but we may at times fail to do so, or may be perceived to have failed to do so. Moreover, despite our efforts, we may not be successful in achieving compliance if our personnel, partners or vendors do not comply with applicable data privacy and security laws and Data Protection Obligations. 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If we or the third parties on which we rely fail, or are perceived to have failed, to address or comply with applicable data privacy and security laws and Data Protection Obligations, such failure or perceived failure could: increase our compliance and operational costs; expose us to regulatory scrutiny, actions, fines and penalties; result in reputational harm; interrupt or stop clinical trials; result in litigation and liability; result in an inability to Process personal data or to operate in certain jurisdictions; cause a material adverse impact to business operations or financial results; result in imprisonment of company officials; and otherwise result in other material harm to our business.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With applicable data privacy and security laws, and Data Protection Obligations imposing complex and burdensome obligations, and with substantial uncertainty over the interpretation and application of these requirements, we have faced and may face additional challenges in addressing and complying with them, and making necessary changes to our privacy policies and practices, and may incur material costs and expenses in an effort to do so, any of which could materially adversely affect our business operations and financial results, and may limit the adoption and use of, and reduce the overall demand for, our products, which could have an adverse impact on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or our vendors’, information technology systems or data is or were compromised, we could experience adverse consequences resulting from such compromise, including, but not limited to regulatory investigations or action; litigation; fines and penalties; interruptions to our operations such as our clinical trials; claims that we breached our data privacy and security laws; harm to our reputation; a loss of customers or sales; and other adverse consequences.</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In the ordinary course of our business, we, and the third parties upon which we rely, Process proprietary, confidential and sensitive information, including personal data (including health-related data), intellectual property, trade secrets, and proprietary business information owned or controlled by ourselves or other parties.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We rely on third-party service providers and technologies to help us operate critical business systems and to Process sensitive information in a variety of context, including, without limitation, cloud-based infrastructure, data center facilities, encryption and authentication technology, employee email, and other functions. We also share sensitive information with our partners or other third parties in conjunction with our business. Our ability to monitor these third parties’ information security practices is limited, and these third parties may not have adequate information security measures in place. If we, our service providers, partners or other relevant third parties have experienced, or in the future experience, any security incident(s) that result in any data loss, deletion or destruction, unauthorized access to, loss of, unauthorized acquisition or disclosure of, or inadvertent exposure or disclosure of, personal data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sensitive information, or compromise related to the security, confidentiality, integrity or availability of our information technology, software, services, communications or data (or those of our service providers, partners or other relevant third parties) (collectively, Security Breach), it may have a material adverse effect on our business, including without limitation, regulatory investigations or enforcement actions, litigation, indemnity obligations, negative publicity and financial loss, additional reporting requirements and/or oversight and restrictions on Processing sensitive information (including personal data). While we may be entitled to damages if our third-party service providers fail to satisfy their data privacy or security-related obligations to us, any award may be insufficient to cover our damages, or we may be unable to recover such award. For example, the loss of clinical trial data from completed or ongoing or planned clinical trials could result in delays in our regulatory approval efforts and could require us to incur substantial cost to recover or reproduce such data. Security Breaches and attendant consequences may prevent or cause customers to stop using our products, deter new customers for using our products, and otherwise negatively impact our ability to grow and operate our business.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Cyberattacks, malicious internet-based activity and online and offline fraud and other similar activities are prevalent and continue to increase and threaten the confidentiality, integrity, and availability of our sensitive information and information technology systems, and those of the third parties upon which we rely. These threats are prevalent, continue to rise, are increasingly difficult to detect, and come from a variety of sources come from a variety of sources, including traditional computer “hackers,” threat actors, personnel misconduct or error (employee theft or misuse), sophisticated nation-state and nation-state supported actors, “hacktivists,” organized criminal threat actors, and personnel (such as through theft or misuse). We and the third-parties we rely are subject to a variety of evolving threats, including but not limited to social 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 attacks, software bugs, server malfunction, software or hardware failures, loss of data or other information technology assets, adware, telecommunications failures, earthquakes, fire, flood, attacks enhanced or facilitated by AI, and other similar threats.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Ransomware attacks, including those perpetrated by organized criminal threat actors, nation-states, and nation-state 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payments.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Similarly, supply-chain attacks have increased in frequency and severity, and we cannot guarantee that third parties and infrastructure in our supply chain have not been compromised or that they do not contain exploitable defects or bugs that could result in a breach of or disruption to our information technology systems or the third-party information technology systems that support us and our services. Some actors now engage and are expected to continue to engage in cyber-attacks, including without limitation nation-state actors for geopolitical reasons and in conjunction with military conflicts and defense activities. During times of war and other major conflicts, we, the third-party service providers upon which we rely, and our customers may be vulnerable to a heightened risk of these attacks, including retaliatory cyber-attacks, that could materially disrupt our systems and operations, supply chain, and ability to produce, sell and distribute our goods and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COVID-19 pandemic and our remote workforce poses increased risks to our information technology systems and data, as more of our employees work from home, utilizing network connections outside our premises.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 </w:t>
        <w:b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may be required to expend significant resources, fundamentally change our business activities (including our clinical trial activities) and practices, or modify our operations, including our clinical trial activities or information technology, in an effort to protect against Security Breaches and to mitigate, detect, and remediate actual and potential vulnerabilities. Applicable data privacy and security laws and Data Protection Obligations may require us to implement specific security measures or use industry-standard or reasonable measures to protect against Security Breaches. While we have implemented security measures designed to protect against Security Breaches, there can be no assurance that our security measures or those of our service providers, partners and other third parties will be effective in protecting against all Security Breaches and material adverse impacts that may arise from such breaches. The recovery systems, security protocols, network protection mechanisms and other security measures that we (and our third parties) have integrated into our platform, systems, networks and physical facilities, which are designed to protect against, detect and minimize Security Breaches, may not be adequate to prevent or detect service interruption, system failure or data loss.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We have not always been able in the past and may be unable in the future to detect, anticipate, measure or prevent threats or techniques used to detect or exploit vulnerabilities in our (or our third parties’) information technology, services, communications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software, or cause Security Breaches, because such threats and techniques change frequently, are often sophisticated in nature, and may not be detected until after an incident has occurred. In addition, security researchers and other individuals have in the past and will continue in the future to actively search for and exploit actual and potential vulnerabilities in our (or our third parties’) information technology and communications. While we take steps designed to detect and remediate vulnerabilities, we may not be able to detect and remediate all vulnerabilities in a timely basis. Therefore, such vulnerabilities could be exploited but may not be detected until after a Security Breach has occurred. These vulnerabilities pose material risks to our business. We cannot be certain that we will be able to address any such vulnerabilities, in whole or part, and there may be delays in developing and deploying patches and other remedial measures to adequately address vulnerabilities. Any of the previously identified or similar threats could cause a Security Breach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A Security Breach or other interruption could disrupt our ability (and that of third parties upon whom we rely) to provide our services.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Applicable data privacy and security laws and Data Protection Obligations may require us to notify relevant stakeholders of Security Breaches, including affected individuals, regulators and credit reporting agencies. Such disclosures are costly, and the disclosures or the failure to comply with such requirements, could lead to material adverse impacts, including without limitation, negative publicity, a loss of confidence in our security measures or breach of contract claims. There can be no assurance that our contracts contain a limitation of liability or that the limitations of liability in our contracts would be enforceable or adequate or would otherwise protect us from liabilities or damages if we fail to comply with applicable data privacy and security laws or Data Protection Obligations related to information security or Security Breaches.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We may not have adequate insurance coverage in the event of a Security Breach. We cannot assure that our existing coverage will be adequate or otherwise protect us from or adequately mitigate liabilities or damages with respect to claims, costs, expenses, litigation, fines, penalties, business loss, data loss, regulatory actions or material adverse impacts arising out of our data privacy and security practices, Processing or Security Breaches we may experience, or that such coverage will continue to be available on acceptable terms or at all.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In addition to experiencing a Security Breach, third parties may gather, collect, or infer sensitive information about us from public sources, data brokers, or other means that reveals competitively sensitive details about our organization and could be used to undermine our competitive advantage or market position. Additionally, sensitive information could be leaked, disclosed, or revealed as a result of or in connection with our employees’, personnel’s, or vendors’ use of generative AI technologies.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If we fail, or are perceived to have failed, to address or comply with these data privacy and security laws and Data Protection Obligations, we could face significant consequences. These consequences may include, but are not limited to, government enforcement actions (e.g., investigations, fines, penalties, audits, inspections and similar); litigation (including class-related claims); additional reporting requirements and/or oversight; bans on Processing personal data; and orders to destroy or not use personal data.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activities will be subject to the Foreign Corrupt Practices Act, or FCPA, and similar anti-bribery and anti-corruption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we expand our business activities outside of the United States, including our clinical trial efforts, we will be subject to the FCPA and similar anti-bribery or anti-corruption laws, regulations or rules of other countries in which we operate. The FCPA generally prohibits offering, promising, giving, or authorizing others to give anything of value, either directly or indirectly, to a non-United States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non-United States governments. Additionally, in many other countries, the healthcare providers who prescribe pharmaceuticals are employed by their government, and the purchasers of pharmaceuticals are government entities; therefore, our dealings with these prescribers and purchasers will be subject to regulation under the FCPA. We may engage third parties to sell our products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There is no certainty that all of our employees, agents, suppliers, manufacturers, contractors, or collaborators, or those of our affiliates, will comply with all applicable laws and regulations, particularly given the high level of complexity of these laws. We can be held liable for the corrupt or other illegal activities of our employees, agents, contractors, and other collaborators, even if we do not explicitly authorize or have actual knowledge of such activities. Violations of these laws and regulations could result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fines, criminal sanctions against us, our officers, or our employees, the closing down of facilities, including those of our suppliers and manufacturers,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subject to governmental export and import controls that could impair our ability to compete in international markets due to licensing requirements and subject us to liability if we are not in compliance with applicable laws. Compliance with these legal requirements could limit our ability to compete in foreign markets and subject us to liability if we violate them.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export control and import laws and regulations, including the U.S. Export Administration Regulations, U.S. Customs regulations and various economic and trade sanctions regulations administered by the U.S. Treasury Department’s Office of Foreign Assets Controls. Exports of our product candidates outside of the U.S. must be made in compliance with these laws and regulations. If we fail to comply with these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changes in our product candidates or changes in applicable export or import laws and regulations may create delays in the introduction, provision or sale of our product candidates in international markets, prevent customers from using our product candidates or, in some cases, prevent the export or import of our product candidates to certain countries, governments or persons altogether. Any limitation on our ability to export, provide or sell our product candidates could adversely affect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maintain proper and effective internal controls, our ability to produce accurate financial statements on a timely basis could be impaired.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the reporting requirements of the Securities Exchange Act of 1934, the Sarbanes-Oxley Act of 2002, or the Sarbanes-Oxley Act, and the rules and regulations of The Nasdaq Stock Market. The Sarbanes-Oxley Act requires, among other things, that we maintain effective disclosure controls and procedures and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must perform system and process evaluation and testing of our internal control over financial reporting to allow management to report on the effectiveness of our internal control over financial reporting in this report and future annual reports on Form 10-K, as required by Section 404 of the Sarbanes-Oxley Act. This requires that we incur substantial additional professional fees and internal costs to expand our accounting and finance functions and that we expend significant management efforts. Prior to the year ended December 31, 2021, we have never been required to test our internal controls within a specified period, and, as a result, we may experience difficulty in meeting these reporting requirements in a timely manner.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identify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Nasdaq Stock Market, the SEC or other regulatory authorities.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effective tax rate may fluctuate, and we may incur obligations in tax jurisdictions in excess of accrued amounts.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taxation in more than one tax jurisdiction. As a result, our effective tax rate is derived from a combination of applicable tax rates in the various places that we operate. In preparing our financial statements, we estimate the amount of tax that will become payable in each such jurisdiction. Nevertheless, our effective tax rate may be different than experienced in the past due to numerous factors, including passage of newly enacted tax legislation, changes in the mix of our profitability from jurisdiction to jurisdiction, the results of examinations and audits of our tax filings, our inability to secure or sustain acceptable agreements with tax authorities, changes in accounting for income taxes and changes in existing tax laws. Any of these factors could cause us to experience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effective tax rate significantly different from previous periods or our current expectations and may result in tax obligations in excess of amounts accrued in our financial statements.</w:t>
      </w:r>
    </w:p>
    <w:p>
      <w:pPr>
        <w:pStyle w:val="TextBody"/>
        <w:bidi w:val="0"/>
        <w:spacing w:before="120" w:after="283"/>
        <w:jc w:val="left"/>
        <w:rPr/>
      </w:pPr>
      <w:r>
        <w:rPr/>
        <w:t> </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We might not be able to utilize a significant portion of our net operating loss carryforwards.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have generated and expect to continue to generate significant federal and state net operating loss, or NOL, carryforwards in the future. As of December 31, 2023, there were federal and state NOLs of $222.1 million and $11.9 million respectively. A portion of these NOL carryforwards could expire unused and be unavailable to offset future income tax liabilities. Under the Tax Cuts and Jobs, or the Tax Act, as modified by the Coronavirus Aid, Relief, and Economic Security Act, or CARES Act, federal NOLs incurred in taxable years beginning after December 31, 2017 may be carried forward indefinitely, but the deductibility of such federal NOLs is limited. It is uncertain how various states will respond to the Tax Act and CARES Act. In addition, under Section 382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During 2023, we performed a detailed analysis of historical and current Section 382 ownership shifts that may limit the utilization of NOL carryforwards. None of our gross Federal NOLs are permanently limited. However, as a result of the ownership shift that occurred in August 2023, $27.1 million of our research credits will expire and $217.9 million of our gross Federal NOLs are subject to an annual utilization limitation of $3.1 million. However, sales of our common stock by our existing stockholders, or additional sales of our common stock by us, could trigger additional limitations under Section 382 which could have a material adverse effect on our results of operations in future years.</w:t>
      </w:r>
    </w:p>
    <w:p>
      <w:pPr>
        <w:pStyle w:val="TextBody"/>
        <w:bidi w:val="0"/>
        <w:jc w:val="left"/>
        <w:rPr>
          <w:rFonts w:ascii="Times New Roman" w:hAnsi="Times New Roman"/>
          <w:b/>
          <w:i/>
          <w:color w:val="000000"/>
          <w:sz w:val="20"/>
        </w:rPr>
      </w:pPr>
      <w:r>
        <w:rPr>
          <w:rFonts w:ascii="Times New Roman" w:hAnsi="Times New Roman"/>
          <w:b/>
          <w:i/>
          <w:color w:val="000000"/>
          <w:sz w:val="20"/>
        </w:rPr>
        <w:t>New tax laws or regulations, changes to existing tax laws or regulations or changes in their application to us or our customers may have a material adverse effect on our business, cash flows,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tax laws, statutes, rules, regulations, directives, decrees or ordinances could be enacted at any time. Further, existing tax laws, statutes, rules, regulations, directives, decrees or ordinances could be interpreted, changed or modified. Any such enactment, interpretation, change or modification could adversely affect us, possibly with retroactive effect. For example, the Inflation Reduction Act imposes, among other rules, a 15% minimum tax on the book income of certain large corporations and a 1% excise tax on certain corporate stock repurchases. In addition, for certain research and experimental, or R&amp;E, expenses incurred in tax years beginning after December 31, 2021, the Tax Act requires the capitalization and amortization of such expenses over five years if incurred in the United States and fifteen years if incurred outside the United States, rather than deducting such expenses currently. Although there have been legislative proposals to repeal or defer the capitalization requirement, there can be no assurance that such requirement will be repealed, deferred or otherwise modified. Changes in corporate tax rates, the realization of net deferred tax assets relating to our operations, the taxation of foreign earnings and the deductibility of expenses under the Tax Act, as amended by the CARES Act or any future tax reform legislation, could have a material impact on the value of our deferred tax assets, result in significant one-time charges and increase our future U.S. tax expense.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incurred and will continue to incur increased costs and demands upon management as a result of being a public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public company listed in the United States, we have incurred and will continue to incur significant additional legal, accounting and other costs including the cost of director and officer liability insurance. These additional costs could negatively affect our financial results. In addition, changing laws, regulations and standards relating to corporate governance and public disclosure, including regulations implemented by the SEC and the Nasdaq Stock Market, may increase legal and financial compliance costs and make some activities more time-consuming.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to comply with new laws, regulations and standards, we fail to comply, regulatory authorities may initiate legal proceedings against us and our business may be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Failure to comply with these rules might also make it more difficult for us to obtain some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5" w:name="item_1b_unresolved_staff_comments_1"/>
      <w:bookmarkEnd w:id="5"/>
      <w:r>
        <w:rPr>
          <w:rFonts w:ascii="Times New Roman" w:hAnsi="Times New Roman"/>
          <w:b/>
          <w:color w:val="000000"/>
          <w:sz w:val="20"/>
        </w:rPr>
        <w:t>Item 1B. Unresolved Staff Comments.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6" w:name="item_1c_cybersecurity"/>
      <w:bookmarkEnd w:id="6"/>
      <w:r>
        <w:rPr>
          <w:rFonts w:ascii="Times New Roman" w:hAnsi="Times New Roman"/>
          <w:b/>
          <w:color w:val="000000"/>
          <w:sz w:val="20"/>
        </w:rPr>
        <w:t>Item 1C. Cybersecurity.</w:t>
      </w:r>
    </w:p>
    <w:p>
      <w:pPr>
        <w:pStyle w:val="TextBody"/>
        <w:bidi w:val="0"/>
        <w:spacing w:before="120" w:after="283"/>
        <w:jc w:val="left"/>
        <w:rPr>
          <w:rFonts w:ascii="Times New Roman" w:hAnsi="Times New Roman"/>
          <w:sz w:val="20"/>
        </w:rPr>
      </w:pPr>
      <w:r>
        <w:rPr>
          <w:rFonts w:ascii="Times New Roman" w:hAnsi="Times New Roman"/>
          <w:b/>
          <w:color w:val="000000"/>
          <w:sz w:val="20"/>
        </w:rPr>
        <w:t>Risk management and strategy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clinical trial data, or Information Systems and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information technology team, led by our Vice President of Engineering and Operations, helps identify, assess, and manage our cybersecurity threats and risks. Our information technology team assesses risks from cybersecurity threats by monitoring and evaluating our threat environment using various methods including, for example analyzing threat reports, conducting audits, and using intelligence feeds.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Depending on the environment and systems, we implement and maintain various technical, physical, and organizational measures, processes, standards, and policies designed to manage and mitigate material risks from cybersecurity threats to our Information Systems and Data, including, for example: incident detection and response, employee training, access controls, cyber insurance, and systems monitoring.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assessment and management of material risks from cybersecurity threats are integrated into our overall risk management processes. For example, our senior management along with our information technology team evaluates material risks from cybersecurity threats against our overall business objectives and reports to the Audit Committee of the board of directors, which evaluates our overall enterprise risk.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use third-party service providers to assist us from time to time to identify, assess, and manage material risks from cybersecurity threats, including for example cybersecurity software providers, managed cybersecurity service providers, and dark web monitoring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use third-party service providers to perform a variety of functions throughout our business, such as contract research organizations, contract manufacturing organizations, and hosting companies. We have a vendor management process to manage cybersecurity risks associated with our use of these providers which includes risk assessments and audits.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a description of the risks from cybersecurity threats that may materially affect us and how they may do so, see our risk factors under Part 1. Item 1A. Risk Factors in this Annual Report on Form 10-K, including “If our, or our vendors’, information technology systems or data is or were compromised, we could experience adverse consequences resulting from such compromise, including, but not limited to regulatory investigations or action; litigation; fines and penalties; interruptions to our operations such as our clinical trials; claims that we breached our data privacy and security laws; harm to our reputation; a loss of customers or sales; and other adverse consequences.” </w:t>
      </w:r>
    </w:p>
    <w:p>
      <w:pPr>
        <w:pStyle w:val="TextBody"/>
        <w:bidi w:val="0"/>
        <w:spacing w:before="240" w:after="283"/>
        <w:jc w:val="left"/>
        <w:rPr>
          <w:rFonts w:ascii="Times New Roman" w:hAnsi="Times New Roman"/>
          <w:sz w:val="20"/>
        </w:rPr>
      </w:pPr>
      <w:r>
        <w:rPr>
          <w:rFonts w:ascii="Times New Roman" w:hAnsi="Times New Roman"/>
          <w:b/>
          <w:color w:val="000000"/>
          <w:sz w:val="20"/>
        </w:rPr>
        <w:t>Governance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addresses our cybersecurity risk management as part of its general oversight function. The board of directors’ Audit Committee is responsible for overseeing our cybersecurity risk management processes, including oversight of mitigation of risks from cybersecurity threats.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cybersecurity risk assessment and management processes are implemented by certain Company management, including our Compliance Officer and Vice President of Engineering and Operations, both of whom have previously served in management roles at other public biotechnology companies.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Company management is responsible for hiring appropriate personnel, helping to integrate cybersecurity risk considerations into our overall risk management strategy, and communicating key priorities to relevant personnel. Company management is responsible for approving budgets, helping prepare for cybersecurity incidents, approving cybersecurity processes, and reviewing security assessments and other security-related reports.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cybersecurity incident response plan is designed to escalate certain cybersecurity incidents to members of our legal team depending on the circumstances. Our information technology team works with our incident response team to help the Company mitigate and remediate cybersecurity incidents of which they are notified. In addition, the Company’s incident response plan includes reporting to the Audit Committee of the board of directors for certain cybersecurity incidents.</w:t>
      </w:r>
    </w:p>
    <w:p>
      <w:pPr>
        <w:pStyle w:val="TextBody"/>
        <w:bidi w:val="0"/>
        <w:spacing w:before="360" w:after="283"/>
        <w:jc w:val="left"/>
        <w:rPr>
          <w:rFonts w:ascii="Times New Roman" w:hAnsi="Times New Roman"/>
          <w:b/>
          <w:color w:val="000000"/>
          <w:sz w:val="20"/>
        </w:rPr>
      </w:pPr>
      <w:bookmarkStart w:id="7" w:name="item_2_properties_1"/>
      <w:bookmarkEnd w:id="7"/>
      <w:r>
        <w:rPr>
          <w:rFonts w:ascii="Times New Roman" w:hAnsi="Times New Roman"/>
          <w:b/>
          <w:color w:val="000000"/>
          <w:sz w:val="20"/>
        </w:rPr>
        <w:t>Item 2. Properties.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2021, we entered into a lease agreement for 15,000 square feet of administrative space in Dallas, Texas, pursuant to a lease agreement that expires approximately ten years after the lease commenced in May 2021. This lease was amended in December 2021 to lease an additional 18,000 square feet of administrative space in Dallas, TX, pursuant to a lease amendment that expires approximately ten years after the lease commencement date. In December 2020, we entered into a lease agreement for approximately 187,500 square feet of a manufacturing facility in Durham, North Carolina, pursuant to a lease agreement that expires in September 2036. We have two options to extend the term of that lease, each for a period of an additional five years. In August 2021 we entered into a lease agreement for 9,400 square feet of laboratory space in Research Triangle Park, North Carolina, pursuant to a lease agreement that expires approximately four years after the lease commenced in September 2021. This lease was amended in December 2021 to rent approximately 3,600 square feet of additional laboratory space.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our facilities are suitable and adequate to meet our needs. We intend to add new facilities or expand existing facilities as we add employees, and we believe that suitable additional or substitute space will be available as needed to accommodate any such expansion of our operations.</w:t>
      </w:r>
    </w:p>
    <w:p>
      <w:pPr>
        <w:pStyle w:val="TextBody"/>
        <w:bidi w:val="0"/>
        <w:spacing w:before="360" w:after="283"/>
        <w:jc w:val="left"/>
        <w:rPr>
          <w:rFonts w:ascii="Times New Roman" w:hAnsi="Times New Roman"/>
          <w:sz w:val="20"/>
        </w:rPr>
      </w:pPr>
      <w:bookmarkStart w:id="8" w:name="item_3_legal_proceedings_1"/>
      <w:bookmarkEnd w:id="8"/>
      <w:r>
        <w:rPr>
          <w:rFonts w:ascii="Times New Roman" w:hAnsi="Times New Roman"/>
          <w:b/>
          <w:color w:val="000000"/>
          <w:sz w:val="20"/>
        </w:rPr>
        <w:t>Item 3.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2024, the Company was named a nominal defendant in a putative stockholder derivative action filed by a stockholder of the Company in the Court of Chancery of the State of Delaware. The complaint asserts claims against certain of the Company’s current and former directors for breach of fiduciary duty and unjust enrichment relating to the Company’s August 2023 Private Placement. The complaint seeks an unspecified award of damages in the Company’s favor, plus pre-judgment and post-judgement interest, and an award to the plaintiff for the costs and disbursement of the action, including fees for his attorneys, experts, and accountants. The Company has not recorded a liability related to this lawsuit because, at this time, the Company is unable to reasonably estimate possible losses or gains or determine whether an unfavorable outcome is either probable or remote.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be involved in additional legal or regulatory proceedings. Regardless of outcome, litigation can have an adverse impact on us because of defense and settlement costs, diversion of management resources and other factors. </w:t>
      </w:r>
    </w:p>
    <w:p>
      <w:pPr>
        <w:pStyle w:val="TextBody"/>
        <w:bidi w:val="0"/>
        <w:spacing w:before="360" w:after="283"/>
        <w:jc w:val="left"/>
        <w:rPr>
          <w:rFonts w:ascii="Times New Roman" w:hAnsi="Times New Roman"/>
          <w:b/>
          <w:color w:val="000000"/>
          <w:sz w:val="20"/>
        </w:rPr>
      </w:pPr>
      <w:bookmarkStart w:id="9" w:name="item_4_mine_safety_disclosures_1"/>
      <w:bookmarkEnd w:id="9"/>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0" w:name="part_ii"/>
      <w:bookmarkEnd w:id="10"/>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p>
    <w:p>
      <w:pPr>
        <w:pStyle w:val="TextBody"/>
        <w:bidi w:val="0"/>
        <w:spacing w:before="240" w:after="283"/>
        <w:jc w:val="left"/>
        <w:rPr>
          <w:rFonts w:ascii="Times New Roman" w:hAnsi="Times New Roman"/>
          <w:b/>
          <w:color w:val="000000"/>
          <w:sz w:val="20"/>
        </w:rPr>
      </w:pPr>
      <w:bookmarkStart w:id="11" w:name="item_5_market_for_registrants_common_equ"/>
      <w:bookmarkEnd w:id="11"/>
      <w:r>
        <w:rPr>
          <w:rFonts w:ascii="Times New Roman" w:hAnsi="Times New Roman"/>
          <w:b/>
          <w:color w:val="000000"/>
          <w:sz w:val="20"/>
        </w:rPr>
        <w:t>Item 5. Market for Registrant’s Common Equity, Related Stockholder Matters and Issuer Purchases of Equity Securities.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Market Information for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is listed on The Nasdaq Global Market under the symbol “TSHA.”</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Holders of Record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19, 2024, we had 40 holders of record of our common stock, which excludes stockholders whose shares were held in nominee or street name by brokers. The actual number of common stockholders is greater than the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paid cash dividends on any of our capital stock and currently intend to retain our future earnings, if any, to fund the development and growth of our business.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2" w:name="item_6"/>
      <w:bookmarkEnd w:id="12"/>
      <w:r>
        <w:rPr>
          <w:rFonts w:ascii="Times New Roman" w:hAnsi="Times New Roman"/>
          <w:b/>
          <w:color w:val="000000"/>
          <w:sz w:val="20"/>
        </w:rPr>
        <w:t>Item 6. [Reserved].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3" w:name="item_7_managements_discussion_analysis_f"/>
      <w:bookmarkEnd w:id="13"/>
      <w:r>
        <w:rPr>
          <w:rFonts w:ascii="Times New Roman" w:hAnsi="Times New Roman"/>
          <w:b/>
          <w:color w:val="000000"/>
          <w:sz w:val="20"/>
        </w:rPr>
        <w:t>Item 7. Management’s Discussion and Analysis of Financial Condition and Results of Operations.</w:t>
      </w:r>
      <w:r>
        <w:rPr>
          <w:rFonts w:ascii="Times New Roman" w:hAnsi="Times New Roman"/>
          <w:caps/>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The following discussion and analysis of our financial condition and results of operations should be read in conjunction with our consolidated financial statements and related notes.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biotechnology company focused on advancing AAV-based gene therapies for the treatment of severe monogenic diseases of the central nervous system, or CNS. Our lead clinical program TSHA-102 is in development for the treatment of Rett syndrome, a rare neurodevelopmental disorder with no approved disease-modifying therapies that address the genetic root cause of the disease. With a singular focus on developing transformative medicines, we aim to address severe unmet medical needs and dramatically improve the lives of patients and their caregivers. Our management team has proven experience in gene therapy development and commercialization. We leverage this experience, our manufacturing process and a clinically and commercially proven AAV9 capsid in an effort to rapidly translate treatments from bench to bedside. In March 2022, we announced strategic pipeline prioritization initiatives focused on giant axonal neuropathy, or GAN, and Rett syndrome, and we have subsequently further paused substantially all other research and development activities to increase operational efficiency. Further, in September 2023, we announced that subsequent to the receipt of Type C meeting feedback from the United States Food and Drug Administration, or FDA, regarding a registrational path for TSHA-120, we were discontinuing the development of our TSHA-120 program in evaluation for the treatment of GAN. We initiated the transfer of the FDA Investigational New Drug, or IND, application and investigational clinical trial material for TSHA-120 in GAN to clinical trial collaborator National Institute of Neurological Disorders and Stroke (NINDS), creating an opportunity for continued clinical evaluation of TSHA-120 in GAN. Additionally, we initiated discussions with the originating advocacy organization regarding TSHA-120 in an effort to transfer rights back to the advocacy organization to move the program forward.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evaluating TSHA-102 in the REVEAL Phase 1/2 clinical trial, which is an open-label, dose escalation, randomized, multicenter study that is examining the safety and efficacy of TSHA-102 in adult female patients with Rett syndrome. We dosed the first two adult patients with Rett syndrome in 2023. There have been no treatment-emergent serious adverse events as of the 35-week assessment post-treatment for the first Rett adult patient treated. In addition, there have been no treatment-emergent serious adverse events as of the 19-week assessment post-treatment for the second Rett adult patient treated. The independent data monitoring committee, or IDMC, meeting to review the clinical data from the first two patients took place in November 2023 at which time the IDMC provided clearance to dose the third patient. We submitted a clinical trial application, or CTA, to the United Kingdom’s Medicines and Healthcare Products Regulatory Agency, or MHRA, for pediatric patients with Rett syndrome and submitted an IND application for pediatric patients with Rett syndrome to the FDA for TSHA-102 early in the third quarter of 2023. In August 2023, we received clearance from the FDA on our IND for TSHA-102 in pediatric patients with Rett syndrome and dosed the first Rett syndrome pediatric patient in December 2023. The FDA has granted Fast Track Designation to TSHA-102 for Rett syndrome. We also received CTA clearance from MHRA in early 2024. In February 2024, we received Innovative Licensing and Access Pathway (ILAP) designation for TSHA-102 from U.K. MHRA. The ILAP aims to facilitate patient access to novel treatments by accelerating time to market through opportunities for enhanced engagements with U.K. regulatory and other stakeholders.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 limited operating history. Since our inception, our operations have focused on organizing and staffing our company, business planning, raising capital and entering into collaboration agreements for conducting preclinical and clinical development activities for our product candidates. Both of our lead product candidates are still in the clinical stage. We do not have any product candidates approved for sale and have not generated any revenue from product sales. Through December 31, 2023, we have funded our operations primarily through: (i) the sale of equity, raising an aggregate of $589.0 million of gross proceeds from our initial public offering, or the IPO, sales of common stock pursuant to our Sales Agreement (as defined below), our October 2022 follow-on offering and our 2023 private placements; (ii) pre-IPO private placements of our convertible preferred stock; (iii) our Term Loan Agreement and subsequently the Trinity Term Loan Agreement (each as defined below); and (iv) the Astellas Transactions (as defined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August 12, 2021, or the Closing Date, we entered into the Term Loan Agreement. We drew $30.0 million in term loans on the Closing Date and drew an additional $10.0 million term loan on December 29, 2021. On November 13, 2023, we entered into the Trinity Term Loan Agreement. The proceeds of the Trinity Term Loans (as defined below) were used to repay our obligations under the Term Loan Agreement. The Term Loan Agreement was terminated concurrently with entry into the Trinity Term Loan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 our inception, we have incurred significant operating losses. Our net losses were $111.6 million for the year ended December 31, 2023 and $166.0 million for the year ended December 31, 2022. As of December 31, 2023, we had an accumulated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deficit of $513.0 million. We expect to continue to incur significant expenses and operating losses for the foreseeable future. We anticipate that our expenses will increase significantly in connection with our ongoing activities,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advance the clinical development of our product candidates and, if we determine to do so in the future, reprioritize the advancement of our preclinical and discovery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 our ongoing clinical trials of TSHA-102 and any other current and future product candidates that we advance;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regulatory approval for any product candidates that successfully complete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to develop our gene therapy product candidate pipeline;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scale up our clinical and regulatory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work with CMOs for the manufacture current Good Manufacturing Practice, or cGMP material for clinical trials or potential commercial sales;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 commercialization infrastructure and scale up internal and external manufacturing and distribution capabilities to commercialize any product candidates for which we may obtain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adapt our regulatory compliance efforts to incorporate requirements applicable to marketed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 expand and protect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hire additional clinical, manufacturing quality control, regulatory, manufacturing and scientific and administrative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 operational, financial and management information systems and personnel, including personnel to support our product development and planned future commercialization efforts;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incur additional legal, accounting and other expenses in operating as a public company.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License Agreements</w:t>
      </w:r>
    </w:p>
    <w:p>
      <w:pPr>
        <w:pStyle w:val="TextBody"/>
        <w:bidi w:val="0"/>
        <w:spacing w:before="120" w:after="283"/>
        <w:jc w:val="left"/>
        <w:rPr>
          <w:rFonts w:ascii="Times New Roman" w:hAnsi="Times New Roman"/>
          <w:sz w:val="20"/>
        </w:rPr>
      </w:pPr>
      <w:r>
        <w:rPr>
          <w:rFonts w:ascii="Times New Roman" w:hAnsi="Times New Roman"/>
          <w:b/>
          <w:i/>
          <w:color w:val="000000"/>
          <w:sz w:val="20"/>
        </w:rPr>
        <w:t>Research, Collaboration and License Agreement with The University of Texas Southwestern Medical Center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2019, we entered into the UT Southwestern Agreement with The Board of Regents of the University of Texas System on behalf of UT Southwestern, as amended in April 2020.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UT Southwestern Agreement, we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We are required to use commercially reasonable efforts to develop, obtain regulatory approval for, and commercialize at least one licensed product. Additionally, we obtained a right of first refusal to negotiate for an exclusive license under certain additional patent rights and know-how of UT Southwestern.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UT Southwestern Agreement, we issued to UT Southwestern 2,179,000 shares of our common stock. We do not have any future milestone or royalty obligations to UT Southwestern under the UT Southwestern Agreement, other than costs related to the maintenance of patents.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License Agreement with Abeona (CLN1 Disease)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2020, we entered into the Abeona CLN1 Agreement with Abeona. In connection with the Abeona CLN1 Agreement, we obtained an exclusive, worldwide, royalty-bearing license, with the right to grant sublicenses under certain patents, know-how and materials originally developed by the University of North Carolina at Chapel Hill and Abeona to research, develop, manufacture, have manufactured, use, and commercialize licensed products for gene therapy for the prevention, treatment, or diagnosis of CLN1 Disease (one of the forms of Batten disease) in humans.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Subject to certain obligations of Abeona, we are obligated to use commercially reasonable efforts to develop at least one product and commercialize at least one product in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license grant, we paid Abeona a one-time upfront license fee of $3.0 million during fiscal year 2020. We are obligated to pay Abeona up to $26.0 million in regulatory-related milestones and up to $30.0 million in sales-related milestones per licensed product and high single-digit royalties on net sales of licensed products. Royalties are payable on a licensed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 In addition, concurrent with the Abeona CLN1 Agreement we entered into a purchase and reimbursement agreement with Abeona, pursuant to which we purchased specified inventory from Abeona and reimbursed Abeona for certain research and development costs previously incurred for total consideration of $4.0 million paid in fiscal year 2020. In December 2021 a regulatory milestone was triggered in connection with this agreement and therefore we recorded $3.0 million within research and development expenses in the consolidated statements of operations for the year ended December 31, 2021. The milestone fee was paid in January 2022 and has been classified as an investing outflow in the consolidated statements of cash flows for the year ended December 31, 2022. No additional milestone payments were made or triggered during the year ended December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Abeona CLN1 Agreement expires on a country-by-country and licensed product-by-licensed product basis upon the expiration of the royalty term of a licensed product in such country. Either party may terminate the agreement upon an uncured material breach of the agreement or insolvency of the other party. We may terminate the agreement for convenience upon specified prior written notice to Abeona.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License Agreement with Abeona (Rett Syndrome)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2020, we entered into the Abeona Rett Agreement with Abeona pursuant to which we obtained an exclusive, worldwide, royalty-bearing license, with the right to grant sublicenses under certain patents, know-how and materials originally developed by the University of North Carolina at Chapel Hill, the University of Edinburgh and Abeona to research, develop, manufacture, have manufactured, use, and commercialize licensed products for gene therapy and the use of related transgenes for Rett syndrome.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Subject to certain obligations of Abeona, we are required to use commercially reasonable efforts to develop at least one licensed product and commercialize at least one licensed product in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Abeona Rett Agreement, we paid Abeona a one-time upfront license fee of $3.0 million during fiscal year 2020. We are obligated to pay Abeona up to $26.5 million in regulatory-related milestones and up to $30.0 million in sales-related milestones per licensed product and high single-digit royalties on net sales of licensed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2022, our CTA filing for TSHA-102 for the treatment of Rett Syndrome was approved by Health Canada and therefore triggered a regulatory milestone payment in connection with the Rett Agreement. We recorded a $1.0 million charge within research and development expenses in the consolidated statements of operations for the year ended December 31, 2022. This milestone fee was paid in July 2022 and has been classified as an investing outflow in the consolidated statements of cash flows for the year ended December 31, 2022. In May 2023, we dosed the first patient with TSHA-102 in the Phase 1/2 REVEAL trial evaluating the safety and preliminary efficacy of TSHA-102 in adult patients with Rett syndrome and therefore triggered a milestone payment in connection with this agreement. We recorded $3.5 million within research and development expenses in the consolidated statements of operations for the year ended December 31, 2023. This milestone fee was paid in August 2023 and has been classified as an investing cash outflow in the consolidated statements of cash flows for the year ended December 31, 2023. No additional milestone payments were made or triggered in connection with this agreement during the year ended December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Abeona Rett Agreement expires on a country-by-country and licensed product-by-licensed product basis upon the expiration of the royalty term of a licensed product in such country. Either party may terminate the agreement upon an uncured material breach of the agreement or insolvency of the other party. We may terminate the agreement for convenience upon specified prior written notice to Abeona.</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Option Agreement with Astellas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the Effective Date we entered into the Option Agreement with Astellas.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TSHA-120 Giant Axonal Neuropathy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Option Agreement, we granted to Astellas the GAN Option. Subject to certain extensions, the GAN Option was exercisable from the Effective Date through a specified period of time following Astellas’ receipt of (i) the formal minutes from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Type B end-of-Phase 2 meeting between us and the FDA in response to our meeting request sent to the FDA on September 19, 2022 for the 120 GAN Product, (ii) all written feedback from the FDA with respect to the Type B end-of-Phase 2 Meeting, and (iii) all briefing documents sent by us to the FDA with respect to the Type B end-of-Phase 2 Meeting. Following the receipt of Type C meeting feedback from the FDA regarding a registrational path for TSHA-120 in September 2023, Astellas elected not to exercise the GAN Option.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TSHA-102 Rett Syndrome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Option Agreement, we also granted to Astellas the Rett Option. Subject to certain extensions, the Rett Option is exercisable for the Rett Option Period related to the Rett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parties have agreed that, if Astellas exercises an Option, the parties will, for a specified period, negotiate a license agreement in good faith on the terms and conditions outlined in the Option Agreement, including payments by Astellas of a to-be-determined upfront payment, certain to-be-determined milestone payments, and certain to-be-determined royalties on net sales of GAN Products and/or Rett Products, as applicable.</w:t>
      </w:r>
    </w:p>
    <w:p>
      <w:pPr>
        <w:pStyle w:val="TextBody"/>
        <w:bidi w:val="0"/>
        <w:spacing w:before="360" w:after="283"/>
        <w:jc w:val="left"/>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for the year ended December 31, 2023 was derived from the Astellas Transactions. We recognize revenue as research and development activities related to our Rett program are performed. Revenue related to the material rights associated with the Rett Option and the GAN Option must be recognized at a point in time when the options are exercised or the option period expires. In September 2023, Astellas elected not to exercise the GAN Option, therefore we recognized revenue related to the GAN Option during the year ended December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we have not recognized any revenue from product sales, and we do not expect to generate any revenue from the sale of products, if approved,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 </w:t>
      </w:r>
    </w:p>
    <w:p>
      <w:pPr>
        <w:pStyle w:val="TextBody"/>
        <w:bidi w:val="0"/>
        <w:spacing w:before="36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primarily consist of preclinical development of our product candidates and discovery efforts, including conducting preclinical studies, manufacturing development efforts, preparing for clinical trials and activities related to regulatory filings for our product candidates. Research and development expenses are recognized as incurred and payments made prior to the receipt of goods or services to be used in research and development are capitalized until the goods or services are received. Costs incurred in obtaining technology licenses through asset acquisitions are charged to research and development expense if the licensed technology has not reached technological feasibility and has no alternative future use. Research and development expenses include or could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employee-related expenses, including salaries, bonuses, benefits, stock-based compensation, other related costs for those employees involved in research and development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license maintenance fees and milestone fees incurred in connection with various license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external research and development expenses incurred under agreements with consultants, contract research organizations, or CROs, investigative sites and consultants to conduct our preclinical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related to manufacturing material for our preclinical studies and clinical trials, including fees paid to contract manufacturing organizations, or CMOs;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laboratory supplies and research materials;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related to compliance with regulatory requirements;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facilities, depreciation and other allocated expenses, which include direct and allocated expenses for rent, maintenance of facilities, insurance and equipment.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reduced our research and development and general and administrative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spend from 2021 to 2022 but plan to increase our research and development expenses, particularly with respect to the Rett clinical trials, for the foreseeable future as we continue the development of our product candidates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We will need to raise substantial additional capital in the future. Our clinical development costs are expected to increase significantly as we commence clinical trials. Our future expenses may vary significantly each period based on factors such as: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incurred to conduct preclinical studies required to advance our product candidates into 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 patient trial costs, including based on the number of doses that patients received;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patients who enroll in each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trials required for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sites included in the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countries in which the trials are conducted;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length of time required to enroll eligible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drop-out or discontinuation rates of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additional safety monitoring requested by regulatory agencies;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duration of patient participation in the trials and follow-up;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phase of development of the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contractors failing to comply with regulatory requirements or meet their contractual obligations to us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to manufacture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or institutional review boards, or IRBs requiring that we or our investigators suspend or terminate clinical development for various reasons, including noncompliance with regulatory requirements or a finding that the participants are being exposed to unacceptable health risks;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efficacy and safety profile of our product candidates. </w:t>
      </w:r>
    </w:p>
    <w:p>
      <w:pPr>
        <w:pStyle w:val="TextBody"/>
        <w:bidi w:val="0"/>
        <w:spacing w:before="24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or will consist principally of salaries and related costs for personnel in executive and administrative functions, including stock-based compensation, travel expenses and recruiting expenses. Other general and administrative expenses include professional fees for legal, consulting, accounting and audit and tax-related services and insurance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anticipate that certain of our general and administrative expenses will decrease in the future as a result of the reductions in our headcount in 2022 and 2023 to support our infrastructure and focus on our Rett program. We also anticipate that our general and administrative expenses as a result of payments for accounting, audit, legal, consulting services, as well as costs associated with maintaining compliance with Nasdaq listing rules and SEC requirements, director and officer liability insurance, investor and public relations activities and other expenses associated with operating as a public company may increase in the near future. In addition, we expect to incur legal fees in connection with the shareholder derivative lawsuit against certain of our current and former directors in the Court of Chancery of the State of Delaware. See “Part II, Item 8, Note 13—Commitments and Contingencies” in this Annual Report.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Impairment of long-lived assets are the result of an asset group's carrying value exceeding the fair value. In November 2022, we decided not to continue building out our manufacturing facility in North Carolina. We recorded a non-cash, non-recurring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impairment charge related to the construction in progress and right-of-use lease assets at the manufacturing facility. In September 2023, we recorded a non-cash, non-recurring impairment charge related to equipment classified as held for sale. </w:t>
      </w:r>
    </w:p>
    <w:p>
      <w:pPr>
        <w:pStyle w:val="TextBody"/>
        <w:bidi w:val="0"/>
        <w:spacing w:before="360" w:after="283"/>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Results of Operations for the Year Ended December 31, 2023 and 2022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results of operations for the years ended December 31, 2023 and 2022 (in thousands): </w:t>
      </w:r>
    </w:p>
    <w:p>
      <w:pPr>
        <w:pStyle w:val="TextBody"/>
        <w:bidi w:val="0"/>
        <w:jc w:val="left"/>
        <w:rPr/>
      </w:pPr>
      <w:r>
        <w:rPr/>
        <w:t> </w:t>
      </w:r>
    </w:p>
    <w:tbl>
      <w:tblPr>
        <w:tblW w:w="6504" w:type="dxa"/>
        <w:jc w:val="left"/>
        <w:tblInd w:w="0" w:type="dxa"/>
        <w:tblLayout w:type="fixed"/>
        <w:tblCellMar>
          <w:top w:w="28" w:type="dxa"/>
          <w:left w:w="28" w:type="dxa"/>
          <w:bottom w:w="28" w:type="dxa"/>
          <w:right w:w="28" w:type="dxa"/>
        </w:tblCellMar>
      </w:tblPr>
      <w:tblGrid>
        <w:gridCol w:w="3531"/>
        <w:gridCol w:w="146"/>
        <w:gridCol w:w="211"/>
        <w:gridCol w:w="841"/>
        <w:gridCol w:w="166"/>
        <w:gridCol w:w="146"/>
        <w:gridCol w:w="211"/>
        <w:gridCol w:w="841"/>
        <w:gridCol w:w="411"/>
      </w:tblGrid>
      <w:tr>
        <w:trPr/>
        <w:tc>
          <w:tcPr>
            <w:tcW w:w="3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5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w:t>
              <w:br/>
              <w:t>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w:t>
            </w:r>
          </w:p>
        </w:tc>
        <w:tc>
          <w:tcPr>
            <w:tcW w:w="411" w:type="dxa"/>
            <w:tcBorders/>
            <w:shd w:fill="CFF0FC" w:val="clear"/>
            <w:vAlign w:val="center"/>
          </w:tcPr>
          <w:p>
            <w:pPr>
              <w:pStyle w:val="TableContents"/>
              <w:bidi w:val="0"/>
              <w:spacing w:before="0" w:after="283"/>
              <w:jc w:val="left"/>
              <w:rPr/>
            </w:pPr>
            <w:r>
              <w:rPr/>
              <w:t> </w:t>
            </w:r>
          </w:p>
        </w:tc>
      </w:tr>
      <w:tr>
        <w:trPr/>
        <w:tc>
          <w:tcPr>
            <w:tcW w:w="35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ind w:left="0" w:right="0" w:firstLine="200"/>
              <w:jc w:val="center"/>
              <w:rPr/>
            </w:pPr>
            <w:r>
              <w:rPr/>
              <w:t> </w:t>
            </w:r>
          </w:p>
        </w:tc>
      </w:tr>
      <w:tr>
        <w:trPr/>
        <w:tc>
          <w:tcPr>
            <w:tcW w:w="35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91,169</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5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37,360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5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Impairment of long-lived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36,420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164,949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(162,447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5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(34,718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5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5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fair value of term loan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5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5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(3,798</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other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(166,014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was $15.5 million for the year ended December 31, 2023, compared to $2.5 million for the year ended December 31, 2022. Revenue for the years ended December 31, 2023 and 2022 was derived entirely from the Astellas Transactions. The revenue recorded for the year ended December 31, 2023 is the result of Rett syndrome research and development activities performed during the year of $13.2 million and the expiration of the material right associated with the GAN Option of $2.3 million. The revenue recorded for the year ended December 31, 2022 is the result of Rett research and development activities performed from November 2022 through December 2022.</w:t>
      </w:r>
    </w:p>
    <w:p>
      <w:pPr>
        <w:pStyle w:val="TextBody"/>
        <w:bidi w:val="0"/>
        <w:spacing w:before="24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were $56.8 million for the year ended December 31, 2023, compared to $91.2 million for the year ended December 31, 2022. The $34.4 million decrease was driven by the effects of the strategic reprioritization efforts taken in March 2022, which resulted in a reduction in compensation expense of $21.7 million due to reduced R&amp;D headcount. The decrease in research and development expenses for the year ended December 31, 2023 was also attributable to a $10.0 million decrease in research and development manufacturing expenses and other raw material purchases and a $14.6 million decrease in third-party research and development consulting fees, mainly related to pre-clinical studies, and IND-enabling toxicology studies. This was partially offset by an increase of $11.9 million in expenses related to ongoing clinical trial efforts in the Rett REVEAL adolescent/adult and pediatric studies.</w:t>
      </w:r>
    </w:p>
    <w:p>
      <w:pPr>
        <w:pStyle w:val="TextBody"/>
        <w:bidi w:val="0"/>
        <w:spacing w:before="24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were $30.0 million for the year ended December 31, 2023, compared to $37.4 million for the year ended December 31, 2022. The decrease of approximately $7.4 million was primarily attributable to a $10.9 million reduction in compensation expenses as a result of lower headcount and lower corporate insurance and consulting expenses. The decrease was partially offset by $2.6 million of issuance costs allocated to the Pre-Funded Warrants (as defined below) and $0.9 million of issuance costs related to the Trinity Term Loan that were expensed under the fair value option.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recorded a non-cash impairment charge of $1.1 million related to assets held for sale and for the manufacturing facility for the year ended December 31, 2023. In December 2022, we recorded a non-cash, non-recurring impairment charge of $36.4 million related to our manufacturing facility which will be marketed for sale or sub-lease.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Change in fair value of warrant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warrant liability was a non-cash expense totaling $34.7 million for the year ended December 31, 2023 related to the Pre-Funded Warrants and SSI Warrants (as defined below). The expense is primarily due to the substantial increase in the fair value of the common stock underlying the Pre-Funded Warrants from the date of issuance through the date the warrants were reclassified into equity, which resulted in a non-recurring expense of $34.5 million. As the Pre-Funded Warrants were classified into equity during the year ended December 31, 2023, there will be no additional fair value adjustments related to these warrants. The change in fair value related to the SSI Warrants was $0.2 million for the year ended December 31, 2023.</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Loss on debt extinguishment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on debt extinguishment was a non-recurring expense totaling $1.4 million for the year ended December 31, 2023 due to the early payoff of the Term Loan with Silicon Valley Bank in November 2023.</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Change in fair value of term loan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elected the fair value option for the Trinity Term Loan and changes to fair value, other than changes that are directly attributable to instrument-specific credit risk, are recorded as a component of other income (expense). The change in fair value was $1.5 million for the year ended December 31, 2023.</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was $3.6 million for the year ended December 31, 2023 compared to $0.2 million for the year ended December 31, 2022. The increase in income is primarily attributable to dividends earned from our money market fund and interest earned on our savings account following the investment of proceeds raised in our August 2023 Private Placement.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was $5.0 million for the year ended December 31, 2023, compared to $3.8 million for the year ended December 31, 2022. The increase of $1.2 million was primarily attributable to higher interest expense incurred under the Term Loan Agreement with Silicon Valley Bank due to higher interest rates on the Term Loan during the year ended December 31, 2023 compared to the prior year. No interest expense was recorded on the Trinity Term Loan for the period ended December 31, 2023 due to the election of the fair value option.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sz w:val="20"/>
        </w:rPr>
      </w:pPr>
      <w:r>
        <w:rPr>
          <w:rFonts w:ascii="Times New Roman" w:hAnsi="Times New Roman"/>
          <w:b/>
          <w:i/>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not generated any revenue from product sales and have incurred significant operating losses. As of December 31, 2023, we had cash and cash equivalents of $143.9 million. Through December 31, 2023, we have funded our operations with $589.0 million in gross proceeds from equity financings, including from pre-IPO private placements of convertible preferred stock, our IPO, and subsequent sales of common stock in public and private securities offerings, our term loans and the Astellas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August 12, 2021, or the Closing Date, we entered into a Loan and Security Agreement, or the Term Loan Agreement, with the lenders party thereto from time to time, or the Lenders and Silicon Valley Bank, as administrative agent and collateral agent for the Lenders, or the Agent. We drew $30.0 million in term loans on the Closing Date and an additional $10.0 million in term loans on December 29, 2021. We did not draw on any of the additional $20.0 million tranches prior to their expiration on September 30, 2022 and March 31, 2023. The loan repayment schedule provided for interest only payments until August 31, 2024, followed by consecutive monthly payments of principal and interest. All unpaid principal and accrued and unpaid interest with respect to each term loan was due and payable in full on August 1,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November 13, 2023, or the Trinity Closing Date, we entered into a Loan and Security Agreement, or the Trinity Term Loan Agreement, by and among us, the lenders party thereto from time to time, or the Trinity Lenders, and Trinity Capital Inc., as administrative agent and collateral agent for the Trinity Lenders, or Trinity. The Trinity Term Loan Agreement provides for, on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Trinity Closing Date, $40.0 million aggregate principal amount of term loans, or, collectively, the Trinity Term Loans. We drew the Trinity Term Loans in full on the Trinity Closing Date. The interest rate applicable to the Trinity Term Loans is the greater of (a) the WSJ Prime Rate plus 4.50% or (b) 12.75% per annum. The Trinity Term Loans are interest only from the Trinity Closing Date through 36 months from the Trinity Closing Date, which may be extended to 48 months from the Trinity Closing Date upon the satisfaction of certain milestones set forth in the Trinity Term Loan Agreement, after which we are required to pay equal monthly installments of principal through November 13, 2028, or the Maturity Date. The Trinity Term Loans may be prepaid in full (i) from the Trinity Closing Date through November 13, 2024, with payment of a 3.00% prepayment premium, (ii) from November 13, 2024 through November 13, 2025, with payment of a 2% prepayment premium, and (iii) from November 13, 2025 through, but excluding, the Maturity Date, with payment of a 1% prepayment premium. On the Trinity Closing Date, we paid to Trinity a commitment fee of 1.00% of the original principal amount of the Trinity Term Loans. Upon repayment in full of the Trinity Term Loans, we will pay to Trinity an end of term payment equal to 5.00% of the original principal amount of the Trinity Term Loans.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obligations under the Trinity Term Loan Agreement are secured by a perfected security interest in all of our assets except for certain customarily excluded property pursuant to the terms of the Trinity Term Loan Agreement. There are no financial covenants and no warrants associated with the Trinity Term Loan Agreement. The Trinity Term Loan Agreement contains various covenants that limit our ability to engage in specified types of transactions without the consent of Trinity and the Trinity Lenders which include, among others, incurring or assuming certain debt; merging, consolidating or acquiring all or substantially all of the capital stock or property of another entity; changing the nature of our business; changing our organizational structure or type; licensing, transferring or disposing of certain assets; granting certain types of liens on our assets; making certain investments; and paying cash dividends. The Trinity Term Loan Agreement also contains customary representations and warranties, and also includes customary events of default, including payment default, breach of covenants, change of control, and material adverse effects. Upon the occurrence of an event of default, a default interest rate of an additional 5% per annum may be applied to the outstanding loan balances, and the Trinity Lenders may declare all outstanding obligations immediately due and payable and exercise all of its rights and remedies as set forth in the Trinity Term Loan Agreement and under applicable law. The proceeds of the Trinity Term Loans were used to repay our obligations under the Term Loan Agreement (as defined below) with Silicon Valley Bank in full. The Term Loan Agreement with Silicon Valley Bank was terminated concurrently with entry into the Trinity Term Loan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5, 2021, we filed a shelf registration statement on Form S-3 with the SEC in relation to the registration of common stock, preferred stock, debt securities, warrants and units or any combination thereof up to a total aggregate offering price of $350.0 million. We also simultaneously entered into a Sales Agreement, or the Sales Agreement with SVB Leerink LLC and Wells Fargo Securities, LLC, or the Sales Agents, pursuant to which we may issue and sell, from time to time at our discretion, shares of our common stock having an aggregate offering price of up to $150.0 million through the Sales Agents. In March 2022, we amended the Sales Agreement to, among other things, include Goldman Sachs &amp; Co. LLC as an additional Sales Agent. In April 2022, we sold 2,000,000 shares of common stock pursuant to the Sales Agreement and received net proceeds of $11.6 million. No other shares of common stock have been issued and sold pursuant to the Sales Agreement as of December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21, 2022, we entered into the Option Agreement with Astellas granting Astellas an exclusive option to obtain exclusive, worldwide, royalty and milestone-bearing rights and licenses related to TSHA-120 and TSHA-102. As partial consideration for the rights granted to Astellas under the Option Agreement, Astellas paid us a one-time payment in the amount of $20.0 million, or the Upfront Payment, in November 2022.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Also on October 21, 2022, we entered into the Securities Purchase Agreement with Astellas, pursuant to which we agreed to issue and sell to Astellas in a private placement, or the Private Placement, an aggregate of 7,266,342 shares of our common stock, or the Private Placement Shares, for aggregate proceeds of $30.0 million. The Private Placement closed on October 24, 2022. Pursuant to the Securities Purchase Agreement, in connection with the Private Placement, Astellas has the right to designate one individual to attend all meetings of the Board in a non-voting observer capacity. We also granted Astellas certain registration rights with respect to the Private Placement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26, 2022, we entered into the Underwriting Agreement, to issue and sell 14,000,000 shares of our common stock, par value $0.00001 per share, in an underwritten public offering pursuant to effective registration statement on Form S-3 and a related prospectus and prospectus supplement. The offering price to the public was $2.00 per share and the Underwriter purchased the shares from us pursuant to the Underwriting Agreement at a price of $1.88 per share. In addition, we granted the Underwriter an option to purchase, for a period of 30 days, up to an additional 2,100,000 shares of our common stock. The Follow-on Offering closed on October 31, 2022 and we received net proceeds of $26.0 million after deducting underwriting discounts, commissions and offering expenses. On November 10, 2022, the Underwriter exercised their option to purchase an additional 765,226 shares of our common stock and we received net proceeds of $1.4 million after deducting underwriting discounts and commissions.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April 2023, we entered into a securities purchase agreement, or the SSI Securities Purchase Agreement, with two affiliates of SSI Strategy Holdings LLC, or SSI, named therein, or the SSI Investors, pursuant to which we agreed to issue and sell to the SSI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Investors in a private placement, or the SSI Private Placement, 705,218 shares of our common stock, or the SSI Shares, and warrants, or the SSI Warrants, to purchase an aggregate of 525,000 shares of our common stock, or the Warrant Shares. SSI provides certain consulting services to us. Each SSI Warrant has an exercise price of $0.7090 per Warrant Share, which was the closing price of our common stock on the Nasdaq Global Market on April 4, 2023. The SSI Warrants issued in the SSI Private Placement provide that the holder of the SSI Warrants will not have the right to exercise any portion of its SSI Warrants until the achievement of certain clinical and regulatory milestones related to our clinical programs. The SSI Private Placement closed on April 5, 2023. Gross proceeds of the SSI Private Placement were $0.5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August 14, 2023, we entered into a Securities Purchase Agreement, or the August 2023 Securities Purchase Agreement, with certain institutional and other accredited investors, or the Purchasers, pursuant to which we agreed to sell and issue to the Purchasers in a private placement transaction, or the August 2023 Private Placement, that closed on August 16, 2023: (i) 122,412,376 shares of our common stock and (ii) with respect to certain Purchasers, pre-funded warrants, or the Pre-Funded Warrants, to purchase 44,250,978 shares of common stock in lieu of shares of common stock. The closing of the August 2023 Private Placement, or the Closing, occurred on August 16, 2023. The total gross proceeds to us at the Closing were $150.0 million, and after deducting placement agent commissions and offering expenses payable by us, net proceeds were $140.3 million.</w:t>
      </w:r>
    </w:p>
    <w:p>
      <w:pPr>
        <w:pStyle w:val="TextBody"/>
        <w:bidi w:val="0"/>
        <w:spacing w:before="360" w:after="283"/>
        <w:jc w:val="left"/>
        <w:rPr>
          <w:rFonts w:ascii="Times New Roman" w:hAnsi="Times New Roman"/>
          <w:sz w:val="20"/>
        </w:rPr>
      </w:pPr>
      <w:r>
        <w:rPr>
          <w:rFonts w:ascii="Times New Roman" w:hAnsi="Times New Roman"/>
          <w:b/>
          <w:i/>
          <w:color w:val="000000"/>
          <w:sz w:val="20"/>
        </w:rPr>
        <w:t>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not generated any revenues from the commercial sale of approved drug products, and we do not expect to generate substantial revenue for at least the next few years. If we fail to complete the development of our product candidates in a timely manner or fail to obtain their regulatory approval, our ability to generate future revenue will be compromised. We do not know when, or if, we will generate any revenue from our product candidates, and we do not expect to generate significant revenue unless and until we obtain regulatory approval of, and commercialize, our product candidates. Our expenses decreased from 2021 to 2022 as a result of our program prioritization efforts and reduced headcount. We have reduced spending in 2023 compared to 2022 levels due to the strategic pipeline prioritization initiatives focused on developing Rett and GAN. In September 2023, we announced that we intended to discontinue development of, and seek external strategic options for, our GAN clinical program. If we obtain approval for any of our product candidates, we expect to incur significant commercialization expenses related to sales, marketing, manufacturing and distribution. We anticipate that we will need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our material cash requirements consisted of $31.8 million in total lease payments under our noncancelable leases for equipment, laboratory space and office space. These leases are described in further detail in Note 5 to our audited consolidated financial statements located in Part IV, Item 15 of this Annual Report on Form 10-K. Our most significant purchase commitments consist of $11.7 million in cancellable purchase obligations to our CROs and other clinical trial vendors.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our existing cash and cash equivalents will enable us to fund our operating expenses and capital requirements into 2026. We will require additional capital to fund the research and development of our product candidates, to fund our manufacturing activities, to fund precommercial activities of our programs and for working capital and general corporate purposes. The assessment of our ability to meet our future obligations is inherently judgmental, subjective and susceptible to change.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of the numerous risks and uncertainties associated with research, development and commercialization of biological products, we are unable to estimate the exact amount of our operating capital requirements. Our future funding requirements will depend on many factors,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progress, costs and results of discovery, preclinical development, laboratory testing and clinical trials for TSHA-102 and any current and future product candidates that we advance;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access sufficient additional capital on a timely basis and on favorable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develop, in-license or acquire other product candidates and technologies in our gene therapy product candidate pipeline;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process development and manufacturing scale-up activities associated with our product candidates and other programs as we advance them through preclinical and 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development requirements of product candidates that we may pursue;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timing and outcome of regulatory review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headcount growth and associated costs as we expand our research and development capabilities and establish a commercial infrastructure;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future commercialization activities, including product manufacturing, marketing, sales, and distribution, for any of our product candidates for which we receive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preparing, filing and prosecuting patent applications, maintaining and enforcing our intellectual property rights and defending any intellectual property-related claims;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incurred in defending ourselves in any legal proceedings that we may be subject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revenue, if any, received from commercial sales of our product candidates for which we receive marketing approval;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operating as a public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 candidates that we do not expect to be commercially available in the near term, if at all. Accordingly, we will need to continue to rely on additional financing to achieve our business objectives. Adequate additional financing may not be available to us on acceptable terms, or at all. To the extent that we raise additional capital through the sale of equity or convertible debt securities, the terms of these equity securities may restrict our ability to operate. The Trinity Term Loan Agreement contains negative covenants, including, among other things, restrictions on indebtedness, liens investments, mergers, dispositions, prepayment of other indebtedness and dividends and other distributions. Any future additional debt financing and equity financing, if available, may involve agreements that include covenants limiting and restricting our ability to take specific actions, such as incurring additional debt, making capital expenditures, entering into profit-sharing or other arrangements or declaring dividends. 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shows a summary of our cash flows for the years ended December 31, 2023 and 2022 (in thousands): </w:t>
      </w:r>
    </w:p>
    <w:p>
      <w:pPr>
        <w:pStyle w:val="TextBody"/>
        <w:bidi w:val="0"/>
        <w:jc w:val="left"/>
        <w:rPr/>
      </w:pPr>
      <w:r>
        <w:rPr/>
        <w:t> </w:t>
      </w:r>
    </w:p>
    <w:tbl>
      <w:tblPr>
        <w:tblW w:w="7244" w:type="dxa"/>
        <w:jc w:val="left"/>
        <w:tblInd w:w="0" w:type="dxa"/>
        <w:tblLayout w:type="fixed"/>
        <w:tblCellMar>
          <w:top w:w="28" w:type="dxa"/>
          <w:left w:w="28" w:type="dxa"/>
          <w:bottom w:w="28" w:type="dxa"/>
          <w:right w:w="28" w:type="dxa"/>
        </w:tblCellMar>
      </w:tblPr>
      <w:tblGrid>
        <w:gridCol w:w="4636"/>
        <w:gridCol w:w="146"/>
        <w:gridCol w:w="211"/>
        <w:gridCol w:w="781"/>
        <w:gridCol w:w="166"/>
        <w:gridCol w:w="146"/>
        <w:gridCol w:w="211"/>
        <w:gridCol w:w="736"/>
        <w:gridCol w:w="21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5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w:t>
              <w:br/>
              <w:t>Ended December 31,</w:t>
            </w:r>
          </w:p>
        </w:tc>
        <w:tc>
          <w:tcPr>
            <w:tcW w:w="211" w:type="dxa"/>
            <w:tcBorders/>
            <w:shd w:fill="FFFFFF" w:val="clear"/>
            <w:vAlign w:val="center"/>
          </w:tcPr>
          <w:p>
            <w:pPr>
              <w:pStyle w:val="TableContents"/>
              <w:bidi w:val="0"/>
              <w:spacing w:before="0" w:after="283"/>
              <w:jc w:val="center"/>
              <w:rPr/>
            </w:pPr>
            <w:r>
              <w:rPr/>
              <w:t> </w:t>
            </w:r>
          </w:p>
        </w:tc>
      </w:tr>
      <w:tr>
        <w:trPr/>
        <w:tc>
          <w:tcPr>
            <w:tcW w:w="46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(73,018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(88,390</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(24,930</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52,097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(61,223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For the year ended December 31, 2023, our net cash used in operating activities of $73.0 million primarily consisted of a net loss of $111.6 million, primarily attributable to our spending on research and development expenses. The net loss of $111.6 million was partially offset by $56.6 million in adjustments for non-cash items and other adjustments to reconcile net loss to net cash used in operating activities, primarily due to the change in fair value of warrant liability of $34.7 million and stock-based compensation expense. Additional cash used in operating activities of $18.0 million, resulting from changes in operating assets and liabilities was primarily due to a decrease in deferred revenue related to the Astellas Transactions.</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For the year ended December 31, 2022, our net cash used in operating activities of $88.4 million primarily consisted of a net loss of $166.0 million, primarily attributable to our spending on research and development expenses. The net loss of $166.0 million was partially offset by $59.1 million in adjustments for non-cash items as a result of the $36.4 million impairment charge related to the North Carolina manufacturing facility and stock-based compensation expense of $18.0 million. The net loss was also partially offset by a source of cash of $18.5 million from the change in our operating assets and liabilities, primarily resulting from an increase in deferred revenue related to the Astellas Transactions.</w:t>
      </w:r>
    </w:p>
    <w:p>
      <w:pPr>
        <w:pStyle w:val="TextBody"/>
        <w:bidi w:val="0"/>
        <w:spacing w:before="240" w:after="283"/>
        <w:jc w:val="left"/>
        <w:rPr>
          <w:rFonts w:ascii="Times New Roman" w:hAnsi="Times New Roman"/>
          <w:sz w:val="20"/>
        </w:rPr>
      </w:pPr>
      <w:r>
        <w:rPr>
          <w:rFonts w:ascii="Times New Roman" w:hAnsi="Times New Roman"/>
          <w:b/>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year ended December 31, 2023, investing activities used $7.4 million of cash primarily attributable to capital expenditures related to the close out of our in-house manufacturing facility project and payment of a milestone license fee.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year ended December 31, 2022, investing activities used $24.9 million of cash primarily attributable to up-front license fee payments of $4.3 million and capital expenditures related to our North Carolina manufacturing facility.</w:t>
      </w:r>
    </w:p>
    <w:p>
      <w:pPr>
        <w:pStyle w:val="TextBody"/>
        <w:bidi w:val="0"/>
        <w:spacing w:before="240" w:after="283"/>
        <w:jc w:val="left"/>
        <w:rPr>
          <w:rFonts w:ascii="Times New Roman" w:hAnsi="Times New Roman"/>
          <w:sz w:val="20"/>
        </w:rPr>
      </w:pPr>
      <w:r>
        <w:rPr>
          <w:rFonts w:ascii="Times New Roman" w:hAnsi="Times New Roman"/>
          <w:b/>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year ended December 31, 2023, financing activities provided $136.4 million of cash, which was primarily attributable to the proceeds from the August 2023 Private Placement.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year ended December 31, 2022, financing activities provided $52.1 million of cash, which was attributable to the receipt of $39.4 million in net proceeds from the Follow-on Offering and sales of common stock pursuant to the Sales Agreement and $13.9 million in net proceeds from the Astellas Private Placement. Additional financing proceeds were a result of $0.3 million of proceeds from issuance of shares under the Employee Stock Purchase Plan. This was partially offset by $1.4 million of cash paid for costs related to our filing of a shelf registration statement on Form S-3 and other financing activities.</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Significant Judgments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management’s discussion and analysis of our financial condition and results of operations is based on our financial statements, which have been prepared in accordance with U.S. generally accepted accounting principles, or U.S. GAAP. The preparation of these financial statements requires us to make estimates and judgments that affect the reported amounts of assets, liabilities, and expenses and the disclosure of contingent assets and liabilities in our financial statements. In accordance with U.S. GAAP, we evaluate our estimates and judgments on an ongoing basis, including those related to research and development expenses, stock-based compensation, the Astellas Transactions and accounting for the Trinity Term Loans at fair value.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define our critical accounting policies as those accounting principles that require us to make subjective estimates and judgments about matters that are uncertain and are likely to have a material impact on our financial condition and results of operations, as well as the specific manner in which we apply those principles. While our significant accounting policies are more fully described in Note 2 to our audited consolidated financial statements located in Part IV, Item 15 of this Annual Report on Form 10-K, we believe the following are the critical accounting policies used in the preparation of our financial statements that require significant estimates and judgments.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Research and Development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research and development contracts with research institutions and other companies. These agreements are generally cancelable, and related payments are recorded as research and development expenses as incurred. Payments for these activities are based on the terms of the individual agreements, which may differ from the pattern of costs incurred, and are reflected on the balance sheet as prepaid or accrued expenses. We record accruals for estimated ongoing research costs. When evaluating the adequacy of the accrued liabilities, we analyze progress of the studies, including the phase or completion of events, invoices received and contracted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Research and development costs primarily consist of payroll, stock-based compensation, clinical trial expense, certain manufacturing costs, laboratory costs and other supplies, and the cost to acquire third-party licenses.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Costs incurred in obtaining technology licenses through asset acquisitions are charged to research and development expense if the licensed technology has not reached technological feasibility and has no alternative future use.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date, we have not experienced significant changes in our estimates of accrued research and development liabilities after a reporting period. However, due to the nature of estimates, there is no assurance that we will not make changes to our estimates in the future as we become aware of additional information about the status or conduct of our clinical studies and other research activities.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Stock</w:t>
        <w:noBreakHyphen/>
        <w:t>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account for all stock-based payments to employees and non-employees, including grants of stock options, restricted stock awards, or “RSAs” and restricted stock units or, “RSUs” based on their respective grant date fair values. We estimate the fair value of stock option grants using the Black-Scholes option pricing model, which is affected principally by the estimated fair value of shares of our common stock and requires management to make a number of other assumptions, including the expected life of the option, the volatility of the underlying shares, the risk-free interest rate and expected dividends. Expected volatility is based on the historical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 volatility of a set of comparable publicly traded companies over a period of time equal to the expected term of the options. Due to the lack of historical exercise history, the expected term of our stock options is determined using the “simplified” method. The risk-free interest rate is determined by reference to the U.S. Treasury yield curve in effect at the time of grant of the award for time periods approximately equal to the expected term of the award. Expected dividend yield is zero based on the fact that we have never paid cash dividends and do not expect to pay any cash dividends in the foreseeable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Prior to September 23, 2020, the fair value of common stock underlying our stock options, RSAs and RSUs was estimated by our board of directors considering, among other things, contemporaneous valuations of our common stock prepared by unrelated third-party valuation firms. After the IPO, the fair value of common stock is based on the closing price of our common stock on the Nasdaq Global Select Market as reported on the date of the grant.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RSAs and RSUs are valued based on the fair value of our common stock on the date of grant. We expense stock-based compensation related to stock options, RSAs and RSUs, which contain service-based vesting conditions, over the requisite service period using the straight-line method. For awards with both performance and service conditions, we recognize expense based on the fair value of the performance awards over the estimated service period using the accelerated attribution method to the extent the achievement of the related performance criteria is estimated to be probable. At each reporting date, we evaluate whether any performance conditions related to a performance-based award have changed. The effect of any change in performance conditions is recognized as a cumulative catch-up adjustment in the period such change occurs. Stock-based compensation costs are generally recorded in research and development expense or general and administrative expense in the consolidated statements of operations based upon the respective employee’s roles within our Company. Forfeitures are recorded as they occur.</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Astellas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2022, we entered into the Securities Purchase Agreement with Astellas, pursuant to which we agreed to issue and sell to Astellas an aggregate of 7,266,342 shares of our common stock, for aggregate proceeds of $30.0 million. Upon closing of the Private Placement and transferring 7,266,342 shares to Astellas, we recorded the issuance of shares at fair value. Fair value of the shares transferred to Astellas was calculated in accordance with ASC 820, Fair Value Measurement by analyzing our stock price for a period of time prior to and after the transaction date as traded on the NASDAQ. The NASDAQ trading data is considered an active market and a Level 1 measurement under ASC 820. The fair value was determined to be $13.95 million or $1.92 per share. The $16.1 million difference between the $30.0 million paid by Astellas and the fair market value of shares issued was allocated to the transaction price of the Option Agreement.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determined that the Option Agreement falls within the scope of ASC 606, </w:t>
      </w:r>
      <w:r>
        <w:rPr>
          <w:rFonts w:ascii="Times New Roman" w:hAnsi="Times New Roman"/>
          <w:i/>
          <w:color w:val="000000"/>
          <w:sz w:val="20"/>
        </w:rPr>
        <w:t>Revenue from Contracts with Customers</w:t>
      </w:r>
      <w:r>
        <w:rPr>
          <w:rFonts w:ascii="Times New Roman" w:hAnsi="Times New Roman"/>
          <w:color w:val="000000"/>
          <w:sz w:val="20"/>
        </w:rPr>
        <w:t xml:space="preserve"> as the development of TSHA-102 for the treatment of Rett Syndrome and TSHA-120 for the treatment of GAN are considered ordinary activities for us. In accordance with ASC 606, we evaluated the Option Agreement and identified three separate performance obligations: (1) option to obtain licensing right to GAN, (2) option to obtain licensing right to Rett and (3) performance of research and development activities associated with our Rett program. The transaction price is determined to be $36.1 million which is comprised of the $20.0 million Upfront Payment and the $16.1 million allocated from the Private Placement.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determine the standalone selling price, or the SSP, of the Rett and GAN options which we concluded represent material rights, we utilized the probability-weighted expected return, or PWERM, method. The PWERM method contemplates the probability and timing of an option exercise. At contract inception, we used significant judgment to estimate the probability of exercise of each option at 50%. The SSP of the Rett research and development activities was estimated using an expected cost plus margin approach. The standalone selling prices of the material rights and Rett research and development activities were then used to proportionately allocate the $36.1 million transaction price to the three performance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Revenue allocated to the material rights will be recognized at a point in time when each option period expires or when a decision is made by Astellas to exercise or not exercise each option. Revenue from the Rett research and development activities will be recognized as activities are performed using an input method, according to the costs incurred as related to the total costs expected to be incurred to satisfy the performance obligation. The transfer of control occurs over this time period and is a reliable measure of progress towards satisfying the performance obligation. During the year ended December 31, 2023, we determined that the total estimated costs to be incurred to satisfy the performance obligation associated with the Rett research and development activities had increased from the cost estimate used for the year ended December 31, 2022.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Fair Value Option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November 13, 2023 we entered into the Trinity Term Loan Agreement with the Trinity Lenders. The Trinity Term Loan Agreement provides for, on the Trinity Closing Date, $40.0 million aggregate principal amount of Trinity Term Loans. We drew the Trinity Term Loans in full on the Trinity Closing Date.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determined that we are eligible to elect the fair value option under ASC 825, </w:t>
      </w:r>
      <w:r>
        <w:rPr>
          <w:rFonts w:ascii="Times New Roman" w:hAnsi="Times New Roman"/>
          <w:i/>
          <w:color w:val="000000"/>
          <w:sz w:val="20"/>
        </w:rPr>
        <w:t>Financial Instruments</w:t>
      </w:r>
      <w:r>
        <w:rPr>
          <w:rFonts w:ascii="Times New Roman" w:hAnsi="Times New Roman"/>
          <w:color w:val="000000"/>
          <w:sz w:val="20"/>
        </w:rPr>
        <w:t>. The Trinity Term Loans contains various embedded features and the election of the fair value option allows us to bypass analysis of potential embedded derivatives and further analysis of bifurcation of any recognized financial liabilities. Under the fair value option, the financial liability is initially measured at its fair value on the issue date and subsequently remeasured at estimated fair value on a recurring basis at each reporting date. Changes in the fair value of the Trinity Term Loans, which include accrued interest, if any, are recorded as a component of other expense (income) in the consolidated statements of operations and comprehensive loss. We have not elected to present interest expense separately from changes in fair value and therefore will not present interest expense associated with the Trinity Term Loans. Any changes in fair value caused by instrument-specific credit risk are presented separately in other comprehensive income or loss if material. Under the fair value option, debt issuance costs are expensed as incurred.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Trinity Term Loans, we entered into a Success Fee Agreement with Trinity which specifies the terms regarding a fee in the amount of 10% of the principal amount of the funded Trinity Term Loans. The Success Fee is payable upon the achievement of certain corporate development value-inflection milestones. The Success Fee survives the termination of the Trinity Term Loans and expires on the earlier of ten years, or payment in full in cash of the Success Fee. We determined that the Success Fee represents a freestanding financial instrument and should be accounted for as a derivative liability under ASC 815 and recorded a liability within other non-current liabilities on the consolidated balance sheet, at fair value on the Trinity Closing Date and will be marked-to-market at the end of each reporting period with gains and losses recognized as a component of other income (expense) in the consolidated statements of operations. The proceeds from the Trinity Term Loans were allocated to the Success Fee and Trinity Term Loans based on their respective fair values on the Trinity Closing Date. The fair values were determined utilizing a probability-weighted income approach, including variables for the timing of a success event and other probability estimates. The fair value of the Trinity Term Loans is determined to be $39.2 million and the fair value of the Success Fee liability is determined to be $0.8 million in the consolidated balance sheet at issuance. We calculated the discounted cash flows of the Success Fee liability, then adjusted for the probability of achievement of certain corporate development value-inflection milestones.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Note 2 to our audited consolidated financial statements located in Part IV, Item 15 of this Annual Report on Form 10-K for a description of recent accounting pronouncements applicable to our financial statements.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Emerging Growth Company and Smaller Reporting Company Status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2012, the JOBS Act was enacted. Section 107 of the JOBS Act provides that an “emerging growth company” can take advantage of the extended transition period provided in Section 7(a)(2)(B) of the Securities Act of 1933, as amended, for complying with new or revised accounting standards. Thus, an emerging growth company can delay the adoption of certain accounting standards until those standards would otherwise apply to private companies. We elected the extended transition period for complying with new or revised accounting standards, which delays the adoption of these accounting standards until they would apply to private companies. In addition, as an emerging growth company, we may take advantage of specified reduced disclosure and other requirements that are otherwise applicable generally to public companies. These provisions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exception from compliance with the auditor attestation requirements of Section 404 of the Sarbanes-Oxley Act of 2002, as amended;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reduced disclosure about our executive compensation arrangements in our periodic reports, proxy statements and registration statements;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exemptions from the requirements of holding non-binding advisory votes on executive compensation or golden parachute arrangements;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exemption from compliance with the requirements of the Public Company Accounting Oversight Board regarding the communication of critical audit matters in the auditor’s report on financial statements. We may take advantage of these provisions until we no longer qualify as an emerging growth company. We will cease to qualify as an emerging growth company on the date that is the earliest of: (i) December 31, 2025, (ii) the last day of the fiscal year in which we have more than $1.235 billion in total annual gross revenues, (iii) the date on which we are deemed to be a “large accelerated filer” under the rules of the SEC, which means the market value of our common stock that is held by non-affiliates exceeds $700 million as of the prior June 30th, or (iv) the date on which we have issued more than $1.0 billion of non-convertible debt over the prior three-year period. We may choose to take advantage of some but not all of these reduced reporting burdens. We have taken advantage of certain reduced reporting requirements in this Annual Report on Form 10-K and our other filings with the SEC. Accordingly, the information contained herein may be different than you might obtain from other public companies in which you hold equity interests.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We are also a “smaller reporting company,” meaning that the market value of our shares held by non-affiliates is less than $700 million and our annual revenue was less than $100 million during the most recently completed fiscal year. We may continue to be a smaller reporting company if either (i) the market value of our shares held by non-affiliates is less than $250 million or (ii) our annual revenue was less than $100 million during the most recently completed fiscal year and the market value of our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w:t>
      </w:r>
    </w:p>
    <w:p>
      <w:pPr>
        <w:pStyle w:val="TextBody"/>
        <w:bidi w:val="0"/>
        <w:spacing w:before="360" w:after="283"/>
        <w:jc w:val="left"/>
        <w:rPr>
          <w:rFonts w:ascii="Times New Roman" w:hAnsi="Times New Roman"/>
          <w:b/>
          <w:color w:val="000000"/>
          <w:sz w:val="20"/>
        </w:rPr>
      </w:pPr>
      <w:bookmarkStart w:id="14" w:name="item_7a_quantitative_qualitative_disclos"/>
      <w:bookmarkEnd w:id="14"/>
      <w:r>
        <w:rPr>
          <w:rFonts w:ascii="Times New Roman" w:hAnsi="Times New Roman"/>
          <w:b/>
          <w:color w:val="000000"/>
          <w:sz w:val="20"/>
        </w:rPr>
        <w:t>Item 7A.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smaller reporting company as defined by Rule 12b-2 of the Exchange Act and are not required to provide the information required under this item.</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5" w:name="item_8_financial_statements_supplementar"/>
      <w:bookmarkEnd w:id="15"/>
      <w:r>
        <w:rPr>
          <w:rFonts w:ascii="Times New Roman" w:hAnsi="Times New Roman"/>
          <w:b/>
          <w:color w:val="000000"/>
          <w:sz w:val="20"/>
        </w:rPr>
        <w:t>Item 8. Financial Statements and Supplementary Data.</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Report of Independent Registered Public Accounting Firm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the Stockholders and the Board of Directors of Taysha Gene Therapies, Inc.</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Opinion on the Financial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audited the accompanying consolidated balance sheets of Taysha Gene Therapies, Inc. (the “Company”) as of December 31, 2023 and 2022, the related consolidated statements of operations, stockholders' equity, and cash flows, for the years then ended,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the years then ended, in conformity with accounting principles generally accepted in the United States of America.</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 Deloitte &amp; Touche LLP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Dallas, Texas</w:t>
      </w:r>
    </w:p>
    <w:p>
      <w:pPr>
        <w:pStyle w:val="TextBody"/>
        <w:bidi w:val="0"/>
        <w:jc w:val="left"/>
        <w:rPr>
          <w:rFonts w:ascii="Times New Roman" w:hAnsi="Times New Roman"/>
          <w:color w:val="000000"/>
          <w:sz w:val="20"/>
        </w:rPr>
      </w:pPr>
      <w:r>
        <w:rPr>
          <w:rFonts w:ascii="Times New Roman" w:hAnsi="Times New Roman"/>
          <w:color w:val="000000"/>
          <w:sz w:val="20"/>
        </w:rPr>
        <w:t>March 19,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served as the Company's auditor since 2020.</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Taysha Gene Therapies,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06"/>
        <w:gridCol w:w="146"/>
        <w:gridCol w:w="213"/>
        <w:gridCol w:w="851"/>
        <w:gridCol w:w="166"/>
        <w:gridCol w:w="146"/>
        <w:gridCol w:w="213"/>
        <w:gridCol w:w="851"/>
        <w:gridCol w:w="413"/>
      </w:tblGrid>
      <w:tr>
        <w:trPr/>
        <w:tc>
          <w:tcPr>
            <w:tcW w:w="7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72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4"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4" w:type="dxa"/>
            <w:gridSpan w:val="2"/>
            <w:tcBorders/>
            <w:shd w:fill="FFFFFF" w:val="clear"/>
            <w:vAlign w:val="center"/>
          </w:tcPr>
          <w:p>
            <w:pPr>
              <w:pStyle w:val="TableContents"/>
              <w:bidi w:val="0"/>
              <w:spacing w:before="0" w:after="283"/>
              <w:jc w:val="center"/>
              <w:rPr/>
            </w:pPr>
            <w:r>
              <w:rPr/>
              <w:t> </w:t>
            </w:r>
          </w:p>
        </w:tc>
        <w:tc>
          <w:tcPr>
            <w:tcW w:w="413" w:type="dxa"/>
            <w:tcBorders/>
            <w:shd w:fill="FFFFFF" w:val="clear"/>
            <w:vAlign w:val="center"/>
          </w:tcPr>
          <w:p>
            <w:pPr>
              <w:pStyle w:val="TableContents"/>
              <w:bidi w:val="0"/>
              <w:spacing w:before="0" w:after="283"/>
              <w:jc w:val="center"/>
              <w:rPr/>
            </w:pPr>
            <w:r>
              <w:rPr/>
              <w:t> </w:t>
            </w:r>
          </w:p>
        </w:tc>
      </w:tr>
      <w:tr>
        <w:trPr/>
        <w:tc>
          <w:tcPr>
            <w:tcW w:w="72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0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6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4" w:type="dxa"/>
            <w:gridSpan w:val="2"/>
            <w:tcBorders/>
            <w:shd w:fill="CFF0FC" w:val="clear"/>
            <w:vAlign w:val="center"/>
          </w:tcPr>
          <w:p>
            <w:pPr>
              <w:pStyle w:val="TableContents"/>
              <w:bidi w:val="0"/>
              <w:spacing w:before="0" w:after="283"/>
              <w:jc w:val="right"/>
              <w:rPr/>
            </w:pPr>
            <w:r>
              <w:rPr/>
              <w:t> </w:t>
            </w:r>
          </w:p>
        </w:tc>
        <w:tc>
          <w:tcPr>
            <w:tcW w:w="413" w:type="dxa"/>
            <w:tcBorders/>
            <w:shd w:fill="CFF0FC" w:val="clear"/>
            <w:vAlign w:val="center"/>
          </w:tcPr>
          <w:p>
            <w:pPr>
              <w:pStyle w:val="TableContents"/>
              <w:bidi w:val="0"/>
              <w:spacing w:before="0" w:after="283"/>
              <w:jc w:val="right"/>
              <w:rPr/>
            </w:pPr>
            <w:r>
              <w:rPr/>
              <w:t> </w:t>
            </w:r>
          </w:p>
        </w:tc>
      </w:tr>
      <w:tr>
        <w:trPr/>
        <w:tc>
          <w:tcPr>
            <w:tcW w:w="72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06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4" w:type="dxa"/>
            <w:gridSpan w:val="2"/>
            <w:tcBorders/>
            <w:shd w:fill="FFFFFF" w:val="clear"/>
            <w:vAlign w:val="center"/>
          </w:tcPr>
          <w:p>
            <w:pPr>
              <w:pStyle w:val="TableContents"/>
              <w:bidi w:val="0"/>
              <w:spacing w:before="0" w:after="283"/>
              <w:jc w:val="right"/>
              <w:rPr/>
            </w:pPr>
            <w:r>
              <w:rPr/>
              <w:t> </w:t>
            </w:r>
          </w:p>
        </w:tc>
        <w:tc>
          <w:tcPr>
            <w:tcW w:w="413" w:type="dxa"/>
            <w:tcBorders/>
            <w:shd w:fill="FFFFFF" w:val="clear"/>
            <w:vAlign w:val="center"/>
          </w:tcPr>
          <w:p>
            <w:pPr>
              <w:pStyle w:val="TableContents"/>
              <w:bidi w:val="0"/>
              <w:spacing w:before="0" w:after="283"/>
              <w:ind w:left="0" w:right="0" w:firstLine="200"/>
              <w:jc w:val="right"/>
              <w:rPr/>
            </w:pPr>
            <w:r>
              <w:rPr/>
              <w:t> </w:t>
            </w:r>
          </w:p>
        </w:tc>
      </w:tr>
      <w:tr>
        <w:trPr/>
        <w:tc>
          <w:tcPr>
            <w:tcW w:w="72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87,880</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72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color w:val="000000"/>
              </w:rPr>
            </w:pPr>
            <w:r>
              <w:rPr>
                <w:color w:val="000000"/>
              </w:rPr>
              <w:t>—</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72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8,537</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72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Assets held for sale</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96,417</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w:t>
            </w:r>
          </w:p>
        </w:tc>
        <w:tc>
          <w:tcPr>
            <w:tcW w:w="413" w:type="dxa"/>
            <w:tcBorders/>
            <w:shd w:fill="FFFFFF" w:val="clear"/>
            <w:vAlign w:val="center"/>
          </w:tcPr>
          <w:p>
            <w:pPr>
              <w:pStyle w:val="TableContents"/>
              <w:bidi w:val="0"/>
              <w:spacing w:before="0" w:after="283"/>
              <w:jc w:val="left"/>
              <w:rPr/>
            </w:pPr>
            <w:r>
              <w:rPr/>
              <w:t> </w:t>
            </w:r>
          </w:p>
        </w:tc>
      </w:tr>
      <w:tr>
        <w:trPr/>
        <w:tc>
          <w:tcPr>
            <w:tcW w:w="72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14,963</w:t>
            </w:r>
          </w:p>
        </w:tc>
        <w:tc>
          <w:tcPr>
            <w:tcW w:w="413" w:type="dxa"/>
            <w:tcBorders/>
            <w:shd w:fill="CFF0FC" w:val="clear"/>
            <w:vAlign w:val="center"/>
          </w:tcPr>
          <w:p>
            <w:pPr>
              <w:pStyle w:val="TableContents"/>
              <w:bidi w:val="0"/>
              <w:spacing w:before="0" w:after="283"/>
              <w:jc w:val="left"/>
              <w:rPr/>
            </w:pPr>
            <w:r>
              <w:rPr/>
              <w:t> </w:t>
            </w:r>
          </w:p>
        </w:tc>
      </w:tr>
      <w:tr>
        <w:trPr/>
        <w:tc>
          <w:tcPr>
            <w:tcW w:w="72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10,943</w:t>
            </w:r>
          </w:p>
        </w:tc>
        <w:tc>
          <w:tcPr>
            <w:tcW w:w="413" w:type="dxa"/>
            <w:tcBorders/>
            <w:shd w:fill="FFFFFF" w:val="clear"/>
            <w:vAlign w:val="center"/>
          </w:tcPr>
          <w:p>
            <w:pPr>
              <w:pStyle w:val="TableContents"/>
              <w:bidi w:val="0"/>
              <w:spacing w:before="0" w:after="283"/>
              <w:jc w:val="left"/>
              <w:rPr/>
            </w:pPr>
            <w:r>
              <w:rPr/>
              <w:t> </w:t>
            </w:r>
          </w:p>
        </w:tc>
      </w:tr>
      <w:tr>
        <w:trPr/>
        <w:tc>
          <w:tcPr>
            <w:tcW w:w="72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0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172,731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126,276</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0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vAlign w:val="center"/>
          </w:tcPr>
          <w:p>
            <w:pPr>
              <w:pStyle w:val="TableContents"/>
              <w:bidi w:val="0"/>
              <w:spacing w:before="0" w:after="283"/>
              <w:jc w:val="left"/>
              <w:rPr/>
            </w:pPr>
            <w:r>
              <w:rPr/>
              <w:t> </w:t>
            </w:r>
          </w:p>
        </w:tc>
        <w:tc>
          <w:tcPr>
            <w:tcW w:w="106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4" w:type="dxa"/>
            <w:gridSpan w:val="2"/>
            <w:tcBorders/>
            <w:shd w:fill="CFF0FC" w:val="clear"/>
            <w:vAlign w:val="center"/>
          </w:tcPr>
          <w:p>
            <w:pPr>
              <w:pStyle w:val="TableContents"/>
              <w:bidi w:val="0"/>
              <w:spacing w:before="0" w:after="283"/>
              <w:jc w:val="right"/>
              <w:rPr/>
            </w:pPr>
            <w:r>
              <w:rPr/>
              <w:t> </w:t>
            </w:r>
          </w:p>
        </w:tc>
        <w:tc>
          <w:tcPr>
            <w:tcW w:w="413" w:type="dxa"/>
            <w:tcBorders/>
            <w:shd w:fill="CFF0FC" w:val="clear"/>
            <w:vAlign w:val="center"/>
          </w:tcPr>
          <w:p>
            <w:pPr>
              <w:pStyle w:val="TableContents"/>
              <w:bidi w:val="0"/>
              <w:spacing w:before="0" w:after="283"/>
              <w:jc w:val="right"/>
              <w:rPr/>
            </w:pPr>
            <w:r>
              <w:rPr/>
              <w:t> </w:t>
            </w:r>
          </w:p>
        </w:tc>
      </w:tr>
      <w:tr>
        <w:trPr/>
        <w:tc>
          <w:tcPr>
            <w:tcW w:w="72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106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4" w:type="dxa"/>
            <w:gridSpan w:val="2"/>
            <w:tcBorders/>
            <w:shd w:fill="FFFFFF" w:val="clear"/>
            <w:vAlign w:val="center"/>
          </w:tcPr>
          <w:p>
            <w:pPr>
              <w:pStyle w:val="TableContents"/>
              <w:bidi w:val="0"/>
              <w:spacing w:before="0" w:after="283"/>
              <w:jc w:val="right"/>
              <w:rPr/>
            </w:pPr>
            <w:r>
              <w:rPr/>
              <w:t> </w:t>
            </w:r>
          </w:p>
        </w:tc>
        <w:tc>
          <w:tcPr>
            <w:tcW w:w="413" w:type="dxa"/>
            <w:tcBorders/>
            <w:shd w:fill="FFFFFF" w:val="clear"/>
            <w:vAlign w:val="center"/>
          </w:tcPr>
          <w:p>
            <w:pPr>
              <w:pStyle w:val="TableContents"/>
              <w:bidi w:val="0"/>
              <w:spacing w:before="0" w:after="283"/>
              <w:ind w:left="0" w:right="0" w:firstLine="200"/>
              <w:jc w:val="right"/>
              <w:rPr/>
            </w:pPr>
            <w:r>
              <w:rPr/>
              <w:t> </w:t>
            </w:r>
          </w:p>
        </w:tc>
      </w:tr>
      <w:tr>
        <w:trPr/>
        <w:tc>
          <w:tcPr>
            <w:tcW w:w="72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10,946</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72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18,287</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72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33,557</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62,790</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net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37,967</w:t>
            </w:r>
          </w:p>
        </w:tc>
        <w:tc>
          <w:tcPr>
            <w:tcW w:w="413" w:type="dxa"/>
            <w:tcBorders/>
            <w:shd w:fill="CFF0FC" w:val="clear"/>
            <w:vAlign w:val="center"/>
          </w:tcPr>
          <w:p>
            <w:pPr>
              <w:pStyle w:val="TableContents"/>
              <w:bidi w:val="0"/>
              <w:spacing w:before="0" w:after="283"/>
              <w:jc w:val="left"/>
              <w:rPr/>
            </w:pPr>
            <w:r>
              <w:rPr/>
              <w:t> </w:t>
            </w:r>
          </w:p>
        </w:tc>
      </w:tr>
      <w:tr>
        <w:trPr/>
        <w:tc>
          <w:tcPr>
            <w:tcW w:w="72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net of current portion</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20,440</w:t>
            </w:r>
          </w:p>
        </w:tc>
        <w:tc>
          <w:tcPr>
            <w:tcW w:w="413" w:type="dxa"/>
            <w:tcBorders/>
            <w:shd w:fill="FFFFFF" w:val="clear"/>
            <w:vAlign w:val="center"/>
          </w:tcPr>
          <w:p>
            <w:pPr>
              <w:pStyle w:val="TableContents"/>
              <w:bidi w:val="0"/>
              <w:spacing w:before="0" w:after="283"/>
              <w:jc w:val="left"/>
              <w:rPr/>
            </w:pPr>
            <w:r>
              <w:rPr/>
              <w:t> </w:t>
            </w:r>
          </w:p>
        </w:tc>
      </w:tr>
      <w:tr>
        <w:trPr/>
        <w:tc>
          <w:tcPr>
            <w:tcW w:w="72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4,130</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125,327</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0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Commitments and contingencies - Note 13</w:t>
            </w:r>
          </w:p>
        </w:tc>
        <w:tc>
          <w:tcPr>
            <w:tcW w:w="146" w:type="dxa"/>
            <w:tcBorders/>
            <w:shd w:fill="CFF0FC" w:val="clear"/>
            <w:vAlign w:val="center"/>
          </w:tcPr>
          <w:p>
            <w:pPr>
              <w:pStyle w:val="TableContents"/>
              <w:bidi w:val="0"/>
              <w:spacing w:before="0" w:after="283"/>
              <w:jc w:val="left"/>
              <w:rPr/>
            </w:pPr>
            <w:r>
              <w:rPr/>
              <w:t> </w:t>
            </w:r>
          </w:p>
        </w:tc>
        <w:tc>
          <w:tcPr>
            <w:tcW w:w="106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4" w:type="dxa"/>
            <w:gridSpan w:val="2"/>
            <w:tcBorders/>
            <w:shd w:fill="CFF0FC" w:val="clear"/>
            <w:vAlign w:val="center"/>
          </w:tcPr>
          <w:p>
            <w:pPr>
              <w:pStyle w:val="TableContents"/>
              <w:bidi w:val="0"/>
              <w:spacing w:before="0" w:after="283"/>
              <w:jc w:val="right"/>
              <w:rPr/>
            </w:pPr>
            <w:r>
              <w:rPr/>
              <w:t> </w:t>
            </w:r>
          </w:p>
        </w:tc>
        <w:tc>
          <w:tcPr>
            <w:tcW w:w="413" w:type="dxa"/>
            <w:tcBorders/>
            <w:shd w:fill="CFF0FC" w:val="clear"/>
            <w:vAlign w:val="center"/>
          </w:tcPr>
          <w:p>
            <w:pPr>
              <w:pStyle w:val="TableContents"/>
              <w:bidi w:val="0"/>
              <w:spacing w:before="0" w:after="283"/>
              <w:jc w:val="right"/>
              <w:rPr/>
            </w:pPr>
            <w:r>
              <w:rPr/>
              <w:t> </w:t>
            </w:r>
          </w:p>
        </w:tc>
      </w:tr>
      <w:tr>
        <w:trPr/>
        <w:tc>
          <w:tcPr>
            <w:tcW w:w="720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FFFFFF" w:val="clear"/>
            <w:vAlign w:val="center"/>
          </w:tcPr>
          <w:p>
            <w:pPr>
              <w:pStyle w:val="TableContents"/>
              <w:bidi w:val="0"/>
              <w:spacing w:before="0" w:after="283"/>
              <w:jc w:val="left"/>
              <w:rPr/>
            </w:pPr>
            <w:r>
              <w:rPr/>
              <w:t> </w:t>
            </w:r>
          </w:p>
        </w:tc>
        <w:tc>
          <w:tcPr>
            <w:tcW w:w="106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4" w:type="dxa"/>
            <w:gridSpan w:val="2"/>
            <w:tcBorders/>
            <w:shd w:fill="FFFFFF" w:val="clear"/>
            <w:vAlign w:val="center"/>
          </w:tcPr>
          <w:p>
            <w:pPr>
              <w:pStyle w:val="TableContents"/>
              <w:bidi w:val="0"/>
              <w:spacing w:before="0" w:after="283"/>
              <w:jc w:val="right"/>
              <w:rPr/>
            </w:pPr>
            <w:r>
              <w:rPr/>
              <w:t> </w:t>
            </w:r>
          </w:p>
        </w:tc>
        <w:tc>
          <w:tcPr>
            <w:tcW w:w="413" w:type="dxa"/>
            <w:tcBorders/>
            <w:shd w:fill="FFFFFF" w:val="clear"/>
            <w:vAlign w:val="center"/>
          </w:tcPr>
          <w:p>
            <w:pPr>
              <w:pStyle w:val="TableContents"/>
              <w:bidi w:val="0"/>
              <w:spacing w:before="0" w:after="283"/>
              <w:jc w:val="right"/>
              <w:rPr/>
            </w:pPr>
            <w:r>
              <w:rPr/>
              <w:t> </w:t>
            </w:r>
          </w:p>
        </w:tc>
      </w:tr>
      <w:tr>
        <w:trPr/>
        <w:tc>
          <w:tcPr>
            <w:tcW w:w="72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$0.00001 par value per share; 10,000,000 shares authorized and no shares issued and outstanding as of December 31, 2023 and December 31, 2022</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color w:val="000000"/>
              </w:rPr>
            </w:pPr>
            <w:r>
              <w:rPr>
                <w:color w:val="000000"/>
              </w:rPr>
              <w:t>—</w:t>
            </w:r>
          </w:p>
        </w:tc>
        <w:tc>
          <w:tcPr>
            <w:tcW w:w="413" w:type="dxa"/>
            <w:tcBorders/>
            <w:shd w:fill="CFF0FC" w:val="clear"/>
            <w:vAlign w:val="center"/>
          </w:tcPr>
          <w:p>
            <w:pPr>
              <w:pStyle w:val="TableContents"/>
              <w:bidi w:val="0"/>
              <w:spacing w:before="0" w:after="283"/>
              <w:jc w:val="left"/>
              <w:rPr/>
            </w:pPr>
            <w:r>
              <w:rPr/>
              <w:t> </w:t>
            </w:r>
          </w:p>
        </w:tc>
      </w:tr>
      <w:tr>
        <w:trPr/>
        <w:tc>
          <w:tcPr>
            <w:tcW w:w="72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$0.00001 par value per share; 400,000,000 shares authorized and 186,960,193 issued and outstanding as of December 31, 2023 and 200,000,000 shares authorized and 63,207,507 issued and outstanding as of December 31, 2022</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3" w:type="dxa"/>
            <w:tcBorders/>
            <w:shd w:fill="FFFFFF" w:val="clear"/>
            <w:vAlign w:val="center"/>
          </w:tcPr>
          <w:p>
            <w:pPr>
              <w:pStyle w:val="TableContents"/>
              <w:bidi w:val="0"/>
              <w:spacing w:before="0" w:after="283"/>
              <w:jc w:val="left"/>
              <w:rPr/>
            </w:pPr>
            <w:r>
              <w:rPr/>
              <w:t> </w:t>
            </w:r>
          </w:p>
        </w:tc>
      </w:tr>
      <w:tr>
        <w:trPr/>
        <w:tc>
          <w:tcPr>
            <w:tcW w:w="72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587,942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402,389</w:t>
            </w:r>
          </w:p>
        </w:tc>
        <w:tc>
          <w:tcPr>
            <w:tcW w:w="413" w:type="dxa"/>
            <w:tcBorders/>
            <w:shd w:fill="CFF0FC" w:val="clear"/>
            <w:vAlign w:val="center"/>
          </w:tcPr>
          <w:p>
            <w:pPr>
              <w:pStyle w:val="TableContents"/>
              <w:bidi w:val="0"/>
              <w:spacing w:before="0" w:after="283"/>
              <w:jc w:val="left"/>
              <w:rPr/>
            </w:pPr>
            <w:r>
              <w:rPr/>
              <w:t> </w:t>
            </w:r>
          </w:p>
        </w:tc>
      </w:tr>
      <w:tr>
        <w:trPr/>
        <w:tc>
          <w:tcPr>
            <w:tcW w:w="72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(513,007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(401,441</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0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172,731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126,276</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Taysha Gene Therapies,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jc w:val="left"/>
        <w:rPr/>
      </w:pPr>
      <w:r>
        <w:rPr/>
        <w:t> </w:t>
      </w:r>
    </w:p>
    <w:tbl>
      <w:tblPr>
        <w:tblW w:w="8854" w:type="dxa"/>
        <w:jc w:val="left"/>
        <w:tblInd w:w="0" w:type="dxa"/>
        <w:tblLayout w:type="fixed"/>
        <w:tblCellMar>
          <w:top w:w="28" w:type="dxa"/>
          <w:left w:w="28" w:type="dxa"/>
          <w:bottom w:w="28" w:type="dxa"/>
          <w:right w:w="28" w:type="dxa"/>
        </w:tblCellMar>
      </w:tblPr>
      <w:tblGrid>
        <w:gridCol w:w="5386"/>
        <w:gridCol w:w="146"/>
        <w:gridCol w:w="211"/>
        <w:gridCol w:w="1141"/>
        <w:gridCol w:w="166"/>
        <w:gridCol w:w="146"/>
        <w:gridCol w:w="211"/>
        <w:gridCol w:w="1036"/>
        <w:gridCol w:w="411"/>
      </w:tblGrid>
      <w:tr>
        <w:trPr/>
        <w:tc>
          <w:tcPr>
            <w:tcW w:w="5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3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w:t>
              <w:br/>
              <w:t>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w:t>
            </w:r>
          </w:p>
        </w:tc>
        <w:tc>
          <w:tcPr>
            <w:tcW w:w="411" w:type="dxa"/>
            <w:tcBorders/>
            <w:shd w:fill="CFF0FC" w:val="clear"/>
            <w:vAlign w:val="center"/>
          </w:tcPr>
          <w:p>
            <w:pPr>
              <w:pStyle w:val="TableContents"/>
              <w:bidi w:val="0"/>
              <w:spacing w:before="0" w:after="283"/>
              <w:jc w:val="left"/>
              <w:rPr/>
            </w:pPr>
            <w:r>
              <w:rPr/>
              <w:t> </w:t>
            </w:r>
          </w:p>
        </w:tc>
      </w:tr>
      <w:tr>
        <w:trPr/>
        <w:tc>
          <w:tcPr>
            <w:tcW w:w="53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ind w:left="0" w:right="0" w:firstLine="200"/>
              <w:jc w:val="center"/>
              <w:rPr/>
            </w:pPr>
            <w:r>
              <w:rPr/>
              <w:t> </w:t>
            </w:r>
          </w:p>
        </w:tc>
      </w:tr>
      <w:tr>
        <w:trPr/>
        <w:tc>
          <w:tcPr>
            <w:tcW w:w="53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91,169</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3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37,360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3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Impairment of long-lived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36,420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3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164,949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(162,447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3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(34,718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3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3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fair value of term loan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3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3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(3,798</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other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(111,566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(166,014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116,121,482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43,952,015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Taysha Gene Therapies,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857"/>
        <w:gridCol w:w="146"/>
        <w:gridCol w:w="146"/>
        <w:gridCol w:w="1006"/>
        <w:gridCol w:w="146"/>
        <w:gridCol w:w="146"/>
        <w:gridCol w:w="228"/>
        <w:gridCol w:w="403"/>
        <w:gridCol w:w="146"/>
        <w:gridCol w:w="146"/>
        <w:gridCol w:w="196"/>
        <w:gridCol w:w="691"/>
        <w:gridCol w:w="146"/>
        <w:gridCol w:w="146"/>
        <w:gridCol w:w="196"/>
        <w:gridCol w:w="751"/>
        <w:gridCol w:w="166"/>
        <w:gridCol w:w="146"/>
        <w:gridCol w:w="245"/>
        <w:gridCol w:w="940"/>
        <w:gridCol w:w="212"/>
      </w:tblGrid>
      <w:tr>
        <w:trPr/>
        <w:tc>
          <w:tcPr>
            <w:tcW w:w="38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85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5" w:type="dxa"/>
            <w:gridSpan w:val="2"/>
            <w:tcBorders/>
            <w:shd w:fill="FFFFFF" w:val="clear"/>
            <w:vAlign w:val="center"/>
          </w:tcPr>
          <w:p>
            <w:pPr>
              <w:pStyle w:val="TableContents"/>
              <w:bidi w:val="0"/>
              <w:spacing w:before="0" w:after="283"/>
              <w:jc w:val="center"/>
              <w:rPr/>
            </w:pPr>
            <w:r>
              <w:rPr/>
              <w:t> </w:t>
            </w:r>
          </w:p>
        </w:tc>
        <w:tc>
          <w:tcPr>
            <w:tcW w:w="212" w:type="dxa"/>
            <w:tcBorders/>
            <w:shd w:fill="FFFFFF" w:val="clear"/>
            <w:vAlign w:val="center"/>
          </w:tcPr>
          <w:p>
            <w:pPr>
              <w:pStyle w:val="TableContents"/>
              <w:bidi w:val="0"/>
              <w:spacing w:before="0" w:after="283"/>
              <w:jc w:val="center"/>
              <w:rPr/>
            </w:pPr>
            <w:r>
              <w:rPr/>
              <w:t> </w:t>
            </w:r>
          </w:p>
        </w:tc>
      </w:tr>
      <w:tr>
        <w:trPr/>
        <w:tc>
          <w:tcPr>
            <w:tcW w:w="385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5"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212" w:type="dxa"/>
            <w:tcBorders/>
            <w:shd w:fill="FFFFFF" w:val="clear"/>
            <w:vAlign w:val="center"/>
          </w:tcPr>
          <w:p>
            <w:pPr>
              <w:pStyle w:val="TableContents"/>
              <w:bidi w:val="0"/>
              <w:spacing w:before="0" w:after="283"/>
              <w:jc w:val="center"/>
              <w:rPr/>
            </w:pPr>
            <w:r>
              <w:rPr/>
              <w:t> </w:t>
            </w:r>
          </w:p>
        </w:tc>
      </w:tr>
      <w:tr>
        <w:trPr/>
        <w:tc>
          <w:tcPr>
            <w:tcW w:w="385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Stockholders' 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7"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38,473,945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0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331,032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(235,649</w:t>
            </w:r>
          </w:p>
        </w:tc>
        <w:tc>
          <w:tcPr>
            <w:tcW w:w="16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40"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95,383</w:t>
            </w:r>
          </w:p>
        </w:tc>
        <w:tc>
          <w:tcPr>
            <w:tcW w:w="212" w:type="dxa"/>
            <w:tcBorders/>
            <w:shd w:fill="CFF0FC" w:val="clear"/>
            <w:vAlign w:val="center"/>
          </w:tcPr>
          <w:p>
            <w:pPr>
              <w:pStyle w:val="TableContents"/>
              <w:bidi w:val="0"/>
              <w:spacing w:before="0" w:after="283"/>
              <w:jc w:val="left"/>
              <w:rPr/>
            </w:pPr>
            <w:r>
              <w:rPr/>
              <w:t> </w:t>
            </w:r>
          </w:p>
        </w:tc>
      </w:tr>
      <w:tr>
        <w:trPr/>
        <w:tc>
          <w:tcPr>
            <w:tcW w:w="385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 to beginning accumulated deficit from the adoption of ASC 842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w:t>
            </w:r>
          </w:p>
        </w:tc>
        <w:tc>
          <w:tcPr>
            <w:tcW w:w="212" w:type="dxa"/>
            <w:tcBorders/>
            <w:shd w:fill="FFFFFF" w:val="clear"/>
            <w:vAlign w:val="center"/>
          </w:tcPr>
          <w:p>
            <w:pPr>
              <w:pStyle w:val="TableContents"/>
              <w:bidi w:val="0"/>
              <w:spacing w:before="0" w:after="283"/>
              <w:jc w:val="left"/>
              <w:rPr/>
            </w:pPr>
            <w:r>
              <w:rPr/>
              <w:t> </w:t>
            </w:r>
          </w:p>
        </w:tc>
      </w:tr>
      <w:tr>
        <w:trPr/>
        <w:tc>
          <w:tcPr>
            <w:tcW w:w="385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18,275</w:t>
            </w:r>
          </w:p>
        </w:tc>
        <w:tc>
          <w:tcPr>
            <w:tcW w:w="212" w:type="dxa"/>
            <w:tcBorders/>
            <w:shd w:fill="CFF0FC" w:val="clear"/>
            <w:vAlign w:val="center"/>
          </w:tcPr>
          <w:p>
            <w:pPr>
              <w:pStyle w:val="TableContents"/>
              <w:bidi w:val="0"/>
              <w:spacing w:before="0" w:after="283"/>
              <w:jc w:val="left"/>
              <w:rPr/>
            </w:pPr>
            <w:r>
              <w:rPr/>
              <w:t> </w:t>
            </w:r>
          </w:p>
        </w:tc>
      </w:tr>
      <w:tr>
        <w:trPr/>
        <w:tc>
          <w:tcPr>
            <w:tcW w:w="385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to Astellas, net of offering costs of $187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7,266,342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13,764</w:t>
            </w:r>
          </w:p>
        </w:tc>
        <w:tc>
          <w:tcPr>
            <w:tcW w:w="212" w:type="dxa"/>
            <w:tcBorders/>
            <w:shd w:fill="FFFFFF" w:val="clear"/>
            <w:vAlign w:val="center"/>
          </w:tcPr>
          <w:p>
            <w:pPr>
              <w:pStyle w:val="TableContents"/>
              <w:bidi w:val="0"/>
              <w:spacing w:before="0" w:after="283"/>
              <w:jc w:val="left"/>
              <w:rPr/>
            </w:pPr>
            <w:r>
              <w:rPr/>
              <w:t> </w:t>
            </w:r>
          </w:p>
        </w:tc>
      </w:tr>
      <w:tr>
        <w:trPr/>
        <w:tc>
          <w:tcPr>
            <w:tcW w:w="385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a public offering, net of underwriting discount and other offering costs of $2,072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14,765,226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27,457</w:t>
            </w:r>
          </w:p>
        </w:tc>
        <w:tc>
          <w:tcPr>
            <w:tcW w:w="212" w:type="dxa"/>
            <w:tcBorders/>
            <w:shd w:fill="CFF0FC" w:val="clear"/>
            <w:vAlign w:val="center"/>
          </w:tcPr>
          <w:p>
            <w:pPr>
              <w:pStyle w:val="TableContents"/>
              <w:bidi w:val="0"/>
              <w:spacing w:before="0" w:after="283"/>
              <w:jc w:val="left"/>
              <w:rPr/>
            </w:pPr>
            <w:r>
              <w:rPr/>
              <w:t> </w:t>
            </w:r>
          </w:p>
        </w:tc>
      </w:tr>
      <w:tr>
        <w:trPr/>
        <w:tc>
          <w:tcPr>
            <w:tcW w:w="385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net of sales commissions and other offering costs of $392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11,609</w:t>
            </w:r>
          </w:p>
        </w:tc>
        <w:tc>
          <w:tcPr>
            <w:tcW w:w="212" w:type="dxa"/>
            <w:tcBorders/>
            <w:shd w:fill="FFFFFF" w:val="clear"/>
            <w:vAlign w:val="center"/>
          </w:tcPr>
          <w:p>
            <w:pPr>
              <w:pStyle w:val="TableContents"/>
              <w:bidi w:val="0"/>
              <w:spacing w:before="0" w:after="283"/>
              <w:jc w:val="left"/>
              <w:rPr/>
            </w:pPr>
            <w:r>
              <w:rPr/>
              <w:t> </w:t>
            </w:r>
          </w:p>
        </w:tc>
      </w:tr>
      <w:tr>
        <w:trPr/>
        <w:tc>
          <w:tcPr>
            <w:tcW w:w="385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vesting and settlement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628,921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color w:val="000000"/>
              </w:rPr>
            </w:pPr>
            <w:r>
              <w:rPr>
                <w:color w:val="000000"/>
              </w:rPr>
              <w:t>—</w:t>
            </w:r>
          </w:p>
        </w:tc>
        <w:tc>
          <w:tcPr>
            <w:tcW w:w="212" w:type="dxa"/>
            <w:tcBorders/>
            <w:shd w:fill="CFF0FC" w:val="clear"/>
            <w:vAlign w:val="center"/>
          </w:tcPr>
          <w:p>
            <w:pPr>
              <w:pStyle w:val="TableContents"/>
              <w:bidi w:val="0"/>
              <w:spacing w:before="0" w:after="283"/>
              <w:jc w:val="left"/>
              <w:rPr/>
            </w:pPr>
            <w:r>
              <w:rPr/>
              <w:t> </w:t>
            </w:r>
          </w:p>
        </w:tc>
      </w:tr>
      <w:tr>
        <w:trPr/>
        <w:tc>
          <w:tcPr>
            <w:tcW w:w="385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ESPP</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73,073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w:t>
            </w:r>
          </w:p>
        </w:tc>
        <w:tc>
          <w:tcPr>
            <w:tcW w:w="212" w:type="dxa"/>
            <w:tcBorders/>
            <w:shd w:fill="FFFFFF" w:val="clear"/>
            <w:vAlign w:val="center"/>
          </w:tcPr>
          <w:p>
            <w:pPr>
              <w:pStyle w:val="TableContents"/>
              <w:bidi w:val="0"/>
              <w:spacing w:before="0" w:after="283"/>
              <w:jc w:val="left"/>
              <w:rPr/>
            </w:pPr>
            <w:r>
              <w:rPr/>
              <w:t> </w:t>
            </w:r>
          </w:p>
        </w:tc>
      </w:tr>
      <w:tr>
        <w:trPr/>
        <w:tc>
          <w:tcPr>
            <w:tcW w:w="385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(166,014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(166,014</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857"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63,207,507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03"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402,389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(401,441</w:t>
            </w:r>
          </w:p>
        </w:tc>
        <w:tc>
          <w:tcPr>
            <w:tcW w:w="16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40"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949</w:t>
            </w:r>
          </w:p>
        </w:tc>
        <w:tc>
          <w:tcPr>
            <w:tcW w:w="212" w:type="dxa"/>
            <w:tcBorders/>
            <w:shd w:fill="CFF0FC" w:val="clear"/>
            <w:vAlign w:val="center"/>
          </w:tcPr>
          <w:p>
            <w:pPr>
              <w:pStyle w:val="TableContents"/>
              <w:bidi w:val="0"/>
              <w:spacing w:before="0" w:after="283"/>
              <w:jc w:val="left"/>
              <w:rPr/>
            </w:pPr>
            <w:r>
              <w:rPr/>
              <w:t> </w:t>
            </w:r>
          </w:p>
        </w:tc>
      </w:tr>
      <w:tr>
        <w:trPr/>
        <w:tc>
          <w:tcPr>
            <w:tcW w:w="385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7,905</w:t>
            </w:r>
          </w:p>
        </w:tc>
        <w:tc>
          <w:tcPr>
            <w:tcW w:w="212" w:type="dxa"/>
            <w:tcBorders/>
            <w:shd w:fill="FFFFFF" w:val="clear"/>
            <w:vAlign w:val="center"/>
          </w:tcPr>
          <w:p>
            <w:pPr>
              <w:pStyle w:val="TableContents"/>
              <w:bidi w:val="0"/>
              <w:spacing w:before="0" w:after="283"/>
              <w:jc w:val="left"/>
              <w:rPr/>
            </w:pPr>
            <w:r>
              <w:rPr/>
              <w:t> </w:t>
            </w:r>
          </w:p>
        </w:tc>
      </w:tr>
      <w:tr>
        <w:trPr/>
        <w:tc>
          <w:tcPr>
            <w:tcW w:w="385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private placement, net of placement agent commission and offering costs of $7,138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123,117,594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103,238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103,239</w:t>
            </w:r>
          </w:p>
        </w:tc>
        <w:tc>
          <w:tcPr>
            <w:tcW w:w="212" w:type="dxa"/>
            <w:tcBorders/>
            <w:shd w:fill="CFF0FC" w:val="clear"/>
            <w:vAlign w:val="center"/>
          </w:tcPr>
          <w:p>
            <w:pPr>
              <w:pStyle w:val="TableContents"/>
              <w:bidi w:val="0"/>
              <w:spacing w:before="0" w:after="283"/>
              <w:jc w:val="left"/>
              <w:rPr/>
            </w:pPr>
            <w:r>
              <w:rPr/>
              <w:t> </w:t>
            </w:r>
          </w:p>
        </w:tc>
      </w:tr>
      <w:tr>
        <w:trPr/>
        <w:tc>
          <w:tcPr>
            <w:tcW w:w="385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vesting and settlement of restricted stock units, net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566,772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color w:val="000000"/>
              </w:rPr>
            </w:pPr>
            <w:r>
              <w:rPr>
                <w:color w:val="000000"/>
              </w:rPr>
              <w:t>—</w:t>
            </w:r>
          </w:p>
        </w:tc>
        <w:tc>
          <w:tcPr>
            <w:tcW w:w="212" w:type="dxa"/>
            <w:tcBorders/>
            <w:shd w:fill="FFFFFF" w:val="clear"/>
            <w:vAlign w:val="center"/>
          </w:tcPr>
          <w:p>
            <w:pPr>
              <w:pStyle w:val="TableContents"/>
              <w:bidi w:val="0"/>
              <w:spacing w:before="0" w:after="283"/>
              <w:jc w:val="left"/>
              <w:rPr/>
            </w:pPr>
            <w:r>
              <w:rPr/>
              <w:t> </w:t>
            </w:r>
          </w:p>
        </w:tc>
      </w:tr>
      <w:tr>
        <w:trPr/>
        <w:tc>
          <w:tcPr>
            <w:tcW w:w="385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ESPP</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68,320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212" w:type="dxa"/>
            <w:tcBorders/>
            <w:shd w:fill="CFF0FC" w:val="clear"/>
            <w:vAlign w:val="center"/>
          </w:tcPr>
          <w:p>
            <w:pPr>
              <w:pStyle w:val="TableContents"/>
              <w:bidi w:val="0"/>
              <w:spacing w:before="0" w:after="283"/>
              <w:jc w:val="left"/>
              <w:rPr/>
            </w:pPr>
            <w:r>
              <w:rPr/>
              <w:t> </w:t>
            </w:r>
          </w:p>
        </w:tc>
      </w:tr>
      <w:tr>
        <w:trPr/>
        <w:tc>
          <w:tcPr>
            <w:tcW w:w="385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Reclassification of pre-funded warrants to equity classification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74,342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74,342</w:t>
            </w:r>
          </w:p>
        </w:tc>
        <w:tc>
          <w:tcPr>
            <w:tcW w:w="212" w:type="dxa"/>
            <w:tcBorders/>
            <w:shd w:fill="FFFFFF" w:val="clear"/>
            <w:vAlign w:val="center"/>
          </w:tcPr>
          <w:p>
            <w:pPr>
              <w:pStyle w:val="TableContents"/>
              <w:bidi w:val="0"/>
              <w:spacing w:before="0" w:after="283"/>
              <w:jc w:val="left"/>
              <w:rPr/>
            </w:pPr>
            <w:r>
              <w:rPr/>
              <w:t> </w:t>
            </w:r>
          </w:p>
        </w:tc>
      </w:tr>
      <w:tr>
        <w:trPr/>
        <w:tc>
          <w:tcPr>
            <w:tcW w:w="385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(111,566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(111,566</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857"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186,960,193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587,942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(513,007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74,937</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Taysha Gene Therapies,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6759"/>
        <w:gridCol w:w="146"/>
        <w:gridCol w:w="234"/>
        <w:gridCol w:w="936"/>
        <w:gridCol w:w="184"/>
        <w:gridCol w:w="162"/>
        <w:gridCol w:w="234"/>
        <w:gridCol w:w="936"/>
        <w:gridCol w:w="614"/>
      </w:tblGrid>
      <w:tr>
        <w:trPr/>
        <w:tc>
          <w:tcPr>
            <w:tcW w:w="67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675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 2023</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5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5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170" w:type="dxa"/>
            <w:gridSpan w:val="2"/>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1170" w:type="dxa"/>
            <w:gridSpan w:val="2"/>
            <w:tcBorders/>
            <w:shd w:fill="CFF0FC" w:val="clear"/>
            <w:vAlign w:val="center"/>
          </w:tcPr>
          <w:p>
            <w:pPr>
              <w:pStyle w:val="TableContents"/>
              <w:bidi w:val="0"/>
              <w:spacing w:before="0" w:after="283"/>
              <w:jc w:val="left"/>
              <w:rPr/>
            </w:pPr>
            <w:r>
              <w:rPr/>
              <w:t> </w:t>
            </w:r>
          </w:p>
        </w:tc>
        <w:tc>
          <w:tcPr>
            <w:tcW w:w="614" w:type="dxa"/>
            <w:tcBorders/>
            <w:shd w:fill="CFF0FC" w:val="clear"/>
            <w:vAlign w:val="center"/>
          </w:tcPr>
          <w:p>
            <w:pPr>
              <w:pStyle w:val="TableContents"/>
              <w:bidi w:val="0"/>
              <w:spacing w:before="0" w:after="283"/>
              <w:jc w:val="left"/>
              <w:rPr/>
            </w:pPr>
            <w:r>
              <w:rPr/>
              <w:t> </w:t>
            </w:r>
          </w:p>
        </w:tc>
      </w:tr>
      <w:tr>
        <w:trPr/>
        <w:tc>
          <w:tcPr>
            <w:tcW w:w="675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(111,566</w:t>
            </w:r>
          </w:p>
        </w:tc>
        <w:tc>
          <w:tcPr>
            <w:tcW w:w="1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(166,014</w:t>
            </w:r>
          </w:p>
        </w:tc>
        <w:tc>
          <w:tcPr>
            <w:tcW w:w="6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170" w:type="dxa"/>
            <w:gridSpan w:val="2"/>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left"/>
              <w:rPr/>
            </w:pPr>
            <w:r>
              <w:rPr/>
              <w:t> </w:t>
            </w:r>
          </w:p>
        </w:tc>
        <w:tc>
          <w:tcPr>
            <w:tcW w:w="1170" w:type="dxa"/>
            <w:gridSpan w:val="2"/>
            <w:tcBorders/>
            <w:shd w:fill="CFF0FC" w:val="clear"/>
            <w:vAlign w:val="center"/>
          </w:tcPr>
          <w:p>
            <w:pPr>
              <w:pStyle w:val="TableContents"/>
              <w:bidi w:val="0"/>
              <w:spacing w:before="0" w:after="283"/>
              <w:jc w:val="left"/>
              <w:rPr/>
            </w:pPr>
            <w:r>
              <w:rPr/>
              <w:t> </w:t>
            </w:r>
          </w:p>
        </w:tc>
        <w:tc>
          <w:tcPr>
            <w:tcW w:w="614" w:type="dxa"/>
            <w:tcBorders/>
            <w:shd w:fill="CFF0FC" w:val="clear"/>
            <w:vAlign w:val="center"/>
          </w:tcPr>
          <w:p>
            <w:pPr>
              <w:pStyle w:val="TableContents"/>
              <w:bidi w:val="0"/>
              <w:spacing w:before="0" w:after="283"/>
              <w:ind w:left="0" w:right="0" w:firstLine="200"/>
              <w:jc w:val="left"/>
              <w:rPr/>
            </w:pPr>
            <w:r>
              <w:rPr/>
              <w:t> </w:t>
            </w:r>
          </w:p>
        </w:tc>
      </w:tr>
      <w:tr>
        <w:trPr/>
        <w:tc>
          <w:tcPr>
            <w:tcW w:w="675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w:t>
            </w:r>
          </w:p>
        </w:tc>
        <w:tc>
          <w:tcPr>
            <w:tcW w:w="614" w:type="dxa"/>
            <w:tcBorders/>
            <w:shd w:fill="FFFFFF" w:val="clear"/>
            <w:vAlign w:val="center"/>
          </w:tcPr>
          <w:p>
            <w:pPr>
              <w:pStyle w:val="TableContents"/>
              <w:bidi w:val="0"/>
              <w:spacing w:before="0" w:after="283"/>
              <w:ind w:left="0" w:right="0" w:firstLine="200"/>
              <w:jc w:val="left"/>
              <w:rPr/>
            </w:pPr>
            <w:r>
              <w:rPr/>
              <w:t> </w:t>
            </w:r>
          </w:p>
        </w:tc>
      </w:tr>
      <w:tr>
        <w:trPr/>
        <w:tc>
          <w:tcPr>
            <w:tcW w:w="675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 license expense</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84"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614" w:type="dxa"/>
            <w:tcBorders/>
            <w:shd w:fill="CFF0FC" w:val="clear"/>
            <w:vAlign w:val="center"/>
          </w:tcPr>
          <w:p>
            <w:pPr>
              <w:pStyle w:val="TableContents"/>
              <w:bidi w:val="0"/>
              <w:spacing w:before="0" w:after="283"/>
              <w:ind w:left="0" w:right="0" w:firstLine="200"/>
              <w:jc w:val="left"/>
              <w:rPr/>
            </w:pPr>
            <w:r>
              <w:rPr/>
              <w:t> </w:t>
            </w:r>
          </w:p>
        </w:tc>
      </w:tr>
      <w:tr>
        <w:trPr/>
        <w:tc>
          <w:tcPr>
            <w:tcW w:w="675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7,905</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18,043</w:t>
            </w:r>
          </w:p>
        </w:tc>
        <w:tc>
          <w:tcPr>
            <w:tcW w:w="614" w:type="dxa"/>
            <w:tcBorders/>
            <w:shd w:fill="FFFFFF" w:val="clear"/>
            <w:vAlign w:val="center"/>
          </w:tcPr>
          <w:p>
            <w:pPr>
              <w:pStyle w:val="TableContents"/>
              <w:bidi w:val="0"/>
              <w:spacing w:before="0" w:after="283"/>
              <w:ind w:left="0" w:right="0" w:firstLine="200"/>
              <w:jc w:val="left"/>
              <w:rPr/>
            </w:pPr>
            <w:r>
              <w:rPr/>
              <w:t> </w:t>
            </w:r>
          </w:p>
        </w:tc>
      </w:tr>
      <w:tr>
        <w:trPr/>
        <w:tc>
          <w:tcPr>
            <w:tcW w:w="675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34,718</w:t>
            </w:r>
          </w:p>
        </w:tc>
        <w:tc>
          <w:tcPr>
            <w:tcW w:w="184"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color w:val="000000"/>
              </w:rPr>
            </w:pPr>
            <w:r>
              <w:rPr>
                <w:color w:val="000000"/>
              </w:rPr>
              <w:t>—</w:t>
            </w:r>
          </w:p>
        </w:tc>
        <w:tc>
          <w:tcPr>
            <w:tcW w:w="614" w:type="dxa"/>
            <w:tcBorders/>
            <w:shd w:fill="CFF0FC" w:val="clear"/>
            <w:vAlign w:val="center"/>
          </w:tcPr>
          <w:p>
            <w:pPr>
              <w:pStyle w:val="TableContents"/>
              <w:bidi w:val="0"/>
              <w:spacing w:before="0" w:after="283"/>
              <w:ind w:left="0" w:right="0" w:firstLine="200"/>
              <w:jc w:val="left"/>
              <w:rPr/>
            </w:pPr>
            <w:r>
              <w:rPr/>
              <w:t> </w:t>
            </w:r>
          </w:p>
        </w:tc>
      </w:tr>
      <w:tr>
        <w:trPr/>
        <w:tc>
          <w:tcPr>
            <w:tcW w:w="675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Issuance costs for pre-funded warrant liability</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color w:val="000000"/>
              </w:rPr>
            </w:pPr>
            <w:r>
              <w:rPr>
                <w:color w:val="000000"/>
              </w:rPr>
              <w:t>—</w:t>
            </w:r>
          </w:p>
        </w:tc>
        <w:tc>
          <w:tcPr>
            <w:tcW w:w="614" w:type="dxa"/>
            <w:tcBorders/>
            <w:shd w:fill="FFFFFF" w:val="clear"/>
            <w:vAlign w:val="center"/>
          </w:tcPr>
          <w:p>
            <w:pPr>
              <w:pStyle w:val="TableContents"/>
              <w:bidi w:val="0"/>
              <w:spacing w:before="0" w:after="283"/>
              <w:ind w:left="0" w:right="0" w:firstLine="200"/>
              <w:jc w:val="left"/>
              <w:rPr/>
            </w:pPr>
            <w:r>
              <w:rPr/>
              <w:t> </w:t>
            </w:r>
          </w:p>
        </w:tc>
      </w:tr>
      <w:tr>
        <w:trPr/>
        <w:tc>
          <w:tcPr>
            <w:tcW w:w="675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Non-cash loss on debt extinguishment</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w:t>
            </w:r>
          </w:p>
        </w:tc>
        <w:tc>
          <w:tcPr>
            <w:tcW w:w="184"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color w:val="000000"/>
              </w:rPr>
            </w:pPr>
            <w:r>
              <w:rPr>
                <w:color w:val="000000"/>
              </w:rPr>
              <w:t>—</w:t>
            </w:r>
          </w:p>
        </w:tc>
        <w:tc>
          <w:tcPr>
            <w:tcW w:w="614" w:type="dxa"/>
            <w:tcBorders/>
            <w:shd w:fill="CFF0FC" w:val="clear"/>
            <w:vAlign w:val="center"/>
          </w:tcPr>
          <w:p>
            <w:pPr>
              <w:pStyle w:val="TableContents"/>
              <w:bidi w:val="0"/>
              <w:spacing w:before="0" w:after="283"/>
              <w:ind w:left="0" w:right="0" w:firstLine="200"/>
              <w:jc w:val="left"/>
              <w:rPr/>
            </w:pPr>
            <w:r>
              <w:rPr/>
              <w:t> </w:t>
            </w:r>
          </w:p>
        </w:tc>
      </w:tr>
      <w:tr>
        <w:trPr/>
        <w:tc>
          <w:tcPr>
            <w:tcW w:w="675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Non-cash change in fair value of term loan</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color w:val="000000"/>
              </w:rPr>
            </w:pPr>
            <w:r>
              <w:rPr>
                <w:color w:val="000000"/>
              </w:rPr>
              <w:t>—</w:t>
            </w:r>
          </w:p>
        </w:tc>
        <w:tc>
          <w:tcPr>
            <w:tcW w:w="614" w:type="dxa"/>
            <w:tcBorders/>
            <w:shd w:fill="FFFFFF" w:val="clear"/>
            <w:vAlign w:val="center"/>
          </w:tcPr>
          <w:p>
            <w:pPr>
              <w:pStyle w:val="TableContents"/>
              <w:bidi w:val="0"/>
              <w:spacing w:before="0" w:after="283"/>
              <w:ind w:left="0" w:right="0" w:firstLine="200"/>
              <w:jc w:val="left"/>
              <w:rPr/>
            </w:pPr>
            <w:r>
              <w:rPr/>
              <w:t> </w:t>
            </w:r>
          </w:p>
        </w:tc>
      </w:tr>
      <w:tr>
        <w:trPr/>
        <w:tc>
          <w:tcPr>
            <w:tcW w:w="675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Debt issuance costs expensed under the fair value option</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w:t>
            </w:r>
          </w:p>
        </w:tc>
        <w:tc>
          <w:tcPr>
            <w:tcW w:w="184"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color w:val="000000"/>
              </w:rPr>
            </w:pPr>
            <w:r>
              <w:rPr>
                <w:color w:val="000000"/>
              </w:rPr>
              <w:t>—</w:t>
            </w:r>
          </w:p>
        </w:tc>
        <w:tc>
          <w:tcPr>
            <w:tcW w:w="614" w:type="dxa"/>
            <w:tcBorders/>
            <w:shd w:fill="CFF0FC" w:val="clear"/>
            <w:vAlign w:val="center"/>
          </w:tcPr>
          <w:p>
            <w:pPr>
              <w:pStyle w:val="TableContents"/>
              <w:bidi w:val="0"/>
              <w:spacing w:before="0" w:after="283"/>
              <w:ind w:left="0" w:right="0" w:firstLine="200"/>
              <w:jc w:val="left"/>
              <w:rPr/>
            </w:pPr>
            <w:r>
              <w:rPr/>
              <w:t> </w:t>
            </w:r>
          </w:p>
        </w:tc>
      </w:tr>
      <w:tr>
        <w:trPr/>
        <w:tc>
          <w:tcPr>
            <w:tcW w:w="675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Impairment of long-lived assets</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36,420</w:t>
            </w:r>
          </w:p>
        </w:tc>
        <w:tc>
          <w:tcPr>
            <w:tcW w:w="614" w:type="dxa"/>
            <w:tcBorders/>
            <w:shd w:fill="FFFFFF" w:val="clear"/>
            <w:vAlign w:val="center"/>
          </w:tcPr>
          <w:p>
            <w:pPr>
              <w:pStyle w:val="TableContents"/>
              <w:bidi w:val="0"/>
              <w:spacing w:before="0" w:after="283"/>
              <w:ind w:left="0" w:right="0" w:firstLine="200"/>
              <w:jc w:val="left"/>
              <w:rPr/>
            </w:pPr>
            <w:r>
              <w:rPr/>
              <w:t> </w:t>
            </w:r>
          </w:p>
        </w:tc>
      </w:tr>
      <w:tr>
        <w:trPr/>
        <w:tc>
          <w:tcPr>
            <w:tcW w:w="675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w:t>
            </w:r>
          </w:p>
        </w:tc>
        <w:tc>
          <w:tcPr>
            <w:tcW w:w="184"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w:t>
            </w:r>
          </w:p>
        </w:tc>
        <w:tc>
          <w:tcPr>
            <w:tcW w:w="614" w:type="dxa"/>
            <w:tcBorders/>
            <w:shd w:fill="CFF0FC" w:val="clear"/>
            <w:vAlign w:val="center"/>
          </w:tcPr>
          <w:p>
            <w:pPr>
              <w:pStyle w:val="TableContents"/>
              <w:bidi w:val="0"/>
              <w:spacing w:before="0" w:after="283"/>
              <w:ind w:left="0" w:right="0" w:firstLine="200"/>
              <w:jc w:val="left"/>
              <w:rPr/>
            </w:pPr>
            <w:r>
              <w:rPr/>
              <w:t> </w:t>
            </w:r>
          </w:p>
        </w:tc>
      </w:tr>
      <w:tr>
        <w:trPr/>
        <w:tc>
          <w:tcPr>
            <w:tcW w:w="675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w:t>
            </w:r>
          </w:p>
        </w:tc>
        <w:tc>
          <w:tcPr>
            <w:tcW w:w="614" w:type="dxa"/>
            <w:tcBorders/>
            <w:shd w:fill="FFFFFF" w:val="clear"/>
            <w:vAlign w:val="center"/>
          </w:tcPr>
          <w:p>
            <w:pPr>
              <w:pStyle w:val="TableContents"/>
              <w:bidi w:val="0"/>
              <w:spacing w:before="0" w:after="283"/>
              <w:ind w:left="0" w:right="0" w:firstLine="200"/>
              <w:jc w:val="left"/>
              <w:rPr/>
            </w:pPr>
            <w:r>
              <w:rPr/>
              <w:t> </w:t>
            </w:r>
          </w:p>
        </w:tc>
      </w:tr>
      <w:tr>
        <w:trPr/>
        <w:tc>
          <w:tcPr>
            <w:tcW w:w="675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1170" w:type="dxa"/>
            <w:gridSpan w:val="2"/>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left"/>
              <w:rPr/>
            </w:pPr>
            <w:r>
              <w:rPr/>
              <w:t> </w:t>
            </w:r>
          </w:p>
        </w:tc>
        <w:tc>
          <w:tcPr>
            <w:tcW w:w="1170" w:type="dxa"/>
            <w:gridSpan w:val="2"/>
            <w:tcBorders/>
            <w:shd w:fill="CFF0FC" w:val="clear"/>
            <w:vAlign w:val="center"/>
          </w:tcPr>
          <w:p>
            <w:pPr>
              <w:pStyle w:val="TableContents"/>
              <w:bidi w:val="0"/>
              <w:spacing w:before="0" w:after="283"/>
              <w:jc w:val="left"/>
              <w:rPr/>
            </w:pPr>
            <w:r>
              <w:rPr/>
              <w:t> </w:t>
            </w:r>
          </w:p>
        </w:tc>
        <w:tc>
          <w:tcPr>
            <w:tcW w:w="614" w:type="dxa"/>
            <w:tcBorders/>
            <w:shd w:fill="CFF0FC" w:val="clear"/>
            <w:vAlign w:val="center"/>
          </w:tcPr>
          <w:p>
            <w:pPr>
              <w:pStyle w:val="TableContents"/>
              <w:bidi w:val="0"/>
              <w:spacing w:before="0" w:after="283"/>
              <w:ind w:left="0" w:right="0" w:firstLine="400"/>
              <w:jc w:val="left"/>
              <w:rPr/>
            </w:pPr>
            <w:r>
              <w:rPr/>
              <w:t> </w:t>
            </w:r>
          </w:p>
        </w:tc>
      </w:tr>
      <w:tr>
        <w:trPr/>
        <w:tc>
          <w:tcPr>
            <w:tcW w:w="6759"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6,011</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w:t>
            </w:r>
          </w:p>
        </w:tc>
        <w:tc>
          <w:tcPr>
            <w:tcW w:w="614" w:type="dxa"/>
            <w:tcBorders/>
            <w:shd w:fill="FFFFFF" w:val="clear"/>
            <w:vAlign w:val="center"/>
          </w:tcPr>
          <w:p>
            <w:pPr>
              <w:pStyle w:val="TableContents"/>
              <w:bidi w:val="0"/>
              <w:spacing w:before="0" w:after="283"/>
              <w:ind w:left="0" w:right="0" w:firstLine="400"/>
              <w:jc w:val="left"/>
              <w:rPr/>
            </w:pPr>
            <w:r>
              <w:rPr/>
              <w:t> </w:t>
            </w:r>
          </w:p>
        </w:tc>
      </w:tr>
      <w:tr>
        <w:trPr/>
        <w:tc>
          <w:tcPr>
            <w:tcW w:w="6759"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w:t>
            </w:r>
          </w:p>
        </w:tc>
        <w:tc>
          <w:tcPr>
            <w:tcW w:w="1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(7,804</w:t>
            </w:r>
          </w:p>
        </w:tc>
        <w:tc>
          <w:tcPr>
            <w:tcW w:w="614"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59"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(6,277</w:t>
            </w:r>
          </w:p>
        </w:tc>
        <w:tc>
          <w:tcPr>
            <w:tcW w:w="1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(9,323</w:t>
            </w:r>
          </w:p>
        </w:tc>
        <w:tc>
          <w:tcPr>
            <w:tcW w:w="614"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59"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(15,451</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33,557</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5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(73,018</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(88,390</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vAlign w:val="center"/>
          </w:tcPr>
          <w:p>
            <w:pPr>
              <w:pStyle w:val="TableContents"/>
              <w:bidi w:val="0"/>
              <w:spacing w:before="0" w:after="283"/>
              <w:jc w:val="left"/>
              <w:rPr/>
            </w:pPr>
            <w:r>
              <w:rPr/>
              <w:t> </w:t>
            </w:r>
          </w:p>
        </w:tc>
        <w:tc>
          <w:tcPr>
            <w:tcW w:w="1170" w:type="dxa"/>
            <w:gridSpan w:val="2"/>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left"/>
              <w:rPr/>
            </w:pPr>
            <w:r>
              <w:rPr/>
              <w:t> </w:t>
            </w:r>
          </w:p>
        </w:tc>
        <w:tc>
          <w:tcPr>
            <w:tcW w:w="1170" w:type="dxa"/>
            <w:gridSpan w:val="2"/>
            <w:tcBorders/>
            <w:shd w:fill="CFF0FC" w:val="clear"/>
            <w:vAlign w:val="center"/>
          </w:tcPr>
          <w:p>
            <w:pPr>
              <w:pStyle w:val="TableContents"/>
              <w:bidi w:val="0"/>
              <w:spacing w:before="0" w:after="283"/>
              <w:jc w:val="left"/>
              <w:rPr/>
            </w:pPr>
            <w:r>
              <w:rPr/>
              <w:t> </w:t>
            </w:r>
          </w:p>
        </w:tc>
        <w:tc>
          <w:tcPr>
            <w:tcW w:w="614" w:type="dxa"/>
            <w:tcBorders/>
            <w:shd w:fill="CFF0FC" w:val="clear"/>
            <w:vAlign w:val="center"/>
          </w:tcPr>
          <w:p>
            <w:pPr>
              <w:pStyle w:val="TableContents"/>
              <w:bidi w:val="0"/>
              <w:spacing w:before="0" w:after="283"/>
              <w:jc w:val="left"/>
              <w:rPr/>
            </w:pPr>
            <w:r>
              <w:rPr/>
              <w:t> </w:t>
            </w:r>
          </w:p>
        </w:tc>
      </w:tr>
      <w:tr>
        <w:trPr/>
        <w:tc>
          <w:tcPr>
            <w:tcW w:w="675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research and development license</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(4,250</w:t>
            </w:r>
          </w:p>
        </w:tc>
        <w:tc>
          <w:tcPr>
            <w:tcW w:w="6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plant and equipment</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(3,869</w:t>
            </w:r>
          </w:p>
        </w:tc>
        <w:tc>
          <w:tcPr>
            <w:tcW w:w="1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(20,619</w:t>
            </w:r>
          </w:p>
        </w:tc>
        <w:tc>
          <w:tcPr>
            <w:tcW w:w="6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investing activities</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(7,352</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(24,930</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left"/>
              <w:rPr/>
            </w:pPr>
            <w:r>
              <w:rPr/>
              <w:t> </w:t>
            </w:r>
          </w:p>
        </w:tc>
        <w:tc>
          <w:tcPr>
            <w:tcW w:w="1170" w:type="dxa"/>
            <w:gridSpan w:val="2"/>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left"/>
              <w:rPr/>
            </w:pPr>
            <w:r>
              <w:rPr/>
              <w:t> </w:t>
            </w:r>
          </w:p>
        </w:tc>
      </w:tr>
      <w:tr>
        <w:trPr/>
        <w:tc>
          <w:tcPr>
            <w:tcW w:w="67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Trinity term loan, net</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39,550</w:t>
            </w:r>
          </w:p>
        </w:tc>
        <w:tc>
          <w:tcPr>
            <w:tcW w:w="184"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color w:val="000000"/>
              </w:rPr>
            </w:pPr>
            <w:r>
              <w:rPr>
                <w:color w:val="000000"/>
              </w:rPr>
              <w:t>—</w:t>
            </w:r>
          </w:p>
        </w:tc>
        <w:tc>
          <w:tcPr>
            <w:tcW w:w="614" w:type="dxa"/>
            <w:tcBorders/>
            <w:shd w:fill="CFF0FC" w:val="clear"/>
            <w:vAlign w:val="center"/>
          </w:tcPr>
          <w:p>
            <w:pPr>
              <w:pStyle w:val="TableContents"/>
              <w:bidi w:val="0"/>
              <w:spacing w:before="0" w:after="283"/>
              <w:jc w:val="left"/>
              <w:rPr/>
            </w:pPr>
            <w:r>
              <w:rPr/>
              <w:t> </w:t>
            </w:r>
          </w:p>
        </w:tc>
      </w:tr>
      <w:tr>
        <w:trPr/>
        <w:tc>
          <w:tcPr>
            <w:tcW w:w="675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issuance costs for term loan</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1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color w:val="000000"/>
              </w:rPr>
            </w:pPr>
            <w:r>
              <w:rPr>
                <w:color w:val="000000"/>
              </w:rPr>
              <w:t>—</w:t>
            </w:r>
          </w:p>
        </w:tc>
        <w:tc>
          <w:tcPr>
            <w:tcW w:w="614" w:type="dxa"/>
            <w:tcBorders/>
            <w:shd w:fill="FFFFFF" w:val="clear"/>
            <w:vAlign w:val="center"/>
          </w:tcPr>
          <w:p>
            <w:pPr>
              <w:pStyle w:val="TableContents"/>
              <w:bidi w:val="0"/>
              <w:spacing w:before="0" w:after="283"/>
              <w:jc w:val="left"/>
              <w:rPr/>
            </w:pPr>
            <w:r>
              <w:rPr/>
              <w:t> </w:t>
            </w:r>
          </w:p>
        </w:tc>
      </w:tr>
      <w:tr>
        <w:trPr/>
        <w:tc>
          <w:tcPr>
            <w:tcW w:w="67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of SVB term loan</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(43,000</w:t>
            </w:r>
          </w:p>
        </w:tc>
        <w:tc>
          <w:tcPr>
            <w:tcW w:w="1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color w:val="000000"/>
              </w:rPr>
            </w:pPr>
            <w:r>
              <w:rPr>
                <w:color w:val="000000"/>
              </w:rPr>
              <w:t>—</w:t>
            </w:r>
          </w:p>
        </w:tc>
        <w:tc>
          <w:tcPr>
            <w:tcW w:w="614" w:type="dxa"/>
            <w:tcBorders/>
            <w:shd w:fill="CFF0FC" w:val="clear"/>
            <w:vAlign w:val="center"/>
          </w:tcPr>
          <w:p>
            <w:pPr>
              <w:pStyle w:val="TableContents"/>
              <w:bidi w:val="0"/>
              <w:spacing w:before="0" w:after="283"/>
              <w:jc w:val="left"/>
              <w:rPr/>
            </w:pPr>
            <w:r>
              <w:rPr/>
              <w:t> </w:t>
            </w:r>
          </w:p>
        </w:tc>
      </w:tr>
      <w:tr>
        <w:trPr/>
        <w:tc>
          <w:tcPr>
            <w:tcW w:w="675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at-the-market offering, net of sales commissions and other offering costs</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color w:val="000000"/>
              </w:rPr>
            </w:pPr>
            <w:r>
              <w:rPr>
                <w:color w:val="000000"/>
              </w:rPr>
              <w:t>—</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11,640</w:t>
            </w:r>
          </w:p>
        </w:tc>
        <w:tc>
          <w:tcPr>
            <w:tcW w:w="614" w:type="dxa"/>
            <w:tcBorders/>
            <w:shd w:fill="FFFFFF" w:val="clear"/>
            <w:vAlign w:val="center"/>
          </w:tcPr>
          <w:p>
            <w:pPr>
              <w:pStyle w:val="TableContents"/>
              <w:bidi w:val="0"/>
              <w:spacing w:before="0" w:after="283"/>
              <w:jc w:val="left"/>
              <w:rPr/>
            </w:pPr>
            <w:r>
              <w:rPr/>
              <w:t> </w:t>
            </w:r>
          </w:p>
        </w:tc>
      </w:tr>
      <w:tr>
        <w:trPr/>
        <w:tc>
          <w:tcPr>
            <w:tcW w:w="67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public offering of common stock, net of sales commissions and other offering costs</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color w:val="000000"/>
              </w:rPr>
            </w:pPr>
            <w:r>
              <w:rPr>
                <w:color w:val="000000"/>
              </w:rPr>
              <w:t>—</w:t>
            </w:r>
          </w:p>
        </w:tc>
        <w:tc>
          <w:tcPr>
            <w:tcW w:w="184"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27,717</w:t>
            </w:r>
          </w:p>
        </w:tc>
        <w:tc>
          <w:tcPr>
            <w:tcW w:w="614" w:type="dxa"/>
            <w:tcBorders/>
            <w:shd w:fill="CFF0FC" w:val="clear"/>
            <w:vAlign w:val="center"/>
          </w:tcPr>
          <w:p>
            <w:pPr>
              <w:pStyle w:val="TableContents"/>
              <w:bidi w:val="0"/>
              <w:spacing w:before="0" w:after="283"/>
              <w:jc w:val="left"/>
              <w:rPr/>
            </w:pPr>
            <w:r>
              <w:rPr/>
              <w:t> </w:t>
            </w:r>
          </w:p>
        </w:tc>
      </w:tr>
      <w:tr>
        <w:trPr/>
        <w:tc>
          <w:tcPr>
            <w:tcW w:w="675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and pre-funded warrants from private placement, net of placement agent commissions and other offering costs</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140,290</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color w:val="000000"/>
              </w:rPr>
            </w:pPr>
            <w:r>
              <w:rPr>
                <w:color w:val="000000"/>
              </w:rPr>
              <w:t>—</w:t>
            </w:r>
          </w:p>
        </w:tc>
        <w:tc>
          <w:tcPr>
            <w:tcW w:w="614" w:type="dxa"/>
            <w:tcBorders/>
            <w:shd w:fill="FFFFFF" w:val="clear"/>
            <w:vAlign w:val="center"/>
          </w:tcPr>
          <w:p>
            <w:pPr>
              <w:pStyle w:val="TableContents"/>
              <w:bidi w:val="0"/>
              <w:spacing w:before="0" w:after="283"/>
              <w:jc w:val="left"/>
              <w:rPr/>
            </w:pPr>
            <w:r>
              <w:rPr/>
              <w:t> </w:t>
            </w:r>
          </w:p>
        </w:tc>
      </w:tr>
      <w:tr>
        <w:trPr/>
        <w:tc>
          <w:tcPr>
            <w:tcW w:w="67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to Astellas, net of offering costs</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color w:val="000000"/>
              </w:rPr>
            </w:pPr>
            <w:r>
              <w:rPr>
                <w:color w:val="000000"/>
              </w:rPr>
              <w:t>—</w:t>
            </w:r>
          </w:p>
        </w:tc>
        <w:tc>
          <w:tcPr>
            <w:tcW w:w="184"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13,887</w:t>
            </w:r>
          </w:p>
        </w:tc>
        <w:tc>
          <w:tcPr>
            <w:tcW w:w="614" w:type="dxa"/>
            <w:tcBorders/>
            <w:shd w:fill="CFF0FC" w:val="clear"/>
            <w:vAlign w:val="center"/>
          </w:tcPr>
          <w:p>
            <w:pPr>
              <w:pStyle w:val="TableContents"/>
              <w:bidi w:val="0"/>
              <w:spacing w:before="0" w:after="283"/>
              <w:jc w:val="left"/>
              <w:rPr/>
            </w:pPr>
            <w:r>
              <w:rPr/>
              <w:t> </w:t>
            </w:r>
          </w:p>
        </w:tc>
      </w:tr>
      <w:tr>
        <w:trPr/>
        <w:tc>
          <w:tcPr>
            <w:tcW w:w="675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from private placement, net of sales commissions</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color w:val="000000"/>
              </w:rPr>
            </w:pPr>
            <w:r>
              <w:rPr>
                <w:color w:val="000000"/>
              </w:rPr>
              <w:t>—</w:t>
            </w:r>
          </w:p>
        </w:tc>
        <w:tc>
          <w:tcPr>
            <w:tcW w:w="614" w:type="dxa"/>
            <w:tcBorders/>
            <w:shd w:fill="FFFFFF" w:val="clear"/>
            <w:vAlign w:val="center"/>
          </w:tcPr>
          <w:p>
            <w:pPr>
              <w:pStyle w:val="TableContents"/>
              <w:bidi w:val="0"/>
              <w:spacing w:before="0" w:after="283"/>
              <w:jc w:val="left"/>
              <w:rPr/>
            </w:pPr>
            <w:r>
              <w:rPr/>
              <w:t> </w:t>
            </w:r>
          </w:p>
        </w:tc>
      </w:tr>
      <w:tr>
        <w:trPr/>
        <w:tc>
          <w:tcPr>
            <w:tcW w:w="67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offering costs</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6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common stock issuances under ESPP</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614" w:type="dxa"/>
            <w:tcBorders/>
            <w:shd w:fill="FFFFFF" w:val="clear"/>
            <w:vAlign w:val="center"/>
          </w:tcPr>
          <w:p>
            <w:pPr>
              <w:pStyle w:val="TableContents"/>
              <w:bidi w:val="0"/>
              <w:spacing w:before="0" w:after="283"/>
              <w:jc w:val="left"/>
              <w:rPr/>
            </w:pPr>
            <w:r>
              <w:rPr/>
              <w:t> </w:t>
            </w:r>
          </w:p>
        </w:tc>
      </w:tr>
      <w:tr>
        <w:trPr/>
        <w:tc>
          <w:tcPr>
            <w:tcW w:w="67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financing activities</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136,393</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52,097</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5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increase (decrease)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56,023</w:t>
            </w:r>
          </w:p>
        </w:tc>
        <w:tc>
          <w:tcPr>
            <w:tcW w:w="184"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(61,223</w:t>
            </w:r>
          </w:p>
        </w:tc>
        <w:tc>
          <w:tcPr>
            <w:tcW w:w="6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cash equivalents and restricted cash at the beginning of the period</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90,517</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151,740</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5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cash equivalents and restricted cash at the end of the period</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146,540</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90,517</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59"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143,940</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87,880</w:t>
            </w:r>
          </w:p>
        </w:tc>
        <w:tc>
          <w:tcPr>
            <w:tcW w:w="614" w:type="dxa"/>
            <w:tcBorders/>
            <w:shd w:fill="FFFFFF" w:val="clear"/>
            <w:vAlign w:val="center"/>
          </w:tcPr>
          <w:p>
            <w:pPr>
              <w:pStyle w:val="TableContents"/>
              <w:bidi w:val="0"/>
              <w:spacing w:before="0" w:after="283"/>
              <w:ind w:left="0" w:right="0" w:firstLine="400"/>
              <w:jc w:val="left"/>
              <w:rPr/>
            </w:pPr>
            <w:r>
              <w:rPr/>
              <w:t> </w:t>
            </w:r>
          </w:p>
        </w:tc>
      </w:tr>
      <w:tr>
        <w:trPr/>
        <w:tc>
          <w:tcPr>
            <w:tcW w:w="6759"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5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cash equivalents and restricted cash at the end of the period</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146,540</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90,517</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5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CFF0FC" w:val="clear"/>
            <w:vAlign w:val="center"/>
          </w:tcPr>
          <w:p>
            <w:pPr>
              <w:pStyle w:val="TableContents"/>
              <w:bidi w:val="0"/>
              <w:spacing w:before="0" w:after="283"/>
              <w:jc w:val="left"/>
              <w:rPr/>
            </w:pPr>
            <w:r>
              <w:rPr/>
              <w:t> </w:t>
            </w:r>
          </w:p>
        </w:tc>
        <w:tc>
          <w:tcPr>
            <w:tcW w:w="1170" w:type="dxa"/>
            <w:gridSpan w:val="2"/>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left"/>
              <w:rPr/>
            </w:pPr>
            <w:r>
              <w:rPr/>
              <w:t> </w:t>
            </w:r>
          </w:p>
        </w:tc>
        <w:tc>
          <w:tcPr>
            <w:tcW w:w="1170" w:type="dxa"/>
            <w:gridSpan w:val="2"/>
            <w:tcBorders/>
            <w:shd w:fill="CFF0FC" w:val="clear"/>
            <w:vAlign w:val="center"/>
          </w:tcPr>
          <w:p>
            <w:pPr>
              <w:pStyle w:val="TableContents"/>
              <w:bidi w:val="0"/>
              <w:spacing w:before="0" w:after="283"/>
              <w:jc w:val="left"/>
              <w:rPr/>
            </w:pPr>
            <w:r>
              <w:rPr/>
              <w:t> </w:t>
            </w:r>
          </w:p>
        </w:tc>
        <w:tc>
          <w:tcPr>
            <w:tcW w:w="614" w:type="dxa"/>
            <w:tcBorders/>
            <w:shd w:fill="CFF0FC" w:val="clear"/>
            <w:vAlign w:val="center"/>
          </w:tcPr>
          <w:p>
            <w:pPr>
              <w:pStyle w:val="TableContents"/>
              <w:bidi w:val="0"/>
              <w:spacing w:before="0" w:after="283"/>
              <w:jc w:val="left"/>
              <w:rPr/>
            </w:pPr>
            <w:r>
              <w:rPr/>
              <w:t> </w:t>
            </w:r>
          </w:p>
        </w:tc>
      </w:tr>
      <w:tr>
        <w:trPr/>
        <w:tc>
          <w:tcPr>
            <w:tcW w:w="675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4,952</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w:t>
            </w:r>
          </w:p>
        </w:tc>
        <w:tc>
          <w:tcPr>
            <w:tcW w:w="614" w:type="dxa"/>
            <w:tcBorders/>
            <w:shd w:fill="FFFFFF" w:val="clear"/>
            <w:vAlign w:val="center"/>
          </w:tcPr>
          <w:p>
            <w:pPr>
              <w:pStyle w:val="TableContents"/>
              <w:bidi w:val="0"/>
              <w:spacing w:before="0" w:after="283"/>
              <w:jc w:val="left"/>
              <w:rPr/>
            </w:pPr>
            <w:r>
              <w:rPr/>
              <w:t> </w:t>
            </w:r>
          </w:p>
        </w:tc>
      </w:tr>
      <w:tr>
        <w:trPr/>
        <w:tc>
          <w:tcPr>
            <w:tcW w:w="675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investing and financing activities:</w:t>
            </w:r>
          </w:p>
        </w:tc>
        <w:tc>
          <w:tcPr>
            <w:tcW w:w="146" w:type="dxa"/>
            <w:tcBorders/>
            <w:shd w:fill="CFF0FC" w:val="clear"/>
            <w:vAlign w:val="center"/>
          </w:tcPr>
          <w:p>
            <w:pPr>
              <w:pStyle w:val="TableContents"/>
              <w:bidi w:val="0"/>
              <w:spacing w:before="0" w:after="283"/>
              <w:jc w:val="left"/>
              <w:rPr/>
            </w:pPr>
            <w:r>
              <w:rPr/>
              <w:t> </w:t>
            </w:r>
          </w:p>
        </w:tc>
        <w:tc>
          <w:tcPr>
            <w:tcW w:w="1170" w:type="dxa"/>
            <w:gridSpan w:val="2"/>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left"/>
              <w:rPr/>
            </w:pPr>
            <w:r>
              <w:rPr/>
              <w:t> </w:t>
            </w:r>
          </w:p>
        </w:tc>
        <w:tc>
          <w:tcPr>
            <w:tcW w:w="1170" w:type="dxa"/>
            <w:gridSpan w:val="2"/>
            <w:tcBorders/>
            <w:shd w:fill="CFF0FC" w:val="clear"/>
            <w:vAlign w:val="center"/>
          </w:tcPr>
          <w:p>
            <w:pPr>
              <w:pStyle w:val="TableContents"/>
              <w:bidi w:val="0"/>
              <w:spacing w:before="0" w:after="283"/>
              <w:jc w:val="right"/>
              <w:rPr/>
            </w:pPr>
            <w:r>
              <w:rPr/>
              <w:t> </w:t>
            </w:r>
          </w:p>
        </w:tc>
        <w:tc>
          <w:tcPr>
            <w:tcW w:w="614" w:type="dxa"/>
            <w:tcBorders/>
            <w:shd w:fill="CFF0FC" w:val="clear"/>
            <w:vAlign w:val="center"/>
          </w:tcPr>
          <w:p>
            <w:pPr>
              <w:pStyle w:val="TableContents"/>
              <w:bidi w:val="0"/>
              <w:spacing w:before="0" w:after="283"/>
              <w:jc w:val="right"/>
              <w:rPr/>
            </w:pPr>
            <w:r>
              <w:rPr/>
              <w:t> </w:t>
            </w:r>
          </w:p>
        </w:tc>
      </w:tr>
      <w:tr>
        <w:trPr/>
        <w:tc>
          <w:tcPr>
            <w:tcW w:w="675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Reclassification of warrants to additional paid-in capital</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74,342</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color w:val="000000"/>
              </w:rPr>
            </w:pPr>
            <w:r>
              <w:rPr>
                <w:color w:val="000000"/>
              </w:rPr>
              <w:t>—</w:t>
            </w:r>
          </w:p>
        </w:tc>
        <w:tc>
          <w:tcPr>
            <w:tcW w:w="614" w:type="dxa"/>
            <w:tcBorders/>
            <w:shd w:fill="FFFFFF" w:val="clear"/>
            <w:vAlign w:val="center"/>
          </w:tcPr>
          <w:p>
            <w:pPr>
              <w:pStyle w:val="TableContents"/>
              <w:bidi w:val="0"/>
              <w:spacing w:before="0" w:after="283"/>
              <w:jc w:val="left"/>
              <w:rPr/>
            </w:pPr>
            <w:r>
              <w:rPr/>
              <w:t> </w:t>
            </w:r>
          </w:p>
        </w:tc>
      </w:tr>
      <w:tr>
        <w:trPr/>
        <w:tc>
          <w:tcPr>
            <w:tcW w:w="67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Allocation of proceeds to Success Fee liability</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w:t>
            </w:r>
          </w:p>
        </w:tc>
        <w:tc>
          <w:tcPr>
            <w:tcW w:w="184"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color w:val="000000"/>
              </w:rPr>
            </w:pPr>
            <w:r>
              <w:rPr>
                <w:color w:val="000000"/>
              </w:rPr>
              <w:t>—</w:t>
            </w:r>
          </w:p>
        </w:tc>
        <w:tc>
          <w:tcPr>
            <w:tcW w:w="614" w:type="dxa"/>
            <w:tcBorders/>
            <w:shd w:fill="CFF0FC" w:val="clear"/>
            <w:vAlign w:val="center"/>
          </w:tcPr>
          <w:p>
            <w:pPr>
              <w:pStyle w:val="TableContents"/>
              <w:bidi w:val="0"/>
              <w:spacing w:before="0" w:after="283"/>
              <w:jc w:val="left"/>
              <w:rPr/>
            </w:pPr>
            <w:r>
              <w:rPr/>
              <w:t> </w:t>
            </w:r>
          </w:p>
        </w:tc>
      </w:tr>
      <w:tr>
        <w:trPr/>
        <w:tc>
          <w:tcPr>
            <w:tcW w:w="675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Recognition of asset retirement obligation</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color w:val="000000"/>
              </w:rPr>
            </w:pPr>
            <w:r>
              <w:rPr>
                <w:color w:val="000000"/>
              </w:rPr>
              <w:t>—</w:t>
            </w:r>
          </w:p>
        </w:tc>
        <w:tc>
          <w:tcPr>
            <w:tcW w:w="614" w:type="dxa"/>
            <w:tcBorders/>
            <w:shd w:fill="FFFFFF" w:val="clear"/>
            <w:vAlign w:val="center"/>
          </w:tcPr>
          <w:p>
            <w:pPr>
              <w:pStyle w:val="TableContents"/>
              <w:bidi w:val="0"/>
              <w:spacing w:before="0" w:after="283"/>
              <w:jc w:val="left"/>
              <w:rPr/>
            </w:pPr>
            <w:r>
              <w:rPr/>
              <w:t> </w:t>
            </w:r>
          </w:p>
        </w:tc>
      </w:tr>
      <w:tr>
        <w:trPr/>
        <w:tc>
          <w:tcPr>
            <w:tcW w:w="67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in accounts payable and accrued expenses</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color w:val="000000"/>
              </w:rPr>
            </w:pPr>
            <w:r>
              <w:rPr>
                <w:color w:val="000000"/>
              </w:rPr>
              <w:t>—</w:t>
            </w:r>
          </w:p>
        </w:tc>
        <w:tc>
          <w:tcPr>
            <w:tcW w:w="184"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4,002</w:t>
            </w:r>
          </w:p>
        </w:tc>
        <w:tc>
          <w:tcPr>
            <w:tcW w:w="614" w:type="dxa"/>
            <w:tcBorders/>
            <w:shd w:fill="CFF0FC" w:val="clear"/>
            <w:vAlign w:val="center"/>
          </w:tcPr>
          <w:p>
            <w:pPr>
              <w:pStyle w:val="TableContents"/>
              <w:bidi w:val="0"/>
              <w:spacing w:before="0" w:after="283"/>
              <w:jc w:val="left"/>
              <w:rPr/>
            </w:pPr>
            <w:r>
              <w:rPr/>
              <w:t> </w:t>
            </w:r>
          </w:p>
        </w:tc>
      </w:tr>
      <w:tr>
        <w:trPr/>
        <w:tc>
          <w:tcPr>
            <w:tcW w:w="675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obtained in exchange for lease liabilities</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color w:val="000000"/>
              </w:rPr>
            </w:pPr>
            <w:r>
              <w:rPr>
                <w:color w:val="000000"/>
              </w:rPr>
              <w:t>—</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23,432</w:t>
            </w:r>
          </w:p>
        </w:tc>
        <w:tc>
          <w:tcPr>
            <w:tcW w:w="614" w:type="dxa"/>
            <w:tcBorders/>
            <w:shd w:fill="FFFFFF" w:val="clear"/>
            <w:vAlign w:val="center"/>
          </w:tcPr>
          <w:p>
            <w:pPr>
              <w:pStyle w:val="TableContents"/>
              <w:bidi w:val="0"/>
              <w:spacing w:before="0" w:after="283"/>
              <w:jc w:val="left"/>
              <w:rPr/>
            </w:pPr>
            <w:r>
              <w:rPr/>
              <w:t> </w:t>
            </w:r>
          </w:p>
        </w:tc>
      </w:tr>
      <w:tr>
        <w:trPr/>
        <w:tc>
          <w:tcPr>
            <w:tcW w:w="67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Offering costs not yet paid</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84"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614" w:type="dxa"/>
            <w:tcBorders/>
            <w:shd w:fill="CFF0FC" w:val="clear"/>
            <w:vAlign w:val="center"/>
          </w:tcPr>
          <w:p>
            <w:pPr>
              <w:pStyle w:val="TableContents"/>
              <w:bidi w:val="0"/>
              <w:spacing w:before="0" w:after="283"/>
              <w:jc w:val="left"/>
              <w:rPr/>
            </w:pPr>
            <w:r>
              <w:rPr/>
              <w:t> </w:t>
            </w:r>
          </w:p>
        </w:tc>
      </w:tr>
      <w:tr>
        <w:trPr/>
        <w:tc>
          <w:tcPr>
            <w:tcW w:w="675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warrants in connection with private placement</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color w:val="000000"/>
              </w:rPr>
            </w:pPr>
            <w:r>
              <w:rPr>
                <w:color w:val="000000"/>
              </w:rPr>
              <w:t>—</w:t>
            </w:r>
          </w:p>
        </w:tc>
        <w:tc>
          <w:tcPr>
            <w:tcW w:w="614"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Taysha Gene Therapies,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1—Organization and Description of Business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Taysha Gene Therapies, Inc. (the “Company” or “Taysha”) was originally formed under the laws of the State of Texas on September 20, 2019. Taysha converted to a Delaware corporation on February 13, 2020, which had no impact to the Company’s par value or issued and authorized capital structure.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Taysha is a clinical-stage biotechnology company focused on advancing AAV-based gene therapies for severe monogenic diseases of the central nervous system.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Sales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5, 2021, the Company entered into a Sales Agreement (the “Sales Agreement”) with SVB Securities LLC (f/k/a SVB Leerink LLC) and Wells Fargo Securities, LLC (collectively, the “Sales Agents”), pursuant to which the Company may issue and sell, from time to time in its sole discretion, shares of its common stock having an aggregate offering price of up to $150.0 million through the Sales Agents. In March 2022, the Company amended the Sales Agreement to, among other things, include Goldman Sachs &amp; Co. LLC as an additional Sales Agent. The Sales Agents may sell common stock by any method permitted by law deemed to be an “at-the-market offering” as defined in Rule 415(a)(4) of the Securities Act, including sales made directly on or through the Nasdaq Global Select Market or any other existing trade market for the common stock, in negotiated transactions at market prices prevailing at the time of sale or at prices related to prevailing market prices, or any other method permitted by law. The Sales Agents are entitled to receive 3.0% of the gross sales price per share of common stock sold under the Sales Agreement. In April 2022, the Company sold 2,000,000 shares of common stock under the Sales Agreement and received $11.6 million in net proceeds. No other shares of common stock have been issued and sold pursuant to the Sales Agreement as of December 31, 2023.</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incurred operating losses since inception and expects to continue to incur significant operating losses for the foreseeable future and may never become profitable. As of December 31, 2023, the Company had an accumulated deficit of $513.0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Future capital requirements will depend on many factors, including the timing and extent of spending on research and development and the market acceptance of the Company’s products. The Company will need to obtain additional financing in order to complete clinical studies and launch and commercialize any product candidates for which it receives regulatory approval. There can be no assurance that such financing will be available or will be on terms acceptable to the Company. As of December 31, 2023, the Company had cash and cash equivalents of $143.9 million which the Company believes will be sufficient to fund its planned operations for a period of at least twelve months from the date of issuance of these consolidated financial statements. The Company has based this estimate on assumptions that may prove to be wrong, and its operating plan may change as a result of many factors currently unknown to it. As a result, the Company could deplete its capital resources sooner than it currently expects. The Company expects to finance its future cash needs through a combination of equity offerings, debt financings, collaborations, strategic alliances or licensing arrangements. If the Company is unable to obtain funding, the Company would be forced to delay, reduce or eliminate some or all of its research and development programs, preclinical and clinical testing or commercialization efforts, which could adversely affect its business prospects.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2—Significant Accounting Policies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financial statements have been prepared in conformity with accounting principles generally accepted in the United States of America (“U.S. GAAP”) as determined by the Financial Accounting Standards Board (“FASB”) Accounting Standards Codification (“ASC”) and include all adjustments necessary for the fair presentation of the Company’s financial position for the periods presented.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consolidated financial statements include the accounts of Taysha and its wholly owned subsidiaries. All intercompany transactions and balances have been eliminated in consolidation.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Emerging Growth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new accounting pronouncements are issued by the FASB, or other standard setting bodies and adopted by the Company as of the specified effective date. Unless otherwise discussed, the impact of recently issued standards that are not yet effective will not have a material impact on the Company’s financial statements upon adoption. Under the Jumpstart Our Business Startups Act of 2012, as amended, the Company meets the definition of an emerging growth company and has elected the extended transition period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complying with new or revised accounting standards, which delays the adoption of these accounting standards until they would apply to private companies.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The most significant estimates and assumptions in the Company’s financial statements relate to the determination of the fair value of the common stock prior to the IPO (as an input into stock-based compensation), estimating manufacturing accruals and accrued or prepaid research and development expenses, the measurement of impairment of long-lived assets, the valuation of the Trinity Term Loans that are carried at fair value, and the allocation of consideration received in connection with the Astellas Transactions.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from these estimates. To the extent there are material differences between the estimates and actual results, the Company’s future results of operations will be affected.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Risks and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risks common to companies in the biotechnology industry, including, but not limited to, development by the Company or its competitors of technological innovations, risks of failure of clinical studies, dependence on key personnel, protection of proprietary technology, compliance with government regulations, and ability to transition from preclinical manufacturing to commercial production of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product candidates require approvals from the FDA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materially adverse impact on the Company.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Segments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segments are identified as components of an enterprise about which separate discrete financial information is available for evaluation by the chief operating decision-maker in making decisions regarding resource allocation and assessing performance. The Company views its operations and manages its business as a single operating segment, which is the business of developing AAV-based gene therapies for the treatment of rare monogenic diseases of the central nervous system.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and 2022, the Company did not have any significant long-lived assets located outside of the United States.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recognizes revenue in accordance with ASC 606, </w:t>
      </w:r>
      <w:r>
        <w:rPr>
          <w:rFonts w:ascii="Times New Roman" w:hAnsi="Times New Roman"/>
          <w:i/>
          <w:color w:val="000000"/>
          <w:sz w:val="20"/>
        </w:rPr>
        <w:t>Revenue from Contracts with Customers</w:t>
      </w:r>
      <w:r>
        <w:rPr>
          <w:rFonts w:ascii="Times New Roman" w:hAnsi="Times New Roman"/>
          <w:color w:val="000000"/>
          <w:sz w:val="20"/>
        </w:rPr>
        <w:t xml:space="preserve">. Revenues consist of activities in connection with the Astellas Transactions, including the exclusive option to license intellectual property and the performance of research and development activities. See Note 7 for additional information.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evaluates the agreement to determine if the other party is a customer, and then determines the units of account within the agreement to determine which promised goods or services are distinct. In order for a promised good or service to be considered "distinct” under ASC 606, the customer can benefit from the good or service either on its own or together with other resources that are readily available to the customer (i.e., the good or service is capable of being distinct), and the entity’s promise to transfer the good or service to the customer is separately identifiable from other promises in the contract (i.e., the promise to transfer the good or service is distinct within the context of the contract).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any units of account that fall within the scope of ASC 606, where the other party is a customer, the Company (i) evaluates the separate performance obligation(s) under each contract, (ii) determines the transaction price, (iii) allocates the transaction price to each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performance obligation considering the estimated standalone selling prices of the services and (iv) recognizes revenue when, or as, the Company satisfies the performance obligation(s).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the inception of an arrangement that includes options for a customer to purchase additional services or products at agreed upon prices in the future, the Company evaluates whether each option provides a material right. An option that provides a material right will be accounted for as a separate performance obligation.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part of the accounting for arrangements under ASC 606, the Company must use significant judgment to determine the performance obligations, the transaction price, and the standalone selling price (“SSP”) for each performance obligation identified in the contract for the allocation of the transaction price. The SSP is the price at which an entity would sell a promised good or service separately to a customer. Management estimates the SSP of each of the identified performance obligations, maximizing the use of observable inputs. Because the Company has not sold the same goods or services in its contracts separately to any customers on a standalone basis, the Company utilizes similar observable transactions in the marketplace or estimates the SSP of each performance obligation in its customer arrangements at contract inception based on either (1) its estimate of costs to be incurred to fulfill its obligations associated with the performance obligation, plus a reasonable margin, or (2) an estimate that reflects the discount that the customer would obtain when exercising its option adjusted for (i) any discount that the customer could receive without exercising the option and (ii) the likelihood that the option will be exercised. The Company allocates the transaction price to each performance obligation in proportion to its SSP.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performance obligation is satisfied and revenue is recognized when “control” of the promised good or service is transferred, either over time or at a point in time, to the customer. A customer obtains control of a good or service if it has the ability to (1) direct its use and (2) obtain substantially all of the remaining benefits from 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Amounts received prior to satisfying the revenue recognition criteria listed above are recorded as deferred revenue in the accompanying consolidated balance sheets. Amounts expected to be recognized as revenue within 12 months of the balance sheet date are classified as current deferred revenue, including the amounts allocated to material rights which are subject to customer exercise at any point. Amounts not expected to be recognized as revenue within the following 12 months of the balance sheet date are classified as deferred revenue, net of current portion. The Company does not incur commission or other costs to fulfill customer contracts and as such, no capitalized contract costs are recorded on the consolidated balance sheets.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and cash equivalents consist of funds held in a standard checking account, a standard savings account and a money market fund. The Company considers all highly liquid investments with an original maturity of three months or less at the date of purchase to be cash equivalents. As of December 31, 2023, the Company had $142.4 million in cash equivalents. As of December 31, 2022, the Company had no cash equivalents.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Restricted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Restricted cash consists of cash that the Company has placed in an escrow account which is pledged as collateral under certain lease agreements and letters of credit.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Concentrations of Credit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instruments that potentially subject the Company to significant concentration of credit risk consist primarily of cash and cash equivalents. Periodically, the Company may maintain deposits in financial institutions in excess of government insured limits. On March 10, 2023, the California Department of Financial Protection and Innovation closed the Silicon Valley Bank, Santa Clara, California (“SVB”), and appointed the FDIC as receiver. On March 12, 2023, the Treasury Department announced that depositors of SVB will have access to all of their money starting March 13, 2023. On March 14, 2023, the Company regained access to the full amount of its cash that was deposited with SVB. Management believes that the Company is not exposed to significant credit risk as the Company’s deposits are held at financial institutions that management continues to believe to be of high credit quality. The Company has not experienced any losses on these deposits.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Fair Value of Financial Instruments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Company’s financial assets and liabilities are accounted for in accordance with ASC 820, </w:t>
      </w:r>
      <w:r>
        <w:rPr>
          <w:rFonts w:ascii="Times New Roman" w:hAnsi="Times New Roman"/>
          <w:i/>
          <w:color w:val="000000"/>
          <w:sz w:val="20"/>
        </w:rPr>
        <w:t>Fair Value Measurements</w:t>
      </w:r>
      <w:r>
        <w:rPr>
          <w:rFonts w:ascii="Times New Roman" w:hAnsi="Times New Roman"/>
          <w:color w:val="000000"/>
          <w:sz w:val="20"/>
        </w:rPr>
        <w:t xml:space="preserve"> which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value hierarchy requires an entity to maximize the use of observable inputs when measuring fair value and classifies those inputs into three levels: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1—Observable inputs, such as quoted prices in active markets for identical assets or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2—Inputs other than Level 1 inputs that are either directly or indirectly observable, such as quoted prices for similar assets or liabilities; quoted prices in markets that are not active; or other inputs that are observable or can be corroborated by observable market data for substantially the full term of the instrument’s anticipated life.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3—Unobservable inputs in which there is little or no market data, which require the reporting entity to develop its own assumptions.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extent the valuation is based on models or inputs that are less observable or unobservable in the market, the determination of fair values requires more judgment. Accordingly, the degree of judgment exercised by the Company in determining fair value is greatest for instruments categorized as Level 3. A financial instrument’s level within the fair value hierarchy is based on the lowest level of any input that is significant to the fair value measurement.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carrying values reported in the Company’s consolidated balance sheets for cash and cash equivalents, prepaid expenses and other current assets, accounts payable, accrued expenses and other current liabilities are reasonable estimates of their fair values due to the short-term nature of these items.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Fair Value Option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option provides an election that allows a company to irrevocably elect to record certain financial assets and liabilities at fair value on an instrument-by-instrument basis at initial recognition. The Company has elected to apply the fair value option to the Trinity Term Loans.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term loans accounted for under the fair value option election are each a debt host financial instrument containing embedded features that would otherwise be required to be bifurcated from the debt-host and recognized as separate derivative liabilities subject to initial and subsequent periodic estimated fair value measurements in accordance with GAAP. Notwithstanding, when the fair value option election is applied to financial liabilities, bifurcation of an embedded derivative is not required, and the financial liability is initially measured at its issue-date estimated fair value and then subsequently remeasured at estimated fair value on a recurring basis as of each reporting period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portion of the change in fair value attributed to a change in the instrument-specific credit risk is recognized as a component of other comprehensive income or loss if material and the remaining amount of the fair value adjustment is recognized as a component of other income (expense) in the consolidated statements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Deferred Offering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capitalizes costs directly associated with equity financings until such financings are consummated, at which time such costs are recorded in additional paid-in capital against the gross proceeds of the equity financings. Costs associated with the shelf registration statement on Form S-3, filed with the SEC on October 5, 2021 have been capitalized and will be reclassified to additional paid-in capital on a pro rata basis when the Company completes offerings under the shelf registration. At the end of the three-year term of the shelf registration, the remaining deferred offering costs, if any, will be charged to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Property, Plant and Equipment,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plant and equipment, net are stated at cost less accumulated depreciation and consist of computer equipment, laboratory equipment and leasehold improvements. Directly identifiable payroll and payroll-related costs incurred in connection with the build-out of the Company’s cGMP manufacturing facility were capitalized into the cost basis of the asset to the extent that such costs had been incurred to bring the asset to the condition and location for its intended use. Depreciation expense is recognized using the straight-line method over its estimated useful life of three to seven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retirement or sale, the cost of assets disposed of and the related accumulated depreciation are removed from the accounts and any resulting gain or loss is included in loss from operations. Expenditures for repairs and maintenance are charged to expense as incurred.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Effective January 1, 2022, the Company adopted ASC 842, </w:t>
      </w:r>
      <w:r>
        <w:rPr>
          <w:rFonts w:ascii="Times New Roman" w:hAnsi="Times New Roman"/>
          <w:i/>
          <w:color w:val="000000"/>
          <w:sz w:val="20"/>
        </w:rPr>
        <w:t xml:space="preserve">Leases </w:t>
      </w:r>
      <w:r>
        <w:rPr>
          <w:rFonts w:ascii="Times New Roman" w:hAnsi="Times New Roman"/>
          <w:color w:val="000000"/>
          <w:sz w:val="20"/>
        </w:rPr>
        <w:t>using the modified retrospective approach and utilizing the effective dates as its date of initial application.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the inception of an arrangement, the Company determines whether the arrangement is or contains a lease based on the unique facts and circumstances present in the arrangement. Leases with a term greater than one year are recognized on the balance sheet as right-of-use assets and short-term and long-term lease liabilities, as applicable.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Operating lease liabilities and their corresponding right-of-use assets are initially recorded based on the present value of lease payments over the expected remaining lease term. Certain adjustments to the right-of-use asset may be required for items such as incentives received. The interest rate implicit in lease contracts is typically not readily determinable. As a result, the Company utilizes its incremental borrowing rate to discount lease payments, which reflects the fixed rate at which the Company could borrow on a collateralized basis the amount of the lease payments in the same currency, for a similar term, in a similar economic environment. To estimate its incremental borrowing rate, a credit rating applicable to the Company is estimated using a synthetic credit rating analysis since the Company does not currently have a rating agency-based credit rating.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elected not to recognize leases with an original term of one year or less on the balance sheet. The Company typically only includes an initial lease term in its assessment of a lease arrangement. Options to renew a lease are not included in the Company’s assessment unless there is reasonable certainty that the Company will renew. Assumptions made by the Company at the commencement date are re-evaluated upon occurrence of certain events, including a lease modification. A lease modification results in a separate contract when the modification grants the lessee an additional right of use not included in the original lease and when lease payments increase commensurate with the standalone price for the additional right of use. When a lease modification results in a separate contract, it is accounted for in the same manner as a new lease.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elected to account for lease and non-lease components together as a single lease component for all underlying assets.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Assets Held for Sale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Assets and liabilities are classified as held for sale when all of the following criteria for a plan of sale have been met: (1) management, having the authority to approve the action, commits to a plan to sell the assets; (2) the assets are available for immediate sale, in their present condition, subject only to terms that are usual and customary for sales of such assets; (3) an active program to locate a buyer and other actions required to complete the plan to sell the assets have been initiated; (4) the sale of the assets is probable and is expected to be completed within one year; (5) the assets are being actively marketed for a price that is reasonable in relation to their current fair value; and (6) actions required to complete the plan indicate that it is unlikely that significant changes to the plan will be made or the plan will be withdrawn. When all of these criteria have been met, the assets and liabilities are classified as held for sale in the balance sheet. Assets classified as held for sale are reported at the lower of their carrying value or fair value less costs to sell. The Company recorded a partial impairment of $0.6 million during the year ended December 31, 2023 in connection with the classification of certain assets to assets held for sale. Depreciation and amortization of assets ceases upon designation as held for sale.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evaluates its long-lived assets, which consist of property, plant and equipment as well as right-of-use assets, for impairment whenever events or changes in circumstances indicate that the carrying amount of such assets may not be recoverable. Recoverability of assets to be held and used is measured by a comparison of the carrying amount of an asset to the future undiscounted net cash flows expected to be generated by the asset. If such assets are considered to be impaired, the impairment to be recognized is measured by the amount by which the carrying amount of the asset group exceeds the fair value of the asset group. In November 2022, the Company decided not to continue the build-out of the North Carolina manufacturing facility, resulting in a change in use of this asset group. The Company performed an undiscounted cash flow analysis over the long-lived assets associated with the manufacturing facility and determined that the carrying value of the asset group is not recoverable. Significant assumptions used to determine this non-recurring fair value measurement include the time to sublease the facility, the amount of sublease income expected to be generated over the remaining lease term, and the discount rate used to measure the present value of the net cash flows associated with this asset group. The impairment charge represented the entire amount of the asset group’s carrying amount as of the date of impairment. The Company recorded a non-cash impairment charge of $36.4 million (see Note 4) in connection with the North Carolina manufacturing facility which was allocated on a pro rata basis across the assets within the asset group.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Debt Issuance Costs</w:t>
      </w:r>
    </w:p>
    <w:p>
      <w:pPr>
        <w:pStyle w:val="TextBody"/>
        <w:bidi w:val="0"/>
        <w:jc w:val="left"/>
        <w:rPr>
          <w:rFonts w:ascii="Times New Roman" w:hAnsi="Times New Roman"/>
          <w:color w:val="000000"/>
          <w:sz w:val="20"/>
        </w:rPr>
      </w:pPr>
      <w:r>
        <w:rPr>
          <w:rFonts w:ascii="Times New Roman" w:hAnsi="Times New Roman"/>
          <w:color w:val="000000"/>
          <w:sz w:val="20"/>
        </w:rPr>
        <w:t xml:space="preserve">Debt issuance costs associated with the Term Loan Agreement (as defined in Note 6) are deferred and presented as a reduction to long-term debt. Debt issuance costs are amortized using the effective interest rate method over the term of the loan. Amortization of deferred debt issuance costs are included in interest expense in the consolidated statements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Debt issuance costs related to the Trinity Term Loans are expensed as incurred due to the election of the fair value option.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entered into research and development contracts with research institutions and other companies. These agreements are generally cancelable, and related payments are recorded as research and development expenses as incurred. Payments for these activities are based on the terms of the individual agreements, which may differ from the pattern of costs incurred, and are reflected on the consolidated balance sheets as prepaid or accrued expenses. The Company records accruals for estimated ongoing research costs. When evaluating the adequacy of the accrued liabilities, the Company analyzes progress of the studies, including the phase or completion of events, invoices received and contracted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costs primarily consist of payroll, stock-based compensation, certain manufacturing costs, laboratory costs and other supplies, and the cost to acquire third-party licenses. Costs incurred in obtaining technology licenses through asset acquisitions are charged to research and development expense if the licensed technology has not reached technological feasibility and has no alternative future use. Payments of such upfront license fees and subsequent development milestones are included as investing cash outflows in the consolidated statements of cash flows.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accounts for all stock-based payments to employees and non-employees, including grants of stock options, restricted stock awards, or RSAs, and restricted stock units, or RSUs, based on their respective grant date fair values. The Company estimates the fair value of stock option grants using the Black-Scholes option pricing model, which is affected principally by the estimated fair value of shares of the Company’s common stock and requires management to make a number of other assumptions, including the expected life of the option, the volatility of the underlying shares, the risk-free interest rate and expected dividends. Expected volatility is based on the historical share volatility of a set of comparable publicly traded companies over a period of time equal to the expected term of the options. Due to the lack of historical exercise history, the expected term of the Company’s stock options is determined using the “simplified” method. The risk-free interest rate is determined by reference to the U.S. Treasury yield curve in effect at the time of grant of the award for time periods approximately equal to the expected term of the award. Expected dividend yield is zero based on the fact that the Company has never paid cash dividends and does not expect to pay any cash dividends in the foreseeable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Prior to September 23, 2020, the fair value of common stock underlying the Company’s stock options, RSAs and RSUs was estimated by the Company’s board of directors considering, among other things, contemporaneous valuations of the Company’s common stock prepared by unrelated third-party valuation firms. After the IPO, the fair value of common stock is based on the closing price of the Company’s common stock as reported on the date of the grant.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RSAs and RSUs are valued based on the fair value of the Company’s common stock on the date of grant. The Company expenses stock-based compensation related to stock options, RSAs and RSUs which contain only service-based vesting conditions over the requisite service period using the straight-line method. For awards with both performance and service conditions, the Company recognizes expense based on the fair value of the performance awards over the estimated service period using the accelerated attribution method to the extent the achievement of the related performance criteria is estimated to be probable. At each reporting date, the Company evaluates whether any performance conditions related to a performance-based award have changed. The effect of any change in performance conditions is recognized as a cumulative catch-up adjustment in the period such change occurs. Stock-based compensation costs are initially recorded in research and development expense or general and administrative expense in the consolidated statements of operations in a manner consistent with the classification of the respective employee’s payroll costs. A portion of stock-based compensation expense that relates to employees who were directly involved in the buildout of the Company’s cGMP manufacturing facility have been capitalized into the cost basis of that asset to the extent that such costs were incurred to bring the asset to the condition and location for its intended use, prior to the Company's decision to cease continued build-out of this manufacturing facility. Forfeitures are recorded as they occur.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Warrants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accounts for warrants as either equity-classified or liability-classified instruments based on an assessment of the warrant’s specific terms and applicable authoritative guidance in FASB ASC 480, </w:t>
      </w:r>
      <w:r>
        <w:rPr>
          <w:rFonts w:ascii="Times New Roman" w:hAnsi="Times New Roman"/>
          <w:i/>
          <w:color w:val="000000"/>
          <w:sz w:val="20"/>
        </w:rPr>
        <w:t>Distinguishing Liabilities from Equity</w:t>
      </w:r>
      <w:r>
        <w:rPr>
          <w:rFonts w:ascii="Times New Roman" w:hAnsi="Times New Roman"/>
          <w:color w:val="000000"/>
          <w:sz w:val="20"/>
        </w:rPr>
        <w:t xml:space="preserve"> (“ASC 480”) and ASC 815, </w:t>
      </w:r>
      <w:r>
        <w:rPr>
          <w:rFonts w:ascii="Times New Roman" w:hAnsi="Times New Roman"/>
          <w:i/>
          <w:color w:val="000000"/>
          <w:sz w:val="20"/>
        </w:rPr>
        <w:t>Derivatives and Hedging</w:t>
      </w:r>
      <w:r>
        <w:rPr>
          <w:rFonts w:ascii="Times New Roman" w:hAnsi="Times New Roman"/>
          <w:color w:val="000000"/>
          <w:sz w:val="20"/>
        </w:rPr>
        <w:t xml:space="preserve">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shares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reporting period while the warrants are outstanding.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issued or modified warrants that meet all of the criteria for equity classification, the warrants are required to be recorded as a component of additional paid-in capital at the time of issuance, or when the conditions for equity classification are met, and are not remeasured. For issued or modified warrants that do not meet all the criteria for equity classification, the warrants are required to be recorded at their initial fair value on the date of issuance, and each balance sheet date thereafter. Liability-classified warrants are recorded at their fair value, and the Company adjusts such warrants to fair value at each reporting period. This liability is subject to remeasurement 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each balance sheet date until the warrants are exercised or expire, and any change in fair value is recognized in the Company’s consolidated statements of operations.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Income taxes are recorded in accordance with ASC 740, </w:t>
      </w:r>
      <w:r>
        <w:rPr>
          <w:rFonts w:ascii="Times New Roman" w:hAnsi="Times New Roman"/>
          <w:i/>
          <w:color w:val="000000"/>
          <w:sz w:val="20"/>
        </w:rPr>
        <w:t>Income Taxes</w:t>
      </w:r>
      <w:r>
        <w:rPr>
          <w:rFonts w:ascii="Times New Roman" w:hAnsi="Times New Roman"/>
          <w:color w:val="000000"/>
          <w:sz w:val="20"/>
        </w:rPr>
        <w:t xml:space="preserve"> (“ASC 740”), which provides for deferred taxes using an asset and liability approach.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bases of assets and liabilities using enacted tax rates in effect for the year in which the differences are expected to reverse, and net operating loss (“NOL”) carryforwards and research and development tax credit (“R&amp;D Credit”) carryforwards. Valuation allowances are provided, if based upon the weight of available evidence, it is more likely than not that some or all of the deferred tax assets will not be realized. The Company has recorded a full valuation allowance to reduce its net deferred income tax assets to zero. In the event the Company were to determine that it would be able to realize some or all of its deferred income tax assets in the future, an adjustment to the deferred income tax asset valuation allowance would increase income in the period such determination was made.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accounts for uncertain tax positions in accordance with the provisions of ASC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During the years ended December 31, 2023 and 2022, the Company recorded increases in the amount of gross unrecognized tax benefits of $0.4 million and $3.1 million, respectively. The Company also reduced its uncertain tax positions during 2023 by $7.8 million related to prior year positions largely as a result of the Section 382 ownership shift analysis performed during 2023 (see Note 12). The gross unrecognized tax benefits recorded as of December 31, 2023 were not material. The unrecognized tax benefits, if recognized, would not affect the effective income tax rate due to the valuation allowance that currently offsets deferred tax assets. The Company does not expect the unrecognized tax benefits to change significantly over the next 12 months. The Company would recognize any corresponding interest and penalties associated with its income tax positions in income tax expense. There was no income tax interest or penalties incurred for the years ended December 31, 2023 and 2022.</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Comprehensive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Comprehensive loss is equal to net loss as presented in the accompanying consolidated statements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February 2016, the FASB issued ASU No. 2016-02, </w:t>
      </w:r>
      <w:r>
        <w:rPr>
          <w:rFonts w:ascii="Times New Roman" w:hAnsi="Times New Roman"/>
          <w:i/>
          <w:color w:val="000000"/>
          <w:sz w:val="20"/>
        </w:rPr>
        <w:t xml:space="preserve">Leases </w:t>
      </w:r>
      <w:r>
        <w:rPr>
          <w:rFonts w:ascii="Times New Roman" w:hAnsi="Times New Roman"/>
          <w:color w:val="000000"/>
          <w:sz w:val="20"/>
        </w:rPr>
        <w:t>(Topic 842) ("ASU 2016-02"), as amended, with guidance regarding the accounting for and disclosure of leases. This update requires lessees to recognize the liabilities related to all leases, including operating leases, with a term greater than 12 months on the balance sheets. This update also requires lessees and lessors to disclose key information about their leasing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Effective January 1, 2022, the Company adopted ASU 2016-02 using the modified retrospective approach and utilizing the effective date as its date of initial application. As a result, prior periods are presented in accordance with the previous guidance in ASC 840. The Company elected the following practical expedients, which must be elected as a package and applied consistently to all of its leases at the transition date (including those for which the entity is a lessee or a lessor): i) the Company did not reassess whether any expired or existing contracts are or contain leases; ii) the Company did not reassess the lease classification for any expired or existing leases (that is, all existing leases that were classified as operating leases in accordance with ASC 840 are classified as operating leases, and all existing leases that were classified as capital leases in accordance with ASC 840 are classified as finance leases); and iii) the Company did not reassess initial direct costs for any existing leases. For leases that existed prior to the date of initial application of ASC 842 (which were previously classified as operating leases), a lessee may elect to use either the total lease term measured at lease inception under ASC 840 or the remaining lease term as of the date of initial application of ASC 842 in determining the period for which to measure its incremental borrowing rate. In transition to ASC 842, the Company utilized the remaining lease term of its leases in determining the appropriate incremental borrowing rates.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adoption of this standard resulted in the recognition of operating lease right-of-use assets and operating lease liabilities of $18.4 million and $19.1 million, respectively, on the Company’s consolidated balance sheet at adoption relating to its operating leases. The lease liabilities were determined based on the present value of the remaining minimum lease payments. Upon adoption of ASC 842, the Company also (i) derecognized the build-to-suit lease asset of $26.3 million previously presented in property, plant and equipment, (ii) derecognized the build-to-suit lease liability of $26.5 million, and (iii) eliminated $0.7 million of deferred rent liabilities and tenant improvement allowances as of January 1, 2022 as these liabilities are reflected in the operating lease right-of-use assets. In adopting ASU 2016-02, the Company recorded a total one-time adjustment of $0.2 million to the opening balance of accumulated deficit as of January 1, 2022 related to the de-recognition of the build-to-suit lease asset and related build-to-suit lease obligation. The adoption did not have a material impact on accumulated deficit or on the consolidated statements of operations and cash flows.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2023, the FASB issued ASU No. 2023-07, </w:t>
      </w:r>
      <w:r>
        <w:rPr>
          <w:rFonts w:ascii="Times New Roman" w:hAnsi="Times New Roman"/>
          <w:i/>
          <w:color w:val="000000"/>
          <w:sz w:val="20"/>
        </w:rPr>
        <w:t>Segment Reporting - Improvements to Reportable Segment Disclosures</w:t>
      </w:r>
      <w:r>
        <w:rPr>
          <w:rFonts w:ascii="Times New Roman" w:hAnsi="Times New Roman"/>
          <w:color w:val="000000"/>
          <w:sz w:val="20"/>
        </w:rPr>
        <w:t xml:space="preserve">, to improve segment disclosure requirements under ASC 280, </w:t>
      </w:r>
      <w:r>
        <w:rPr>
          <w:rFonts w:ascii="Times New Roman" w:hAnsi="Times New Roman"/>
          <w:i/>
          <w:color w:val="000000"/>
          <w:sz w:val="20"/>
        </w:rPr>
        <w:t>Segment Reporting</w:t>
      </w:r>
      <w:r>
        <w:rPr>
          <w:rFonts w:ascii="Times New Roman" w:hAnsi="Times New Roman"/>
          <w:color w:val="000000"/>
          <w:sz w:val="20"/>
        </w:rPr>
        <w:t>, through enhancing disclosures about significant segment expenses. The guidance requires entities to provide significant segment expenses that are regularly provided to the chief operating decision maker and other segment expenses included in each reported measure of segment profitability. The ASU also enhances interim segment reporting requirements by aligning interim disclosures with information that must be disclosed annually in accordance with ASC 280. The guidance is effective for annual periods beginning after December 15, 2023, and interim periods beginning after December 15, 2024, applied retrospectively with early adoption permitted. The Company is still evaluating the impact this ASU will have on its consolidated financial statements and related disclosures.</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3—Fair Value Measurements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financial instruments that are measured at fair value on a recurring basis consist of money market funds, the Trinity Term Loans, a success fee derivative liability and certain of the Company's warrant liabilities.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tables present information about the Company’s financial assets and liabilities measured at fair value on a recurring basis and indicate the level of the fair value hierarchy used to determine such fair values (in thousands):</w:t>
      </w:r>
    </w:p>
    <w:p>
      <w:pPr>
        <w:pStyle w:val="TextBody"/>
        <w:bidi w:val="0"/>
        <w:jc w:val="left"/>
        <w:rPr/>
      </w:pPr>
      <w:r>
        <w:rPr/>
        <w:t> </w:t>
      </w:r>
    </w:p>
    <w:tbl>
      <w:tblPr>
        <w:tblW w:w="8214" w:type="dxa"/>
        <w:jc w:val="left"/>
        <w:tblInd w:w="0" w:type="dxa"/>
        <w:tblLayout w:type="fixed"/>
        <w:tblCellMar>
          <w:top w:w="28" w:type="dxa"/>
          <w:left w:w="28" w:type="dxa"/>
          <w:bottom w:w="28" w:type="dxa"/>
          <w:right w:w="28" w:type="dxa"/>
        </w:tblCellMar>
      </w:tblPr>
      <w:tblGrid>
        <w:gridCol w:w="3541"/>
        <w:gridCol w:w="211"/>
        <w:gridCol w:w="781"/>
        <w:gridCol w:w="146"/>
        <w:gridCol w:w="146"/>
        <w:gridCol w:w="211"/>
        <w:gridCol w:w="781"/>
        <w:gridCol w:w="146"/>
        <w:gridCol w:w="146"/>
        <w:gridCol w:w="277"/>
        <w:gridCol w:w="458"/>
        <w:gridCol w:w="146"/>
        <w:gridCol w:w="146"/>
        <w:gridCol w:w="211"/>
        <w:gridCol w:w="676"/>
        <w:gridCol w:w="191"/>
      </w:tblGrid>
      <w:tr>
        <w:trPr/>
        <w:tc>
          <w:tcPr>
            <w:tcW w:w="3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vAlign w:val="center"/>
          </w:tcPr>
          <w:p>
            <w:pPr>
              <w:pStyle w:val="TableContents"/>
              <w:bidi w:val="0"/>
              <w:spacing w:before="0" w:after="283"/>
              <w:jc w:val="center"/>
              <w:rPr/>
            </w:pPr>
            <w:r>
              <w:rPr/>
              <w:t> </w:t>
            </w:r>
          </w:p>
        </w:tc>
        <w:tc>
          <w:tcPr>
            <w:tcW w:w="448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91" w:type="dxa"/>
            <w:tcBorders/>
            <w:shd w:fill="FFFFFF" w:val="clear"/>
            <w:vAlign w:val="center"/>
          </w:tcPr>
          <w:p>
            <w:pPr>
              <w:pStyle w:val="TableContents"/>
              <w:bidi w:val="0"/>
              <w:spacing w:before="0" w:after="283"/>
              <w:jc w:val="center"/>
              <w:rPr/>
            </w:pPr>
            <w:r>
              <w:rPr/>
              <w:t> </w:t>
            </w:r>
          </w:p>
        </w:tc>
      </w:tr>
      <w:tr>
        <w:trPr/>
        <w:tc>
          <w:tcPr>
            <w:tcW w:w="35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Cash equivalents – money market funds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54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Trinity Term Loans</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40,508</w:t>
            </w:r>
          </w:p>
        </w:tc>
        <w:tc>
          <w:tcPr>
            <w:tcW w:w="191" w:type="dxa"/>
            <w:tcBorders/>
            <w:shd w:fill="CFF0FC" w:val="cle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Success Fee Derivative liability</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7"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91" w:type="dxa"/>
            <w:tcBorders/>
            <w:shd w:fill="FFFFFF" w:val="clear"/>
            <w:vAlign w:val="center"/>
          </w:tcPr>
          <w:p>
            <w:pPr>
              <w:pStyle w:val="TableContents"/>
              <w:bidi w:val="0"/>
              <w:spacing w:before="0" w:after="283"/>
              <w:jc w:val="left"/>
              <w:rPr/>
            </w:pPr>
            <w:r>
              <w:rPr/>
              <w:t> </w:t>
            </w:r>
          </w:p>
        </w:tc>
      </w:tr>
      <w:tr>
        <w:trPr/>
        <w:tc>
          <w:tcPr>
            <w:tcW w:w="354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SSI Warrant liability</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41,762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classifies its money market funds, which are valued based on quoted market prices in an active market with no valuation adjustment, as Level 1 assets within the fair value hierarchy.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Trinity Term Loans and Success Fee liability are classified as Level 3 measurements under the fair value hierarchy as the fair values were determined based on significant inputs not observable in the market. The fair values were determined utilizing a probability-weighted income approach, including variables for the timing of a success event and other probability estimates. See Note 6 for additional information on the Trinity Term Loans and Success Fee.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uses the Black-Scholes-Merton option pricing model to determine the fair value of the SSI Warrants (as defined below). The Company classified its Pre-Funded Warrants (as defined below), which were valued using quoted prices of similar financial instruments in the market, as Level 2 liabilities at their issue date and through their reclassification date. During the year ended December 31, 2023, the Pre-Funded Warrants were reclassified to equity. See Note 10 for additional information on the SSI Warrants and the Pre-Funded Warrants.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4—Supplemental Financial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plant and equipment, net consisted of the following (in thousands):</w:t>
      </w:r>
    </w:p>
    <w:p>
      <w:pPr>
        <w:pStyle w:val="TextBody"/>
        <w:bidi w:val="0"/>
        <w:spacing w:before="120" w:after="283"/>
        <w:jc w:val="left"/>
        <w:rPr/>
      </w:pPr>
      <w:r>
        <w:rPr/>
        <w:t> </w:t>
      </w:r>
    </w:p>
    <w:tbl>
      <w:tblPr>
        <w:tblW w:w="6115" w:type="dxa"/>
        <w:jc w:val="left"/>
        <w:tblInd w:w="0" w:type="dxa"/>
        <w:tblLayout w:type="fixed"/>
        <w:tblCellMar>
          <w:top w:w="28" w:type="dxa"/>
          <w:left w:w="28" w:type="dxa"/>
          <w:bottom w:w="28" w:type="dxa"/>
          <w:right w:w="28" w:type="dxa"/>
        </w:tblCellMar>
      </w:tblPr>
      <w:tblGrid>
        <w:gridCol w:w="2926"/>
        <w:gridCol w:w="146"/>
        <w:gridCol w:w="299"/>
        <w:gridCol w:w="961"/>
        <w:gridCol w:w="166"/>
        <w:gridCol w:w="146"/>
        <w:gridCol w:w="299"/>
        <w:gridCol w:w="961"/>
        <w:gridCol w:w="21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2,091</w:t>
            </w:r>
          </w:p>
        </w:tc>
        <w:tc>
          <w:tcPr>
            <w:tcW w:w="21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2,868</w:t>
            </w:r>
          </w:p>
        </w:tc>
        <w:tc>
          <w:tcPr>
            <w:tcW w:w="21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w:t>
            </w:r>
          </w:p>
        </w:tc>
        <w:tc>
          <w:tcPr>
            <w:tcW w:w="21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w:t>
            </w:r>
          </w:p>
        </w:tc>
        <w:tc>
          <w:tcPr>
            <w:tcW w:w="21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16,605</w:t>
            </w:r>
          </w:p>
        </w:tc>
        <w:tc>
          <w:tcPr>
            <w:tcW w:w="21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November 2022, the Company recognized a non-cash impairment charge of $36.4 million for the manufacturing facility asset group, of which $26.3 million relates to construction in progress and finance lease right-of-use assets. The impairment charge was estimated using a discounted cash flow model and recorded in the consolidated statements of operations for the year ended December 31, 2022. Property, plant and equipment, net includes $1.0 million and $1.3 million of assets capitalized as finance leases as of December 31, 2023 and December 31, 2022,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Depreciation expense was $1.4 million and $1.2 million for the years ended December 31, 2023 and 2022,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year ended December 31, 2023, the Company committed to a plan to sell specific pieces of equipment originally intended for use in the Company’s manufacturing facility in Durham, NC. The Company determined that this equipment met the requirements to be classified as held for sale. The sale is expected to be completed within one year. During the year ended December 31, 2023, the Company recorded an impairment loss of $0.6 million which was the difference between the carrying value and its estimated fair value less cost to sell.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Accrued expenses and other current liabilities consisted of the following (in thousands):</w:t>
      </w:r>
    </w:p>
    <w:p>
      <w:pPr>
        <w:pStyle w:val="TextBody"/>
        <w:bidi w:val="0"/>
        <w:jc w:val="left"/>
        <w:rPr/>
      </w:pPr>
      <w:r>
        <w:rPr/>
        <w:t> </w:t>
      </w:r>
    </w:p>
    <w:tbl>
      <w:tblPr>
        <w:tblW w:w="7410" w:type="dxa"/>
        <w:jc w:val="left"/>
        <w:tblInd w:w="0" w:type="dxa"/>
        <w:tblLayout w:type="fixed"/>
        <w:tblCellMar>
          <w:top w:w="28" w:type="dxa"/>
          <w:left w:w="28" w:type="dxa"/>
          <w:bottom w:w="28" w:type="dxa"/>
          <w:right w:w="28" w:type="dxa"/>
        </w:tblCellMar>
      </w:tblPr>
      <w:tblGrid>
        <w:gridCol w:w="4261"/>
        <w:gridCol w:w="146"/>
        <w:gridCol w:w="299"/>
        <w:gridCol w:w="961"/>
        <w:gridCol w:w="146"/>
        <w:gridCol w:w="146"/>
        <w:gridCol w:w="299"/>
        <w:gridCol w:w="961"/>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8,190</w:t>
            </w:r>
          </w:p>
        </w:tc>
        <w:tc>
          <w:tcPr>
            <w:tcW w:w="19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w:t>
            </w:r>
          </w:p>
        </w:tc>
        <w:tc>
          <w:tcPr>
            <w:tcW w:w="191" w:type="dxa"/>
            <w:tcBorders/>
            <w:shd w:fill="FFFFFF" w:val="cle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trial</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w:t>
            </w:r>
          </w:p>
        </w:tc>
        <w:tc>
          <w:tcPr>
            <w:tcW w:w="19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current portion</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w:t>
            </w:r>
          </w:p>
        </w:tc>
        <w:tc>
          <w:tcPr>
            <w:tcW w:w="191" w:type="dxa"/>
            <w:tcBorders/>
            <w:shd w:fill="FFFFFF" w:val="cle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liability</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severance</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w:t>
            </w:r>
          </w:p>
        </w:tc>
        <w:tc>
          <w:tcPr>
            <w:tcW w:w="191" w:type="dxa"/>
            <w:tcBorders/>
            <w:shd w:fill="FFFFFF" w:val="cle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and consulting fees</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9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property, plant and equipment</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w:t>
            </w:r>
          </w:p>
        </w:tc>
        <w:tc>
          <w:tcPr>
            <w:tcW w:w="191" w:type="dxa"/>
            <w:tcBorders/>
            <w:shd w:fill="FFFFFF" w:val="cle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FFFFFF" w:val="clear"/>
            <w:vAlign w:val="center"/>
          </w:tcPr>
          <w:p>
            <w:pPr>
              <w:pStyle w:val="TableContents"/>
              <w:bidi w:val="0"/>
              <w:spacing w:before="0" w:after="283"/>
              <w:jc w:val="righ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Prepaid expenses and other current assets consisted of the following (in thousands):</w:t>
      </w:r>
    </w:p>
    <w:p>
      <w:pPr>
        <w:pStyle w:val="TextBody"/>
        <w:bidi w:val="0"/>
        <w:jc w:val="left"/>
        <w:rPr/>
      </w:pPr>
      <w:r>
        <w:rPr/>
        <w:t> </w:t>
      </w:r>
    </w:p>
    <w:tbl>
      <w:tblPr>
        <w:tblW w:w="7080" w:type="dxa"/>
        <w:jc w:val="left"/>
        <w:tblInd w:w="0" w:type="dxa"/>
        <w:tblLayout w:type="fixed"/>
        <w:tblCellMar>
          <w:top w:w="28" w:type="dxa"/>
          <w:left w:w="28" w:type="dxa"/>
          <w:bottom w:w="28" w:type="dxa"/>
          <w:right w:w="28" w:type="dxa"/>
        </w:tblCellMar>
      </w:tblPr>
      <w:tblGrid>
        <w:gridCol w:w="3931"/>
        <w:gridCol w:w="146"/>
        <w:gridCol w:w="339"/>
        <w:gridCol w:w="921"/>
        <w:gridCol w:w="146"/>
        <w:gridCol w:w="146"/>
        <w:gridCol w:w="339"/>
        <w:gridCol w:w="921"/>
        <w:gridCol w:w="1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research and development</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4,840</w:t>
            </w:r>
          </w:p>
        </w:tc>
        <w:tc>
          <w:tcPr>
            <w:tcW w:w="191" w:type="dxa"/>
            <w:tcBorders/>
            <w:shd w:fill="CFF0FC" w:val="clear"/>
            <w:vAlign w:val="center"/>
          </w:tcPr>
          <w:p>
            <w:pPr>
              <w:pStyle w:val="TableContents"/>
              <w:bidi w:val="0"/>
              <w:spacing w:before="0" w:after="283"/>
              <w:jc w:val="left"/>
              <w:rPr/>
            </w:pPr>
            <w:r>
              <w:rPr/>
              <w:t> </w:t>
            </w:r>
          </w:p>
        </w:tc>
      </w:tr>
      <w:tr>
        <w:trPr/>
        <w:tc>
          <w:tcPr>
            <w:tcW w:w="39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clinical trial</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w:t>
            </w:r>
          </w:p>
        </w:tc>
        <w:tc>
          <w:tcPr>
            <w:tcW w:w="191" w:type="dxa"/>
            <w:tcBorders/>
            <w:shd w:fill="FFFFFF" w:val="clear"/>
            <w:vAlign w:val="center"/>
          </w:tcPr>
          <w:p>
            <w:pPr>
              <w:pStyle w:val="TableContents"/>
              <w:bidi w:val="0"/>
              <w:spacing w:before="0" w:after="283"/>
              <w:jc w:val="left"/>
              <w:rPr/>
            </w:pPr>
            <w:r>
              <w:rPr/>
              <w:t> </w:t>
            </w:r>
          </w:p>
        </w:tc>
      </w:tr>
      <w:tr>
        <w:trPr/>
        <w:tc>
          <w:tcPr>
            <w:tcW w:w="39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offering costs</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191" w:type="dxa"/>
            <w:tcBorders/>
            <w:shd w:fill="CFF0FC" w:val="clear"/>
            <w:vAlign w:val="center"/>
          </w:tcPr>
          <w:p>
            <w:pPr>
              <w:pStyle w:val="TableContents"/>
              <w:bidi w:val="0"/>
              <w:spacing w:before="0" w:after="283"/>
              <w:jc w:val="left"/>
              <w:rPr/>
            </w:pPr>
            <w:r>
              <w:rPr/>
              <w:t> </w:t>
            </w:r>
          </w:p>
        </w:tc>
      </w:tr>
      <w:tr>
        <w:trPr/>
        <w:tc>
          <w:tcPr>
            <w:tcW w:w="39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91" w:type="dxa"/>
            <w:tcBorders/>
            <w:shd w:fill="FFFFFF" w:val="clear"/>
            <w:vAlign w:val="center"/>
          </w:tcPr>
          <w:p>
            <w:pPr>
              <w:pStyle w:val="TableContents"/>
              <w:bidi w:val="0"/>
              <w:spacing w:before="0" w:after="283"/>
              <w:jc w:val="left"/>
              <w:rPr/>
            </w:pPr>
            <w:r>
              <w:rPr/>
              <w:t> </w:t>
            </w:r>
          </w:p>
        </w:tc>
      </w:tr>
      <w:tr>
        <w:trPr/>
        <w:tc>
          <w:tcPr>
            <w:tcW w:w="39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FFFFFF" w:val="clear"/>
            <w:vAlign w:val="center"/>
          </w:tcPr>
          <w:p>
            <w:pPr>
              <w:pStyle w:val="TableContents"/>
              <w:bidi w:val="0"/>
              <w:spacing w:before="0" w:after="283"/>
              <w:jc w:val="righ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5—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leases certain office, laboratory, and manufacturing space.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Dallas Lease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11, 2021, the Company entered into a lease agreement (the “Dallas Lease”) with Pegasus Park, LLC, a Delaware limited liability company (the “Dallas Landlord”), pursuant to which the Company agreed to lease approximately 15,000 square feet of office space at 3000 Pegasus Park Drive, Dallas, Texas 75247 (the “Office Space”).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Dallas Lease commenced on May 27, 2021, and has a term of approximately ten years. The Company has an option to extend the term of the Dallas Lease for one additional period of five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Dallas Landlord has the right to terminate the Dallas Lease, or the Company’s right to possess the Office Space without terminating the Dallas Lease, upon specified events of default, including the Company’s failure to pay rent in a timely manner and upon the occurrence of certain events of insolvency with respect to the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Dallas Lease Expansion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14, 2021, the Company amended the Dallas Lease (the “Dallas Lease Amendment”) with the Dallas Landlord, pursuant to which the Company agreed to lease approximately 18,000 square feet of office space adjacent to the Office Space at 3000 Pegasus Park Drive, Dallas, Texas 75247 (the “Expansion Premises”).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Dallas Lease Amendment commenced on July 1, 2022, and has a term of ten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obligated to pay operating costs and utilities applicable to the Expansion Premises. Total future minimum lease payments under the Dallas Lease Amendment over the initial 10 year term are $6.0 million. The Company will be responsible for costs of constructing interior improvements within the Expansion Premises that exceed a $40.00 per rentable square foot construction allowance provided by the Dallas Landlord. </w:t>
      </w:r>
    </w:p>
    <w:p>
      <w:pPr>
        <w:pStyle w:val="TextBody"/>
        <w:bidi w:val="0"/>
        <w:spacing w:before="240" w:after="283"/>
        <w:jc w:val="left"/>
        <w:rPr>
          <w:rFonts w:ascii="Times New Roman" w:hAnsi="Times New Roman"/>
          <w:sz w:val="20"/>
        </w:rPr>
      </w:pPr>
      <w:r>
        <w:rPr>
          <w:rFonts w:ascii="Times New Roman" w:hAnsi="Times New Roman"/>
          <w:color w:val="000000"/>
          <w:sz w:val="20"/>
        </w:rPr>
        <w:t>The Company has a right of first refusal with respect to certain additional office space on the 15</w:t>
      </w:r>
      <w:r>
        <w:rPr>
          <w:rFonts w:ascii="Times New Roman" w:hAnsi="Times New Roman"/>
          <w:color w:val="000000"/>
          <w:sz w:val="13"/>
        </w:rPr>
        <w:t>th</w:t>
      </w:r>
      <w:r>
        <w:rPr>
          <w:rFonts w:ascii="Times New Roman" w:hAnsi="Times New Roman"/>
          <w:color w:val="000000"/>
          <w:sz w:val="20"/>
        </w:rPr>
        <w:t xml:space="preserve"> floor at 3000 Pegasus Park Drive, Dallas, Texas 75247 before the Dallas Landlord accepts any offer for such space.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Durham Lease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17, 2020, the Company entered into a lease agreement (the “Durham Lease”) with Patriot Park Partners II, LLC, a Delaware limited liability company (the “Durham Landlord”), pursuant to which the Company agreed to lease approximately 187,500 square feet of a manufacturing facility located at 5 National Way, Durham, North Carolina (the “Facility”). The Durham Lease commenced on April 1, 2021 and is expected to have a term of approximately fifteen years and six months. The Company has two options to extend the term of the Durham Lease, each for a period of an additional five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was not required to provide a security deposit in connection with its entry into the Durham Lease. The Company will be responsible for constructing interior improvements within the Facility. The Company was required to place $2.6 million in an escrow account which was to be released when the improvements were substantially complete. In December 2023, the Company entered into an agreement with the landlord whereby the Company agreed to remove specified leasehold improvements which will be funded by the escrowed funds. The escrow funds are recorded as restricted cash on the consolidated balance sheets as of December 31, 2023 with $0.5 million recorded in current assets and $2.1 million in noncurrent assets. The Durham Landlord has the right to terminate the Durham Lease upon specified events of default, including the Company’s failure to pay rent in a timely manner and upon the occurrence of certain events of insolvency with respect to the Company.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Summary of all lease costs recognized under ASC 842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lease costs recognized under ASC 842 and other information pertaining to the Company's operating leases for the year ended December 31, 2023 and 2022 (in thousands):</w:t>
      </w:r>
    </w:p>
    <w:p>
      <w:pPr>
        <w:pStyle w:val="TextBody"/>
        <w:bidi w:val="0"/>
        <w:spacing w:before="240" w:after="283"/>
        <w:jc w:val="left"/>
        <w:rPr/>
      </w:pPr>
      <w:r>
        <w:rPr/>
        <w:t> </w:t>
      </w:r>
    </w:p>
    <w:tbl>
      <w:tblPr>
        <w:tblW w:w="4673" w:type="dxa"/>
        <w:jc w:val="left"/>
        <w:tblInd w:w="0" w:type="dxa"/>
        <w:tblLayout w:type="fixed"/>
        <w:tblCellMar>
          <w:top w:w="28" w:type="dxa"/>
          <w:left w:w="28" w:type="dxa"/>
          <w:bottom w:w="28" w:type="dxa"/>
          <w:right w:w="28" w:type="dxa"/>
        </w:tblCellMar>
      </w:tblPr>
      <w:tblGrid>
        <w:gridCol w:w="1756"/>
        <w:gridCol w:w="146"/>
        <w:gridCol w:w="293"/>
        <w:gridCol w:w="794"/>
        <w:gridCol w:w="203"/>
        <w:gridCol w:w="203"/>
        <w:gridCol w:w="293"/>
        <w:gridCol w:w="794"/>
        <w:gridCol w:w="19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2,770</w:t>
            </w:r>
          </w:p>
        </w:tc>
        <w:tc>
          <w:tcPr>
            <w:tcW w:w="203"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2,873</w:t>
            </w:r>
          </w:p>
        </w:tc>
        <w:tc>
          <w:tcPr>
            <w:tcW w:w="191" w:type="dxa"/>
            <w:tcBorders/>
            <w:shd w:fill="FFFFFF" w:val="clear"/>
            <w:vAlign w:val="center"/>
          </w:tcPr>
          <w:p>
            <w:pPr>
              <w:pStyle w:val="TableContents"/>
              <w:bidi w:val="0"/>
              <w:spacing w:before="0" w:after="283"/>
              <w:jc w:val="left"/>
              <w:rPr/>
            </w:pPr>
            <w:r>
              <w:rPr/>
              <w:t> </w:t>
            </w:r>
          </w:p>
        </w:tc>
      </w:tr>
      <w:tr>
        <w:trPr/>
        <w:tc>
          <w:tcPr>
            <w:tcW w:w="17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3,730</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Supplemental information related to the remaining lease term and discount rate are as follows:</w:t>
      </w:r>
    </w:p>
    <w:p>
      <w:pPr>
        <w:pStyle w:val="TextBody"/>
        <w:bidi w:val="0"/>
        <w:spacing w:before="240" w:after="283"/>
        <w:jc w:val="left"/>
        <w:rPr/>
      </w:pPr>
      <w:r>
        <w:rPr/>
        <w:t> </w:t>
      </w:r>
    </w:p>
    <w:tbl>
      <w:tblPr>
        <w:tblW w:w="9824" w:type="dxa"/>
        <w:jc w:val="left"/>
        <w:tblInd w:w="0" w:type="dxa"/>
        <w:tblLayout w:type="fixed"/>
        <w:tblCellMar>
          <w:top w:w="28" w:type="dxa"/>
          <w:left w:w="28" w:type="dxa"/>
          <w:bottom w:w="28" w:type="dxa"/>
          <w:right w:w="28" w:type="dxa"/>
        </w:tblCellMar>
      </w:tblPr>
      <w:tblGrid>
        <w:gridCol w:w="5641"/>
        <w:gridCol w:w="146"/>
        <w:gridCol w:w="350"/>
        <w:gridCol w:w="1375"/>
        <w:gridCol w:w="271"/>
        <w:gridCol w:w="350"/>
        <w:gridCol w:w="1375"/>
        <w:gridCol w:w="316"/>
      </w:tblGrid>
      <w:tr>
        <w:trPr/>
        <w:tc>
          <w:tcPr>
            <w:tcW w:w="5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6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(in years) – Finance leases</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13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271"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13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316" w:type="dxa"/>
            <w:tcBorders/>
            <w:shd w:fill="CFF0FC" w:val="clear"/>
            <w:vAlign w:val="center"/>
          </w:tcPr>
          <w:p>
            <w:pPr>
              <w:pStyle w:val="TableContents"/>
              <w:bidi w:val="0"/>
              <w:spacing w:before="0" w:after="283"/>
              <w:jc w:val="left"/>
              <w:rPr/>
            </w:pPr>
            <w:r>
              <w:rPr/>
              <w:t> </w:t>
            </w:r>
          </w:p>
        </w:tc>
      </w:tr>
      <w:tr>
        <w:trPr/>
        <w:tc>
          <w:tcPr>
            <w:tcW w:w="56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(in years) – Operating leases</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3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w:t>
            </w:r>
          </w:p>
        </w:tc>
        <w:tc>
          <w:tcPr>
            <w:tcW w:w="271"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3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w:t>
            </w:r>
          </w:p>
        </w:tc>
        <w:tc>
          <w:tcPr>
            <w:tcW w:w="316" w:type="dxa"/>
            <w:tcBorders/>
            <w:shd w:fill="FFFFFF" w:val="clear"/>
            <w:vAlign w:val="center"/>
          </w:tcPr>
          <w:p>
            <w:pPr>
              <w:pStyle w:val="TableContents"/>
              <w:bidi w:val="0"/>
              <w:spacing w:before="0" w:after="283"/>
              <w:jc w:val="left"/>
              <w:rPr/>
            </w:pPr>
            <w:r>
              <w:rPr/>
              <w:t> </w:t>
            </w:r>
          </w:p>
        </w:tc>
      </w:tr>
      <w:tr>
        <w:trPr/>
        <w:tc>
          <w:tcPr>
            <w:tcW w:w="56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725" w:type="dxa"/>
            <w:gridSpan w:val="2"/>
            <w:tcBorders/>
            <w:shd w:fill="FFFFFF" w:val="clear"/>
            <w:vAlign w:val="center"/>
          </w:tcPr>
          <w:p>
            <w:pPr>
              <w:pStyle w:val="TableContents"/>
              <w:bidi w:val="0"/>
              <w:spacing w:before="0" w:after="283"/>
              <w:jc w:val="right"/>
              <w:rPr/>
            </w:pPr>
            <w:r>
              <w:rPr/>
              <w:t> </w:t>
            </w:r>
          </w:p>
        </w:tc>
        <w:tc>
          <w:tcPr>
            <w:tcW w:w="316" w:type="dxa"/>
            <w:tcBorders/>
            <w:shd w:fill="FFFFFF" w:val="clear"/>
            <w:vAlign w:val="center"/>
          </w:tcPr>
          <w:p>
            <w:pPr>
              <w:pStyle w:val="TableContents"/>
              <w:bidi w:val="0"/>
              <w:spacing w:before="0" w:after="283"/>
              <w:jc w:val="right"/>
              <w:rPr/>
            </w:pPr>
            <w:r>
              <w:rPr/>
              <w:t> </w:t>
            </w:r>
          </w:p>
        </w:tc>
      </w:tr>
      <w:tr>
        <w:trPr/>
        <w:tc>
          <w:tcPr>
            <w:tcW w:w="56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 – Finance leases</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13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0" w:type="dxa"/>
            <w:tcBorders/>
            <w:shd w:fill="CFF0FC" w:val="clear"/>
            <w:vAlign w:val="center"/>
          </w:tcPr>
          <w:p>
            <w:pPr>
              <w:pStyle w:val="TableContents"/>
              <w:bidi w:val="0"/>
              <w:spacing w:before="0" w:after="283"/>
              <w:jc w:val="left"/>
              <w:rPr/>
            </w:pPr>
            <w:r>
              <w:rPr/>
              <w:t> </w:t>
            </w:r>
          </w:p>
        </w:tc>
        <w:tc>
          <w:tcPr>
            <w:tcW w:w="13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 – Operating leases</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3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0" w:type="dxa"/>
            <w:tcBorders/>
            <w:shd w:fill="FFFFFF" w:val="clear"/>
            <w:vAlign w:val="center"/>
          </w:tcPr>
          <w:p>
            <w:pPr>
              <w:pStyle w:val="TableContents"/>
              <w:bidi w:val="0"/>
              <w:spacing w:before="0" w:after="283"/>
              <w:jc w:val="left"/>
              <w:rPr/>
            </w:pPr>
            <w:r>
              <w:rPr/>
              <w:t> </w:t>
            </w:r>
          </w:p>
        </w:tc>
        <w:tc>
          <w:tcPr>
            <w:tcW w:w="13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Supplemental cash flow information related to the Company's operating leases are as follows (in thousands):</w:t>
      </w:r>
    </w:p>
    <w:p>
      <w:pPr>
        <w:pStyle w:val="TextBody"/>
        <w:bidi w:val="0"/>
        <w:spacing w:before="240" w:after="283"/>
        <w:jc w:val="left"/>
        <w:rPr/>
      </w:pPr>
      <w:r>
        <w:rPr/>
        <w:t> </w:t>
      </w:r>
    </w:p>
    <w:tbl>
      <w:tblPr>
        <w:tblW w:w="6595" w:type="dxa"/>
        <w:jc w:val="left"/>
        <w:tblInd w:w="0" w:type="dxa"/>
        <w:tblLayout w:type="fixed"/>
        <w:tblCellMar>
          <w:top w:w="28" w:type="dxa"/>
          <w:left w:w="28" w:type="dxa"/>
          <w:bottom w:w="28" w:type="dxa"/>
          <w:right w:w="28" w:type="dxa"/>
        </w:tblCellMar>
      </w:tblPr>
      <w:tblGrid>
        <w:gridCol w:w="3436"/>
        <w:gridCol w:w="337"/>
        <w:gridCol w:w="914"/>
        <w:gridCol w:w="233"/>
        <w:gridCol w:w="233"/>
        <w:gridCol w:w="337"/>
        <w:gridCol w:w="914"/>
        <w:gridCol w:w="191"/>
      </w:tblGrid>
      <w:tr>
        <w:trPr/>
        <w:tc>
          <w:tcPr>
            <w:tcW w:w="343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vAlign w:val="center"/>
          </w:tcPr>
          <w:p>
            <w:pPr>
              <w:pStyle w:val="TableContents"/>
              <w:bidi w:val="0"/>
              <w:spacing w:before="0" w:after="283"/>
              <w:jc w:val="left"/>
              <w:rPr/>
            </w:pPr>
            <w:r>
              <w:rPr/>
              <w:t> </w:t>
            </w:r>
          </w:p>
        </w:tc>
        <w:tc>
          <w:tcPr>
            <w:tcW w:w="29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vAlign w:val="center"/>
          </w:tcPr>
          <w:p>
            <w:pPr>
              <w:pStyle w:val="TableContents"/>
              <w:bidi w:val="0"/>
              <w:spacing w:before="0" w:after="283"/>
              <w:jc w:val="left"/>
              <w:rPr/>
            </w:pPr>
            <w:r>
              <w:rPr/>
              <w:t> </w:t>
            </w:r>
          </w:p>
        </w:tc>
        <w:tc>
          <w:tcPr>
            <w:tcW w:w="12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flows for operating leases</w:t>
            </w:r>
          </w:p>
        </w:tc>
        <w:tc>
          <w:tcPr>
            <w:tcW w:w="3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2,824</w:t>
            </w:r>
          </w:p>
        </w:tc>
        <w:tc>
          <w:tcPr>
            <w:tcW w:w="233"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right"/>
              <w:rPr/>
            </w:pPr>
            <w:r>
              <w:rPr/>
              <w:t> </w:t>
            </w:r>
          </w:p>
        </w:tc>
        <w:tc>
          <w:tcPr>
            <w:tcW w:w="3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future minimum commitments under ASC 842 under the Company's operating and finance leases were as follows (in thousands):</w:t>
      </w:r>
    </w:p>
    <w:p>
      <w:pPr>
        <w:pStyle w:val="TextBody"/>
        <w:bidi w:val="0"/>
        <w:jc w:val="left"/>
        <w:rPr/>
      </w:pPr>
      <w:r>
        <w:rPr/>
        <w:t> </w:t>
      </w:r>
    </w:p>
    <w:tbl>
      <w:tblPr>
        <w:tblW w:w="4581" w:type="dxa"/>
        <w:jc w:val="left"/>
        <w:tblInd w:w="0" w:type="dxa"/>
        <w:tblLayout w:type="fixed"/>
        <w:tblCellMar>
          <w:top w:w="28" w:type="dxa"/>
          <w:left w:w="28" w:type="dxa"/>
          <w:bottom w:w="28" w:type="dxa"/>
          <w:right w:w="28" w:type="dxa"/>
        </w:tblCellMar>
      </w:tblPr>
      <w:tblGrid>
        <w:gridCol w:w="2446"/>
        <w:gridCol w:w="217"/>
        <w:gridCol w:w="759"/>
        <w:gridCol w:w="166"/>
        <w:gridCol w:w="211"/>
        <w:gridCol w:w="571"/>
        <w:gridCol w:w="211"/>
      </w:tblGrid>
      <w:tr>
        <w:trPr/>
        <w:tc>
          <w:tcPr>
            <w:tcW w:w="24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Ending December 31,</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Operating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Finance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2,810</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211" w:type="dxa"/>
            <w:tcBorders/>
            <w:shd w:fill="CFF0FC"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217"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211" w:type="dxa"/>
            <w:tcBorders/>
            <w:shd w:fill="FFFFFF" w:val="clear"/>
            <w:vAlign w:val="center"/>
          </w:tcPr>
          <w:p>
            <w:pPr>
              <w:pStyle w:val="TableContents"/>
              <w:bidi w:val="0"/>
              <w:spacing w:before="0" w:after="283"/>
              <w:jc w:val="left"/>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217" w:type="dxa"/>
            <w:tcBorders/>
            <w:shd w:fill="CFF0FC" w:val="clear"/>
            <w:vAlign w:val="center"/>
          </w:tcPr>
          <w:p>
            <w:pPr>
              <w:pStyle w:val="TableContents"/>
              <w:bidi w:val="0"/>
              <w:spacing w:before="0" w:after="283"/>
              <w:jc w:val="left"/>
              <w:rPr/>
            </w:pPr>
            <w:r>
              <w:rPr/>
              <w:t> </w:t>
            </w:r>
          </w:p>
        </w:tc>
        <w:tc>
          <w:tcPr>
            <w:tcW w:w="7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2,485</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211" w:type="dxa"/>
            <w:tcBorders/>
            <w:shd w:fill="CFF0FC"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217"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11" w:type="dxa"/>
            <w:tcBorders/>
            <w:shd w:fill="FFFFFF" w:val="clear"/>
            <w:vAlign w:val="center"/>
          </w:tcPr>
          <w:p>
            <w:pPr>
              <w:pStyle w:val="TableContents"/>
              <w:bidi w:val="0"/>
              <w:spacing w:before="0" w:after="283"/>
              <w:jc w:val="left"/>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217" w:type="dxa"/>
            <w:tcBorders/>
            <w:shd w:fill="CFF0FC" w:val="clear"/>
            <w:vAlign w:val="center"/>
          </w:tcPr>
          <w:p>
            <w:pPr>
              <w:pStyle w:val="TableContents"/>
              <w:bidi w:val="0"/>
              <w:spacing w:before="0" w:after="283"/>
              <w:jc w:val="left"/>
              <w:rPr/>
            </w:pPr>
            <w:r>
              <w:rPr/>
              <w:t> </w:t>
            </w:r>
          </w:p>
        </w:tc>
        <w:tc>
          <w:tcPr>
            <w:tcW w:w="7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2,673</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217" w:type="dxa"/>
            <w:tcBorders/>
            <w:shd w:fill="CFF0FC" w:val="clear"/>
            <w:vAlign w:val="center"/>
          </w:tcPr>
          <w:p>
            <w:pPr>
              <w:pStyle w:val="TableContents"/>
              <w:bidi w:val="0"/>
              <w:spacing w:before="0" w:after="283"/>
              <w:jc w:val="left"/>
              <w:rPr/>
            </w:pPr>
            <w:r>
              <w:rPr/>
              <w:t> </w:t>
            </w:r>
          </w:p>
        </w:tc>
        <w:tc>
          <w:tcPr>
            <w:tcW w:w="7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30,500</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w:t>
            </w:r>
          </w:p>
        </w:tc>
        <w:tc>
          <w:tcPr>
            <w:tcW w:w="211" w:type="dxa"/>
            <w:tcBorders/>
            <w:shd w:fill="CFF0FC"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current</w:t>
            </w:r>
          </w:p>
        </w:tc>
        <w:tc>
          <w:tcPr>
            <w:tcW w:w="217"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211" w:type="dxa"/>
            <w:tcBorders/>
            <w:shd w:fill="FFFFFF" w:val="clear"/>
            <w:vAlign w:val="center"/>
          </w:tcPr>
          <w:p>
            <w:pPr>
              <w:pStyle w:val="TableContents"/>
              <w:bidi w:val="0"/>
              <w:spacing w:before="0" w:after="283"/>
              <w:jc w:val="left"/>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non-current</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6 – Term Loans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Loan with Trinity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13, 2023 (the “Trinity Closing Date”), the Company entered into a Loan and Security Agreement (the “Trinity Term Loan Agreement”), by and among the Company, the lenders party thereto from time to time (the “Trinity Lenders”) and Trinity Capital Inc., as administrative agent and collateral agent for the Trinity Lenders (“Trinity”). The Trinity Term Loan Agreement provides for, on the Trinity Closing Date, $40.0 million aggregate principal amount of term loans (collectively, the “Trinity Term Loans”). The Company drew the Trinity Term Loans in full on the Trinity Closing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interest rate applicable to the Trinity Term Loans is the greater of (a) the WSJ Prime Rate plus 4.50% or (b) 12.75% per annum. The Trinity Term Loans are interest only from the Trinity Closing Date through 36 months from the Trinity Closing Date, which may be extended to 48 months from the Trinity Closing Date upon the satisfaction of certain milestones set forth in the Trinity Term Loan Agreement, after which the Company is required to pay equal monthly installments of principal through November 13, 2028 (the “Maturity Date”). As of December 31, 2023, $40.0 million was outstanding on the Term Loan, recorded as Term Loan, net on the consolidated balance sheet.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Future principal debt payments on the Term Loan Agreement as of December 31, 2023 are as follows (in thousands):</w:t>
      </w:r>
    </w:p>
    <w:p>
      <w:pPr>
        <w:pStyle w:val="TextBody"/>
        <w:bidi w:val="0"/>
        <w:jc w:val="left"/>
        <w:rPr/>
      </w:pPr>
      <w:r>
        <w:rPr/>
        <w:t> </w:t>
      </w:r>
    </w:p>
    <w:tbl>
      <w:tblPr>
        <w:tblW w:w="3565" w:type="dxa"/>
        <w:jc w:val="left"/>
        <w:tblInd w:w="0" w:type="dxa"/>
        <w:tblLayout w:type="fixed"/>
        <w:tblCellMar>
          <w:top w:w="28" w:type="dxa"/>
          <w:left w:w="28" w:type="dxa"/>
          <w:bottom w:w="28" w:type="dxa"/>
          <w:right w:w="28" w:type="dxa"/>
        </w:tblCellMar>
      </w:tblPr>
      <w:tblGrid>
        <w:gridCol w:w="2341"/>
        <w:gridCol w:w="146"/>
        <w:gridCol w:w="211"/>
        <w:gridCol w:w="676"/>
        <w:gridCol w:w="191"/>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3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18,709</w:t>
            </w:r>
          </w:p>
        </w:tc>
        <w:tc>
          <w:tcPr>
            <w:tcW w:w="191" w:type="dxa"/>
            <w:tcBorders/>
            <w:shd w:fill="FFFFFF" w:val="clear"/>
            <w:vAlign w:val="center"/>
          </w:tcPr>
          <w:p>
            <w:pPr>
              <w:pStyle w:val="TableContents"/>
              <w:bidi w:val="0"/>
              <w:spacing w:before="0" w:after="283"/>
              <w:jc w:val="left"/>
              <w:rPr/>
            </w:pPr>
            <w:r>
              <w:rPr/>
              <w:t> </w:t>
            </w:r>
          </w:p>
        </w:tc>
      </w:tr>
      <w:tr>
        <w:trPr/>
        <w:tc>
          <w:tcPr>
            <w:tcW w:w="23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21,291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principal payments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Trinity Term Loans may be prepaid in full (i) from the Trinity Closing Date through November 13, 2024, with payment of a 3.00% prepayment premium, (ii) from November 13, 2024 through November 13, 2025, with payment of a 2% prepayment premium, and (iii) from November 13, 2025 through, but excluding, the Maturity Date, with payment of a 1% prepayment premium. On the Trinity Closing Date, the Company paid to Trinity a commitment fee of 1.00% of the original principal amount of the Trinity Term Loans. Upon repayment in full of the Trinity Term Loans, the Company will pay to Trinity an end of term payment equal to 5.00% of the original principal amount of the Trinity Term Loans.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obligations under the Trinity Term Loan Agreement are secured by a perfected security interest in all of the Company’s assets except for certain customarily excluded property pursuant to the terms of the Trinity Term Loan Agreement. There are no financial covenants and no warrants associated with the Trinity Term Loan Agreement. The Trinity Term Loan Agreement contains various covenants that limit the Company’s ability to engage in specified types of transactions without the consent of Trinity and the Trinity Lenders which include, among others, incurring or assuming certain debt; merging, consolidating or acquiring all or substantially all of the capital stock or property of another entity; changing the nature of the Company’s business; changing the Company’s organizational structure or type; licensing, transferring or disposing of certain assets; granting certain types of liens on the Company’s assets; making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investments; and paying cash dividends. As of December 31, 2023, the Company is in compliance with all covenants of the Trinity Term Loans.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Trinity Term Loan Agreement also contains customary representations and warranties, and also includes customary events of default, including payment default, breach of covenants, change of control, and material adverse effects. Upon the occurrence of an event of default, a default interest rate of an additional 5% per annum may be applied to the outstanding loan balances, and the Trinity Lenders may declare all outstanding obligations immediately due and payable and exercise all of its rights and remedies as set forth in the Trinity Term Loan Agreement and under applicable law.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proceeds of the Trinity Term Loans were used to repay the Company’s obligations under the Term Loan Agreement with Silicon Valley Bank in full. The Term Loan Agreement with Silicon Valley Bank was terminated concurrently with entry into the Trinity Term Loan Agreement.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assessed the terms and features of the Trinity Term Loans and determined that the Company is eligible to elect the fair value option under ASC 825, </w:t>
      </w:r>
      <w:r>
        <w:rPr>
          <w:rFonts w:ascii="Times New Roman" w:hAnsi="Times New Roman"/>
          <w:i/>
          <w:color w:val="000000"/>
          <w:sz w:val="20"/>
        </w:rPr>
        <w:t>Financial Instruments</w:t>
      </w:r>
      <w:r>
        <w:rPr>
          <w:rFonts w:ascii="Times New Roman" w:hAnsi="Times New Roman"/>
          <w:color w:val="000000"/>
          <w:sz w:val="20"/>
        </w:rPr>
        <w:t>. The Trinity Term Loans contains various embedded features and the election of the fair value option allows the Company to bypass analysis of potential embedded derivatives and further analysis of bifurcation of any recognized financial liabilities. Under the fair value option, the financial liability is initially measured at its fair value on the issue date and subsequently remeasured at estimated fair value on a recurring basis at each reporting date. Changes in the fair value of the Trinity Term Loans, which include accrued interest, if any, are recorded as a component of other expense (income) in the consolidated statements of operations. The Company has not elected to present interest expense separately from changes in fair value and therefore will not present interest expense associated with the Trinity Term Loans. Any changes in fair value caused by instrument-specific credit risk are presented separately in other comprehensive income or loss if material. Under the fair value option, debt issuance costs are expensed as incurred. The Company incurred $0.9 million of debt issuance costs, which were recorded within general and administrative expense in the consolidated statements of operations for the year ended December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Trinity Term Loans, the Company entered into a Success Fee Agreement with Trinity which specifies the terms regarding a fee in the amount of 10% of the principal amount of the funded Trinity Term Loans (the "Success Fee"). The Success Fee is payable upon the achievement of certain corporate development value-inflection milestones. The Success Fee survives the termination of the Trinity Term Loans and expires on the earlier of ten years, or payment in full in cash of the Success Fee. The Company determined that the Success Fee represents a freestanding financial instrument and should be accounted for as a derivative liability under ASC 815 and recorded a liability within other non-current liabilities on the consolidated balance sheet, at fair value on the Trinity Closing Date and will be marked-to-market at the end of each reporting period with gains and losses recognized as a component of other income (expense) in the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proceeds from the Trinity Term Loans were allocated to the Success Fee and Trinity Term Loans based on their respective fair values on the Trinity Closing Date. The fair values were determined utilizing a probability-weighted income approach, including variables for the timing of a success event and other probability estimates.</w:t>
      </w:r>
    </w:p>
    <w:p>
      <w:pPr>
        <w:pStyle w:val="TextBody"/>
        <w:bidi w:val="0"/>
        <w:jc w:val="left"/>
        <w:rPr>
          <w:rFonts w:ascii="Times New Roman" w:hAnsi="Times New Roman"/>
          <w:color w:val="000000"/>
          <w:sz w:val="20"/>
        </w:rPr>
      </w:pPr>
      <w:r>
        <w:rPr>
          <w:rFonts w:ascii="Times New Roman" w:hAnsi="Times New Roman"/>
          <w:color w:val="000000"/>
          <w:sz w:val="20"/>
        </w:rPr>
        <w:t>The Company determined the fair value of the Trinity Term Loans and the Success Fee using a probability-weighted income approach and recorded the loan at fair value of $39.2 million and the Success Fee liability at fair value of $0.8 million in the consolidated balance sheet at issuance.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calculated the discounted cash flows of the Trinity Term Loans using a discount rate of 15.68% and adjusted for the probability of various repayment scenarios. The Company calculated the discounted cash flows of the Success Fee liability, using a discount rate of 15.68% then adjusted for the probability of achievement of certain corporate development value-inflection milestones.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reconciles the change in fair value of the Trinity Term Loans during the year ended December 31, 2023 (in thousands):</w:t>
      </w:r>
    </w:p>
    <w:p>
      <w:pPr>
        <w:pStyle w:val="TextBody"/>
        <w:bidi w:val="0"/>
        <w:jc w:val="left"/>
        <w:rPr/>
      </w:pPr>
      <w:r>
        <w:rPr/>
        <w:t> </w:t>
      </w:r>
    </w:p>
    <w:tbl>
      <w:tblPr>
        <w:tblW w:w="5935" w:type="dxa"/>
        <w:jc w:val="left"/>
        <w:tblInd w:w="0" w:type="dxa"/>
        <w:tblLayout w:type="fixed"/>
        <w:tblCellMar>
          <w:top w:w="28" w:type="dxa"/>
          <w:left w:w="28" w:type="dxa"/>
          <w:bottom w:w="28" w:type="dxa"/>
          <w:right w:w="28" w:type="dxa"/>
        </w:tblCellMar>
      </w:tblPr>
      <w:tblGrid>
        <w:gridCol w:w="4711"/>
        <w:gridCol w:w="146"/>
        <w:gridCol w:w="211"/>
        <w:gridCol w:w="676"/>
        <w:gridCol w:w="191"/>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Trinity Term Loans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7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fair value balance on November 13, 2023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39,230</w:t>
            </w:r>
          </w:p>
        </w:tc>
        <w:tc>
          <w:tcPr>
            <w:tcW w:w="191" w:type="dxa"/>
            <w:tcBorders/>
            <w:shd w:fill="CFF0FC" w:val="clear"/>
            <w:vAlign w:val="center"/>
          </w:tcPr>
          <w:p>
            <w:pPr>
              <w:pStyle w:val="TableContents"/>
              <w:bidi w:val="0"/>
              <w:spacing w:before="0" w:after="283"/>
              <w:jc w:val="left"/>
              <w:rPr/>
            </w:pPr>
            <w:r>
              <w:rPr/>
              <w:t> </w:t>
            </w:r>
          </w:p>
        </w:tc>
      </w:tr>
      <w:tr>
        <w:trPr/>
        <w:tc>
          <w:tcPr>
            <w:tcW w:w="47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payments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47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reported in statements of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fair value balance as of December 31, 2023</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40,508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reconciles the change in fair value of the Success Fee liability during the year ended December 31, 2023 (in thousands):</w:t>
      </w:r>
    </w:p>
    <w:p>
      <w:pPr>
        <w:pStyle w:val="TextBody"/>
        <w:bidi w:val="0"/>
        <w:jc w:val="left"/>
        <w:rPr/>
      </w:pPr>
      <w:r>
        <w:rPr/>
        <w:t> </w:t>
      </w:r>
    </w:p>
    <w:tbl>
      <w:tblPr>
        <w:tblW w:w="5350" w:type="dxa"/>
        <w:jc w:val="left"/>
        <w:tblInd w:w="0" w:type="dxa"/>
        <w:tblLayout w:type="fixed"/>
        <w:tblCellMar>
          <w:top w:w="28" w:type="dxa"/>
          <w:left w:w="28" w:type="dxa"/>
          <w:bottom w:w="28" w:type="dxa"/>
          <w:right w:w="28" w:type="dxa"/>
        </w:tblCellMar>
      </w:tblPr>
      <w:tblGrid>
        <w:gridCol w:w="4381"/>
        <w:gridCol w:w="146"/>
        <w:gridCol w:w="211"/>
        <w:gridCol w:w="421"/>
        <w:gridCol w:w="191"/>
      </w:tblGrid>
      <w:tr>
        <w:trP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8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Success Fee</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3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fair value balance on November 13, 2023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w:t>
            </w:r>
          </w:p>
        </w:tc>
        <w:tc>
          <w:tcPr>
            <w:tcW w:w="191" w:type="dxa"/>
            <w:tcBorders/>
            <w:shd w:fill="CFF0FC" w:val="clear"/>
            <w:vAlign w:val="center"/>
          </w:tcPr>
          <w:p>
            <w:pPr>
              <w:pStyle w:val="TableContents"/>
              <w:bidi w:val="0"/>
              <w:spacing w:before="0" w:after="283"/>
              <w:jc w:val="left"/>
              <w:rPr/>
            </w:pPr>
            <w:r>
              <w:rPr/>
              <w:t> </w:t>
            </w:r>
          </w:p>
        </w:tc>
      </w:tr>
      <w:tr>
        <w:trPr/>
        <w:tc>
          <w:tcPr>
            <w:tcW w:w="43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Success Fee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fair value balance as of December 31, 2023</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Loan with Silicon Valley Bank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12, 2021 (the “Closing Date”), the Company entered into a Loan and Security Agreement (the “Term Loan Agreement”), by and among the Company, the lenders party thereto from time to time (the “Lenders”) and Silicon Valley Bank, as administrative agent and collateral agent for the Lenders (“Agent”). The Term Loan Agreement provided for (i) on the Closing Date, $40.0 million aggregate principal amount of term loans available through December 31, 2021, (ii) from January 1, 2022 until September 30, 2022, an additional $20.0 million term loan facility available at the Company’s option upon having three distinct and active clinical stage programs, determined at the discretion of the Agent, at the time of draw, (iii) from October 1, 2022 until March 31, 2023, an additional $20.0 million term loan facility available at the Company’s option upon having three distinct and active clinical stage programs, determined at the discretion of the Agent, at the time of draw and (iv) from April 1, 2023 until December 31, 2023, an additional $20.0 million term loan facility available upon approval by the Agent and the Lenders (collectively, the “Term Loans”). The Company drew $30.0 million in term loans on the Closing Date and $10.0 million in term loans in December 2021. The Company did not draw on the two additional $20.0 million tranches prior to expiration on September 30, 2022 and March 31, 2023. The Term Loan Agreement with Silicon Valley Bank was terminated concurrently with entry into the Trinity Term Loan Agreement in November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interest rate applicable to the Term Loans was the greater of (a) the WSJ (“Wall Street Journal”) Prime Rate plus 3.75% or (b) 7.00% per annum. The Term Loans were interest only from the Closing Date through August 31, 2024, after which the Company was required to pay equal monthly installments of principal through August 1, 2026, the maturity date.</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Term Loans could have been prepaid in full through August 12, 2023, with payment of a 1.00% prepayment premium, after which they could be prepaid in full with no prepayment premium. An additional final payment of 7.5% of the amount of Terms Loans advanced by the Lenders (“Exit Fee”) was due upon prepayment or repayment of the Term Loans in full. The Exit Fee of $3.0 million was recorded as debt discount. The debt discount was being accreted using the effective interest method over the term of the Term Loans within interest expense in the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obligations under the Term Loan Agreement were secured by a perfected security interest in all of the Company’s assets except for intellectual property and certain other customarily excluded property pursuant to the terms of the Term Loan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termination of the Term Loan Agreement with Silicon Valley Bank, the Company made a prepayment of $43.2 million to satisfy the Company's principal and interest obligations and related fees under the Term Loan Agreement. The payoff amount paid by the Company in connection with the Term Loans included payment of the Exit Fee of $3.0 million and accrued interest of $0.2 million. In connection with the repayment of the Term Loans, the remaining balance of debt discount of $1.4 million was recognized as a component of other income (expense) in the consolidated statements of operations for the year ended December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years ended December 31, 2023 and 2022, the Company recognized interest expense related to the Term Loans of $4.9 million and $3.7 million, respectively.</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7—Astellas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21, 2022 (the “Effective Date”), the Company entered into the Option Agreement with Astellas, pursuant to which the Company granted to Astellas an exclusive option to obtain an exclusive, worldwide, royalty and milestone-bearing right and license (A) to research, develop, make, have made, use, sell, offer for sale, have sold, import, export and otherwise exploit, or, collectively, exploit, the product known, as of the Effective Date, as TSHA-120 (the “120 GAN Product”), and any backup products with respect thereto for use in the treatment of GAN or any other gene therapy product for use in the treatment of GAN that is controlled by Taysha or any of its affiliates or with respect to which the Company or any of its affiliates controls intellectual property rights covering the exploitation thereof, or a GAN Product, and (B) under any intellectual property rights controlled by Taysha or any of its affiliates with respect to such exploitation (the “GAN Option”). Subject to certain extensions, the GAN Option is exercisable from the Effective Date through a specified period of time following Astellas’ receipt of (i) the formal minutes from the Type B end-of-Phase 2 meeting between Taysha and the FDA in response to the Company’s meeting request sent to the FDA on September 19, 2022 for the 120 GAN Product (the “Type B end-of-Phase 2 Meeting”), (ii) all written feedback from the FDA with respect to the Type B end-of-Phase 2 Meeting, and (iii) all briefing documents sent by Taysha to the FDA with respect to the Type B end-of-Phase 2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Option Agreement, the Company also granted to Astellas an exclusive option to obtain an exclusive, worldwide, royalty and milestone-bearing right and license (A) to exploit any Rett Product (as defined below), and (B) under any intellectual property rights controlled by Taysha or any of its affiliates with respect to such exploitation (the “Rett Option,” and together with the GAN Option, each, an “Option”). Subject to certain extensions, the Rett Option is exercisable from the Effective Date through a specified period of time following Astellas’ receipt of (i) certain clinical data from the female pediatric trial and (ii) certain specified data with respect to TSHA-102, such period, the Rett Option Period, related to (i) the product known, as of the Effective Date, as TSHA-102 and any backup products with respect thereto for use in the treatment of Rett syndrome, and (ii) any other gene therapy product for use in the treatment of Rett syndrome that is controlled by Taysha or any of its affiliates or with respect to which the Company or any of its affiliates controls intellectual property rights covering the exploitation thereof (a “Rett Product”).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parties have agreed that, if Astellas exercises an Option, the parties will, for a specified period, negotiate a license agreement in good faith on the terms and conditions outlined in the Option Agreement, including payments by Astellas of a to be determined upfront payment, certain to be determined milestone payments, and certain to be determined royalties on net sales of GAN Products and/or Rett Products, as applicable.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Rett Option Period, the Company has agreed to (A) not solicit or encourage any inquiries, offers or proposals for, or that could reasonably be expected to lead to, a Change of Control (as defined in the Option Agreement), or (B) otherwise initiate a process for a potential Change of Control, in each case, without first notifying Astellas and offering Astellas the opportunity to submit an offer or proposal to the Company for a transaction that would result in a Change of Control. If Astellas fails or declines to submit any such offer within a specified period after the receipt of such notice, the Company will have the ability to solicit third party bids for a Change of Control transaction. If Astellas delivers an offer to the Company for a transaction that would result in a Change of Control, the Company and Astellas will attempt to negotiate in good faith the potential terms and conditions for such potential transaction that would result in a Change of Control for a specified period, which period may be shortened or extended by mutual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partial consideration for the rights granted to Astellas under the Option Agreement, Astellas paid the Company the Upfront Payment, which is $20.0 million. Astellas or any of its affiliates shall have the right, in its or their discretion and upon written notice to the Company, to offset the amount of the Upfront Payment (in whole or in part, until the full amount of the Upfront Payment has been offset) against (a) any payment(s) owed to Taysha or any of its affiliates (or to any third party on behalf of the Company) under or in connection with any license agreement entered into with respect to any GAN Product or Rett Product, including, any upfront payment, milestone payment or royalties owed to Taysha or any of its affiliates (or to any third party on behalf of the Company) under or in connection with any such license agreement or (b) any amount owed to Taysha or any of its affiliates in connection with a Change of Control transaction with Astellas or any of its affiliates. As further consideration for the rights granted to Astellas under the Option Agreement, the Company and Astellas also entered into the Securities Purchase Agreement.</w:t>
      </w:r>
    </w:p>
    <w:p>
      <w:pPr>
        <w:pStyle w:val="TextBody"/>
        <w:bidi w:val="0"/>
        <w:jc w:val="left"/>
        <w:rPr>
          <w:rFonts w:ascii="Times New Roman" w:hAnsi="Times New Roman"/>
          <w:i/>
          <w:color w:val="000000"/>
          <w:sz w:val="20"/>
        </w:rPr>
      </w:pPr>
      <w:r>
        <w:rPr>
          <w:rFonts w:ascii="Times New Roman" w:hAnsi="Times New Roman"/>
          <w:i/>
          <w:color w:val="000000"/>
          <w:sz w:val="20"/>
        </w:rPr>
        <w:t>Securities Purchase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21, 2022, the Company entered into the Securities Purchase Agreement with Astellas, pursuant to which the Company agreed to issue and sell to Astellas in a private placement (the “Private Placement”), an aggregate of 7,266,342 shares (the “Private Placement Shares”), of its common stock, for aggregate gross proceeds of $30.0 million. The Private Placement closed on October 24, 2022. Pursuant to the Securities Purchase Agreement, in connection with the Private Placement, Astellas has the right to designate one individual to attend all meetings of the Board in a non-voting observer capacity. The Company also granted Astellas certain registration rights with respect to the Private Placement Shares.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Accounting Treatment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October 2022, upon closing of the Private Placement and transferring the 7,266,342 shares to Astellas, the Company recorded the issuance of shares at fair value. Fair value of the shares transferred to Astellas was calculated in accordance with ASC 820, </w:t>
      </w:r>
      <w:r>
        <w:rPr>
          <w:rFonts w:ascii="Times New Roman" w:hAnsi="Times New Roman"/>
          <w:i/>
          <w:color w:val="000000"/>
          <w:sz w:val="20"/>
        </w:rPr>
        <w:t xml:space="preserve">Fair Value Measurement </w:t>
      </w:r>
      <w:r>
        <w:rPr>
          <w:rFonts w:ascii="Times New Roman" w:hAnsi="Times New Roman"/>
          <w:color w:val="000000"/>
          <w:sz w:val="20"/>
        </w:rPr>
        <w:t>by analyzing the Company's stock price for a short period of time prior to and after the transaction date as traded on the NASDAQ. The NASDAQ trading data is considered an active market and a Level 1 measurement under ASC 820. The fair value was determined to be approximately $13.95 million or $1.92 per share. The $16.1 million difference between the $30.0 million paid by Astellas and the fair market value of shares issued was allocated to the transaction price of the Option Agreement.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determined that the Option Agreement falls within the scope of ASC 606, </w:t>
      </w:r>
      <w:r>
        <w:rPr>
          <w:rFonts w:ascii="Times New Roman" w:hAnsi="Times New Roman"/>
          <w:i/>
          <w:color w:val="000000"/>
          <w:sz w:val="20"/>
        </w:rPr>
        <w:t>Revenue from Contracts with Customers</w:t>
      </w:r>
      <w:r>
        <w:rPr>
          <w:rFonts w:ascii="Times New Roman" w:hAnsi="Times New Roman"/>
          <w:color w:val="000000"/>
          <w:sz w:val="20"/>
        </w:rPr>
        <w:t xml:space="preserve"> as the development of TSHA-102 for the treatment of Rett Syndrome and TSHA-120 for the treatment of GAN are considered ordinary activities for the Company. In accordance with ASC 606, the Company evaluated the Option Agreement and identified three separate performance obligations: (1) option to obtain licensing right to GAN, (2) option to obtain licensing right to Rett and (3) performance of research and development activities in the Rett development plan. The transaction price is determined to be $36.1 million which is comprised of the $20.0 million Upfront Payment and the $16.1 million allocated from the Private Placement.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determine the standalone selling price ("SSP") of the Rett and GAN options, which the Company concluded to be material rights, the Company utilized the probability-weighted expected return (PWERM) method. The PWERM method contemplates the probability and timing of an option exercise. At contract inception, the Company estimated that the probability of exercise was 50% for each of the GAN and Rett options. The SSP of the Rett research and development activities was estimated using an expected cost plus margin approach. The standalone selling prices of the material rights and Rett research and development activities were then used to proportionately allocate the $36.1 million transaction price to the three performance obligations. The $36.1 million transaction price was recorded as deferred revenue on the consolidated balance sheet at the inception of the Astellas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the allocation of the transaction price to the three performance obligations at contract inception (amounts in thousands): </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348" w:type="dxa"/>
        <w:jc w:val="left"/>
        <w:tblInd w:w="0" w:type="dxa"/>
        <w:tblLayout w:type="fixed"/>
        <w:tblCellMar>
          <w:top w:w="28" w:type="dxa"/>
          <w:left w:w="28" w:type="dxa"/>
          <w:bottom w:w="28" w:type="dxa"/>
          <w:right w:w="28" w:type="dxa"/>
        </w:tblCellMar>
      </w:tblPr>
      <w:tblGrid>
        <w:gridCol w:w="3421"/>
        <w:gridCol w:w="346"/>
        <w:gridCol w:w="520"/>
        <w:gridCol w:w="1670"/>
        <w:gridCol w:w="391"/>
      </w:tblGrid>
      <w:tr>
        <w:trPr/>
        <w:tc>
          <w:tcPr>
            <w:tcW w:w="34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2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Transaction Price Allocation</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 to obtain license for Rett</w:t>
            </w:r>
          </w:p>
        </w:tc>
        <w:tc>
          <w:tcPr>
            <w:tcW w:w="346" w:type="dxa"/>
            <w:tcBorders/>
            <w:shd w:fill="CFF0FC" w:val="clear"/>
            <w:vAlign w:val="center"/>
          </w:tcPr>
          <w:p>
            <w:pPr>
              <w:pStyle w:val="TableContents"/>
              <w:bidi w:val="0"/>
              <w:spacing w:before="0" w:after="283"/>
              <w:jc w:val="left"/>
              <w:rPr/>
            </w:pPr>
            <w:r>
              <w:rPr/>
              <w:t> </w:t>
            </w:r>
          </w:p>
        </w:tc>
        <w:tc>
          <w:tcPr>
            <w:tcW w:w="5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5,485</w:t>
            </w:r>
          </w:p>
        </w:tc>
        <w:tc>
          <w:tcPr>
            <w:tcW w:w="391" w:type="dxa"/>
            <w:tcBorders/>
            <w:shd w:fill="CFF0FC" w:val="clear"/>
            <w:vAlign w:val="center"/>
          </w:tcPr>
          <w:p>
            <w:pPr>
              <w:pStyle w:val="TableContents"/>
              <w:bidi w:val="0"/>
              <w:spacing w:before="0" w:after="283"/>
              <w:jc w:val="left"/>
              <w:rPr/>
            </w:pPr>
            <w:r>
              <w:rPr/>
              <w:t> </w:t>
            </w:r>
          </w:p>
        </w:tc>
      </w:tr>
      <w:tr>
        <w:trPr/>
        <w:tc>
          <w:tcPr>
            <w:tcW w:w="34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 to obtain license for GAN</w:t>
            </w:r>
          </w:p>
        </w:tc>
        <w:tc>
          <w:tcPr>
            <w:tcW w:w="346"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left"/>
              <w:rPr/>
            </w:pPr>
            <w:r>
              <w:rPr/>
              <w:t> </w:t>
            </w:r>
          </w:p>
        </w:tc>
        <w:tc>
          <w:tcPr>
            <w:tcW w:w="16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w:t>
            </w:r>
          </w:p>
        </w:tc>
        <w:tc>
          <w:tcPr>
            <w:tcW w:w="391" w:type="dxa"/>
            <w:tcBorders/>
            <w:shd w:fill="FFFFFF" w:val="clear"/>
            <w:vAlign w:val="center"/>
          </w:tcPr>
          <w:p>
            <w:pPr>
              <w:pStyle w:val="TableContents"/>
              <w:bidi w:val="0"/>
              <w:spacing w:before="0" w:after="283"/>
              <w:jc w:val="left"/>
              <w:rPr/>
            </w:pPr>
            <w:r>
              <w:rPr/>
              <w:t> </w:t>
            </w:r>
          </w:p>
        </w:tc>
      </w:tr>
      <w:tr>
        <w:trPr/>
        <w:tc>
          <w:tcPr>
            <w:tcW w:w="34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Rett research and development activities</w:t>
            </w:r>
          </w:p>
        </w:tc>
        <w:tc>
          <w:tcPr>
            <w:tcW w:w="346" w:type="dxa"/>
            <w:tcBorders/>
            <w:shd w:fill="CFF0FC" w:val="clear"/>
            <w:vAlign w:val="center"/>
          </w:tcPr>
          <w:p>
            <w:pPr>
              <w:pStyle w:val="TableContents"/>
              <w:bidi w:val="0"/>
              <w:spacing w:before="0" w:after="283"/>
              <w:jc w:val="left"/>
              <w:rPr/>
            </w:pPr>
            <w:r>
              <w:rPr/>
              <w:t> </w:t>
            </w:r>
          </w:p>
        </w:tc>
        <w:tc>
          <w:tcPr>
            <w:tcW w:w="5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28,257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2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5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36,059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 allocated to the material rights will be recognized at a point in time when each option period expires or when a decision is made by Astellas to exercise or not exercise each option. Revenue from the Rett research and development activities will be recognized as activities are performed using an input method, according to the costs incurred as related to the total costs expected to be incurred to satisfy the performance obligation. The transfer of control occurs over this time period and is a reliable measure of progress towards satisfying the performance obligation.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year ended December 31, 2023, the Company determined that the total estimated costs to be incurred to satisfy the performance obligation associated with Rett research and development activities had increased from the cost estimate used for the year ended December 31, 2022.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recognized revenue of $13.2 million and $2.5 million from Rett research and development activities for the year ended December 31, 2023 and 2022, respectively. In September 2023, Astellas provided written notice of its decision not to exercise the GAN Option. The Company recognized revenue of $2.3 million from the GAN Option during the year ended December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the Company recorded deferred revenue of $18.1 million within current liabilities in the accompanying consolidated balance sheet. The Company will recognize revenues for these performance obligations as they are satisfied.</w:t>
      </w:r>
    </w:p>
    <w:p>
      <w:pPr>
        <w:pStyle w:val="TextBody"/>
        <w:bidi w:val="0"/>
        <w:spacing w:before="4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8—Research, Collaboration, Grant and License Agreements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UT Southwestern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19, 2019, the Company entered into a research, collaboration and license agreement (“UT Southwestern Agreement”) with the Board of Regents of the University of Texas System on behalf of The University of Southwestern Medical Center (“UT Southwestern”). Under the UT Southwestern Agreement, UT Southwestern is primarily responsible for preclinical development activities with respect to licensed products for use in certain specified indications (up to IND-enabling studies), and the Company is responsible for all subsequent clinical development and commercialization activities with respect to the licensed products. UT Southwestern will conduct such preclinical activities for a two-year period under mutually agreed upon sponsored research agreements that were entered into beginning in April 2020. During the initial research phase, the Company has the right to expand the scope of specified indications under the UT Southwestern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UT Southwestern Agreement, the Company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the Company obtained a non-exclusive, worldwide, royalty-free license under certain patents and know-how of UT Southwestern for use in all human uses, with a right of first refusal to obtain an exclusive license under certain of such patent rights and an option to negotiate an exclusive license under other of such patent rights. The Company is required to use commercially reasonable efforts to develop, obtain regulatory approval for, and commercialize at least one licensed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2, 2020, the Company amended the UT Southwestern Agreement to include the addition of another licensed product and certain indications, and a right of first refusal to the Company over certain patient dosing patents. No additional consideration was transferred in connection with this amendment. In March 2022, the Company and UT Southwestern mutually agreed to revise the payment schedules and current performance expectations of the current sponsored research agreements under the UT Southwestern Agreement and defer payments by fifteen months. In December 2023, the Company and UT Southwestern mutually agreed to terminate specific sponsored research agreements. There are no outstanding payments due for these terminated programs as of December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UT Southwestern Agreement expires on a country-by-country and licensed product-by-licensed product basis upon the expiration of the last valid claim of a licensed patent in such country for such licensed product. After the initial research term, the Company may terminate the agreement, on an indication-by-indication and licensed product-by-licensed product basis, at any time upon specified written notice to UT Southwestern. Either party may terminate the agreement upon an uncured material breach of the agreement or insolvency of the other party. In December 2023, the Company transferred rights to specific indications back to UT Southwestern.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November 2019, as partial consideration for the license rights granted under the UT Southwestern Agreement, the Company issued 2,179,000 shares of its common stock, or 20% of its then outstanding fully-diluted common stock, to UT Southwestern. The Company does not have any future milestone or royalty obligations to UT Southwestern under the UT Southwestern Agreement other than costs related to maintenance of patents.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Queen’s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21, 2020, the Company entered into a license agreement with Queen’s (the “Queen’s Agreement”) to obtain the exclusive perpetual, royalty-bearing license, with the right to sublicense through multiple tiers, under certain patent rights and know-how of Queen’s, including certain improvements to such patent rights and know-how, to develop products in any field which use one or more valid claims of the patents licensed under the Queen’s Agreement (the “Licensed Patents”), or the technology, information and intellectual property related to the patents licensed under the Queen’s Agreement (together with the Licensed Patents, the “Licensed Products”), and to make, have made, use, sell, offer for sale, import and export Licensed Products and otherwise exploit such patents and know-how for use in certain specified indications. In exchange for the rights granted to the Company, the Company made a cash payment of $3.0 million in April 2020 which is recorded in research and development expenses in the consolidated statements of operations since the acquired license does not have an alternative future use. The Company is obligated to make aggregate cash payments of up to $10.0 million upon the completion of a combination of regulatory milestones and up to $10.0 million upon the completion of a combination of commercial milestones. In further consideration of the rights granted, beginning with the Company’s first commercial sale of the Licensed Products, the Company will also pay an annual earned royalty in the low single digits on net sales of Licensed Products, subject to certain customary reductions, and a percentage of non-royalty sublicensing revenue ranging in the low double digits. Royalties are payable, on a Licensed Products-by-Licensed Products and a country-by-country basis, until expiration of the last valid claim of a Licensed Patent covering such Licensed Products in such country and the expiration of any regulatory exclusivity for such Licensed Products in such country.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additional milestone payments were made in connection with the Queen’s Agreement during the years ended December 31, 2023 and 2022. In January 2024, the Company transferred rights back to Queen’s for the Licensed Patents.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Abeona CLN1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2020, the Company entered into license and inventory purchase agreements with Abeona Therapeutics Inc. (“Abeona”) for worldwide exclusive rights to certain intellectual property rights and know-how relating to the research, development and manufacture of ABO-202, an AAV-based gene therapy for CLN1 disease (also known as infantile Batten disease). Under the terms of the agreements, the Company made initial cash payments to Abeona of $3.0 million for the license fee and $4.0 million for purchase of clinical materials and reimbursement for previously incurred development costs in October 2020. In exchange for the license rights, the Company recorded an aggregate of $7.0 million within research and development expenses in the consolidated statements of operations for the year ended December 31, 2020 since the acquired license or acquired inventory do not have an alternative future use. The Company is obligated to make up to $26.0 million in regulatory-related milestones and up to $30.0 million in sales-related milestones per licensed CLN1 product. The Company will also pay an annual earned royalty in the high single digits on net sales of any licensed CLN1 products. The license agreement expires on a country-by-country and licensed product-by-licensed product basis upon the expiration of the last royalty term of a licensed product. Either party may terminate the agreement upon an uncured material breach of the agreement or insolvency of the other party. The Company may terminate the license agreement for convenience upon specified prior written notice to Abeona.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2021, a regulatory milestone was triggered in connection with this agreement and therefore the Company recorded $3.0 million within research and development expenses in the consolidated statements of operations for the year ended December 31, 2021. The milestone fee was paid in January 2022 and classified as an investing cash outflow in the consolidated statements of cash flows for the year ended December 31, 2022. No additional milestone payments were triggered in connection with this agreement during the years ended December 31, 2023 and 2022.</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Abeona Rett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29, 2020, the Company entered into a license agreement (the “Abeona Rett Agreement”) with Abeona pursuant to which the Company obtained an exclusive, worldwide, royalty-bearing license, with the right to grant sublicenses under certain patents, know-how and materials originally developed by the University of North Carolina at Chapel Hill, the University of Edinburgh and Abeona to research, develop, manufacture, have manufactured, use, and commercialize licensed products for gene therapy and the use of related transgenes for Rett syndrome.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Subject to certain obligations of Abeona, the Company is required to use commercially reasonable efforts to develop at least one licensed product and commercialize at least one licensed product in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Abeona Rett Agreement, the Company paid Abeona a one-time upfront license fee of $3.0 million which is recorded in research and development expenses in the consolidated statements of operations for the year ended December 31, 2020 since the acquired license does not have an alternative future use. The Company is obligated to pay Abeona up to $26.5 million in regulatory-related milestones and up to $30.0 million in sales-related milestones per licensed Rett product and high single-digit royalties on net sales of licensed Rett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Abeona Rett Agreement expires on a country-by-country and licensed product-by-licensed product basis upon the expiration of the last royalty term of a licensed product. Either party may terminate the agreement upon an uncured material breach of the agreement or insolvency of the other party. The Company may terminate the agreement for convenience upon specified prior written notice to Abeona.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2022, the Company’s CTA filing for TSHA-102 for the treatment of Rett Syndrome was approved by Health Canada and therefore triggered a regulatory milestone payment in connection with this agreement. The Company recorded $1.0 million within research and development expenses in the consolidated statements of operations for the year ended December 31, 2022. The $1.0 million regulatory milestone fee was paid in July 2022 and classified as an investing cash outflow in the consolidated statements of cash flows for the year ended December 31, 2022. In May 2023, the Company dosed the first patient with TSHA-102 in the Phase 1/2 REVEAL trial evaluating the safety and preliminary efficacy of TSHA-102 in adult patients with Rett syndrome and therefore triggered a milestone payment in connection with the Abeona Rett Agreement. The Company recorded $3.5 million within research and development expenses in the consolidated statements of operations for the year ended December 31, 2023. This milestone fee was paid in August 2023 and classified as an investing cash outflow in the consolidated statements of cash flows for the year ended December 31, 2023. No additional milestone payments were made or triggered in connection with the Abeona Rett Agreement during the years ended December 31, 2023 and 2022.</w:t>
      </w:r>
    </w:p>
    <w:p>
      <w:pPr>
        <w:pStyle w:val="TextBody"/>
        <w:bidi w:val="0"/>
        <w:spacing w:before="360" w:after="283"/>
        <w:jc w:val="left"/>
        <w:rPr>
          <w:rFonts w:ascii="Times New Roman" w:hAnsi="Times New Roman"/>
          <w:sz w:val="20"/>
        </w:rPr>
      </w:pPr>
      <w:r>
        <w:rPr>
          <w:rFonts w:ascii="Times New Roman" w:hAnsi="Times New Roman"/>
          <w:b/>
          <w:i/>
          <w:color w:val="000000"/>
          <w:sz w:val="20"/>
        </w:rPr>
        <w:t>Acquisition of Worldwide Rights for TSHA-120 for the treatment of GAN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2021, the Company acquired the exclusive worldwide rights to a clinical-stage AAV9 gene therapy program, now known as TSHA-120, for the treatment of Giant Axonal Neuropathy (“GAN”) pursuant to a license agreement with Hannah’s Hope Fund (“HHF”) for Giant Axonal Neuropathy, Inc. TSHA-120 is an intrathecally dosed AAV9 gene therapy currently being evaluated in a clinical trial for the treatment of GAN. Under the terms of the agreement, in exchange for granting the Company the exclusive worldwide rights to TSHA-120, HHF received an upfront payment of $5.5 million and will be eligible to receive clinical, regulatory and commercial milestones totaling up to $19.3 million, as well as a low, single-digit royalty on net sales upon commercialization of the product.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exchange for the license rights, the Company recorded an aggregate of $5.5 million within research and development expenses in the consolidated statements of operations for the year ended December 31, 2021, since the acquired license does not have an alternative future use. No additional milestone payments were made or triggered in connection with this agreement during the years ended December 31, 2023 and 2022.</w:t>
      </w:r>
    </w:p>
    <w:p>
      <w:pPr>
        <w:pStyle w:val="TextBody"/>
        <w:bidi w:val="0"/>
        <w:spacing w:before="360" w:after="283"/>
        <w:jc w:val="left"/>
        <w:rPr>
          <w:rFonts w:ascii="Times New Roman" w:hAnsi="Times New Roman"/>
          <w:sz w:val="20"/>
        </w:rPr>
      </w:pPr>
      <w:r>
        <w:rPr>
          <w:rFonts w:ascii="Times New Roman" w:hAnsi="Times New Roman"/>
          <w:b/>
          <w:i/>
          <w:color w:val="000000"/>
          <w:sz w:val="20"/>
        </w:rPr>
        <w:t>License Agreement for CLN7</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2022, the Company entered into a license agreement with UT Southwestern (the “CLN7 Agreement”) pursuant to which the Company obtained an exclusive worldwide, royalty-bearing license with right to grant sublicenses to develop, manufacture, use, and commercialize licensed products for gene therapy for CLN7, a form of Batten Disease. In connection with the CLN7 Agreement, the Company paid a one-time upfront license fee of $0.3 million. The Company recorded the upfront license fee in research and development expense in the consolidated statements of operations since the acquired license does not have an alternative future use. The upfront license fee was classified as an investing cash outflow in the consolidated statements of cash flows for the year ended December 31, 2022. The Company is obligated to pay UT Southwestern up to $7.7 million in regulatory-related milestones and up to $7.5 million in sales-related milestones, as well as a low, single-digit royalty on net sales upon commercialization of the product. No additional milestone payments were made in connection with this agreement during the years ended December 31, 2023 and 2022.</w:t>
      </w:r>
    </w:p>
    <w:p>
      <w:pPr>
        <w:pStyle w:val="TextBody"/>
        <w:bidi w:val="0"/>
        <w:spacing w:before="360" w:after="283"/>
        <w:jc w:val="left"/>
        <w:rPr>
          <w:rFonts w:ascii="Times New Roman" w:hAnsi="Times New Roman"/>
          <w:sz w:val="20"/>
        </w:rPr>
      </w:pPr>
      <w:r>
        <w:rPr>
          <w:rFonts w:ascii="Times New Roman" w:hAnsi="Times New Roman"/>
          <w:b/>
          <w:color w:val="000000"/>
          <w:sz w:val="20"/>
        </w:rPr>
        <w:t>Note 9—Stock-Based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1, 2020, the Company’s board of directors approved the 2020 Equity Incentive Plan (“Previous Plan”) which permits the granting of incentive stock options, non-statutory stock options, stock appreciation rights, restricted stock awards (“RSAs”), restricted stock units (“RSUs”) and other stock-based awards to employees, directors, officers and consultants. As of September 16, 2020, the approval date of the New Plan (as defined below), no additional awards will be granted under the Previous Plan. The terms of the Previous Plan will continue to govern the terms of outstanding equity awards that were granted prior to approval of the New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16, 2020, the Company’s stockholders approved the 2020 Stock Incentive Plan (“New Plan”), which became effective upon the execution of the underwriting agreement in connection with the IPO. The number of shares of common stock reserved for issuance under the New Plan automatically increases on January 1 of each year, for a period of ten years, from January 1, 2021, continuing through January 1, 2030, by 5% of the total number of shares of common stock outstanding on December 31 of the preceding calendar year, or a lesser number of shares as may be determined by the Company’s board of directors. On January 1, 2023, the Company’s board of directors increased the number of shares of common stock reserved for issuance under the New Plan by 3,160,375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on September 16, 2020, the Company’s stockholders approved the Employee Stock Purchase Plan (“ESPP”), which became effective upon the execution of the underwriting agreement in connection with the IPO. The maximum number of shares of common stock that may be issued under the ESPP will not exceed 362,000 shares of common stock, plus the number of shares of common stock that are automatically added on January 1st of each year for a period of up to ten years, commencing on the first January 1 following the IPO and ending on (and including) January 1, 2030, in an amount equal to the lesser of (i) one percent (1.0%) of the total number of shares of capital stock outstanding on December 31st of the preceding calendar year, and (ii) 724,000 shares of common stock. No shares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were added to the ESPP in 2021. On January 1, 2022 and 2023, the Company’s board of directors increased the number of shares of common stock reserved for issuance under the ESPP by 384,739 and 632,075 respectively. The Company has issued an aggregate of 141,393 shares of common stock under the ESPP as of December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15, 2023, the Company's board of directors adopted the Taysha Gene Therapies, Inc. 2023 Inducement Plan (the “Inducement Plan”). The Inducement Plan was adopted without stockholder approval pursuant to Nasdaq Listing Rule 5635(c)(4). The Board reserved 4,000,000 shares of the Company’s common stock for issuance under the Inducement Plan.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only persons eligible to receive grants of Inducement Awards (as defined below) under the Inducement Plan are individuals who satisfy the standards for inducement grants under Nasdaq Listing Rule 5635(c)(4). The Inducement Plan will be administered by the Board and the Company’s Compensation Committee. Inducement Awards may only be granted by: (i) the Compensation Committee, provided such committee is comprised solely of “independent directors” (as defined by Nasdaq Listing Rule 5605(a)(2)) or (ii) a majority of the Company’s “independent directors.” An “Inducement Award” means any right to receive the Company’s common stock, cash or other property granted under the Inducement Plan (including nonstatutory stock options, restricted stock awards, restricted stock unit awards, stock appreciation rights, performance stock awards, performance cash awards or other stock-based awards). No grants have been issued under the Inducement Plan as of December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number of shares available for grant under the Company’s incentive plans were as follows:</w:t>
      </w:r>
    </w:p>
    <w:p>
      <w:pPr>
        <w:pStyle w:val="TextBody"/>
        <w:bidi w:val="0"/>
        <w:spacing w:before="120" w:after="283"/>
        <w:jc w:val="left"/>
        <w:rPr/>
      </w:pPr>
      <w:r>
        <w:rPr/>
        <w:t> </w:t>
      </w:r>
    </w:p>
    <w:tbl>
      <w:tblPr>
        <w:tblW w:w="9247" w:type="dxa"/>
        <w:jc w:val="left"/>
        <w:tblInd w:w="0" w:type="dxa"/>
        <w:tblLayout w:type="fixed"/>
        <w:tblCellMar>
          <w:top w:w="28" w:type="dxa"/>
          <w:left w:w="28" w:type="dxa"/>
          <w:bottom w:w="28" w:type="dxa"/>
          <w:right w:w="28" w:type="dxa"/>
        </w:tblCellMar>
      </w:tblPr>
      <w:tblGrid>
        <w:gridCol w:w="3436"/>
        <w:gridCol w:w="146"/>
        <w:gridCol w:w="146"/>
        <w:gridCol w:w="841"/>
        <w:gridCol w:w="166"/>
        <w:gridCol w:w="146"/>
        <w:gridCol w:w="146"/>
        <w:gridCol w:w="991"/>
        <w:gridCol w:w="166"/>
        <w:gridCol w:w="146"/>
        <w:gridCol w:w="146"/>
        <w:gridCol w:w="931"/>
        <w:gridCol w:w="146"/>
        <w:gridCol w:w="146"/>
        <w:gridCol w:w="146"/>
        <w:gridCol w:w="991"/>
        <w:gridCol w:w="41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Previous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New</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Inducement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7"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34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Plan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Plan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Plan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Available for grant - January 1, 2022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1,652,101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1,652,101</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4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Plan adjustments and amendments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1,923,697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1,923,697</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4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(4,775,676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(4,775,676</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Forfeitures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2,267,560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2,267,560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Available for grant -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1,067,682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1,067,682</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4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Plan adjustments and amendments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(667,828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3,828,203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7,160,375</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4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(5,447,757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(5,447,757</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Forfeitures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667,828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3,714,597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4,382,425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Available for grant -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3,162,725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7,162,725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Stock Options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year ended December 31, 2023, 2,726,871 shares of common stock under the New Plan were awarded with a weighted-average grant date fair value per share of $0.71. The stock options vest over one to four years and have a ten-year contractual term.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weighted-average assumptions were used to estimate the fair value of time-based vesting stock options that were granted during the years ended December 31, 2023 and 2022:</w:t>
      </w:r>
    </w:p>
    <w:p>
      <w:pPr>
        <w:pStyle w:val="TextBody"/>
        <w:bidi w:val="0"/>
        <w:spacing w:before="240" w:after="283"/>
        <w:jc w:val="left"/>
        <w:rPr/>
      </w:pPr>
      <w:r>
        <w:rPr/>
        <w:t> </w:t>
      </w:r>
    </w:p>
    <w:tbl>
      <w:tblPr>
        <w:tblW w:w="4585" w:type="dxa"/>
        <w:jc w:val="left"/>
        <w:tblInd w:w="0" w:type="dxa"/>
        <w:tblLayout w:type="fixed"/>
        <w:tblCellMar>
          <w:top w:w="28" w:type="dxa"/>
          <w:left w:w="28" w:type="dxa"/>
          <w:bottom w:w="28" w:type="dxa"/>
          <w:right w:w="28" w:type="dxa"/>
        </w:tblCellMar>
      </w:tblPr>
      <w:tblGrid>
        <w:gridCol w:w="2131"/>
        <w:gridCol w:w="146"/>
        <w:gridCol w:w="177"/>
        <w:gridCol w:w="566"/>
        <w:gridCol w:w="329"/>
        <w:gridCol w:w="177"/>
        <w:gridCol w:w="177"/>
        <w:gridCol w:w="566"/>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9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16" w:type="dxa"/>
            <w:tcBorders/>
            <w:shd w:fill="FFFFFF" w:val="clear"/>
            <w:vAlign w:val="center"/>
          </w:tcPr>
          <w:p>
            <w:pPr>
              <w:pStyle w:val="TableContents"/>
              <w:bidi w:val="0"/>
              <w:spacing w:before="0" w:after="283"/>
              <w:jc w:val="center"/>
              <w:rPr/>
            </w:pPr>
            <w:r>
              <w:rPr/>
              <w:t> </w:t>
            </w:r>
          </w:p>
        </w:tc>
      </w:tr>
      <w:tr>
        <w:trPr/>
        <w:tc>
          <w:tcPr>
            <w:tcW w:w="21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vAlign w:val="center"/>
          </w:tcPr>
          <w:p>
            <w:pPr>
              <w:pStyle w:val="TableContents"/>
              <w:bidi w:val="0"/>
              <w:spacing w:before="0" w:after="283"/>
              <w:jc w:val="center"/>
              <w:rPr/>
            </w:pPr>
            <w:r>
              <w:rPr/>
              <w:t> </w:t>
            </w:r>
          </w:p>
        </w:tc>
        <w:tc>
          <w:tcPr>
            <w:tcW w:w="7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5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3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5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right"/>
              <w:rPr>
                <w:color w:val="000000"/>
              </w:rPr>
            </w:pPr>
            <w:r>
              <w:rPr>
                <w:color w:val="000000"/>
              </w:rPr>
              <w:t>—</w:t>
            </w:r>
          </w:p>
        </w:tc>
        <w:tc>
          <w:tcPr>
            <w:tcW w:w="329"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right"/>
              <w:rPr>
                <w:color w:val="000000"/>
              </w:rPr>
            </w:pPr>
            <w:r>
              <w:rPr>
                <w:color w:val="000000"/>
              </w:rPr>
              <w:t>—</w:t>
            </w:r>
          </w:p>
        </w:tc>
        <w:tc>
          <w:tcPr>
            <w:tcW w:w="316" w:type="dxa"/>
            <w:tcBorders/>
            <w:shd w:fill="FFFFFF" w:val="clear"/>
            <w:vAlign w:val="center"/>
          </w:tcPr>
          <w:p>
            <w:pPr>
              <w:pStyle w:val="TableContents"/>
              <w:bidi w:val="0"/>
              <w:spacing w:before="0" w:after="283"/>
              <w:jc w:val="left"/>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5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29"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5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16" w:type="dxa"/>
            <w:tcBorders/>
            <w:shd w:fill="CFF0FC" w:val="clear"/>
            <w:vAlign w:val="center"/>
          </w:tcPr>
          <w:p>
            <w:pPr>
              <w:pStyle w:val="TableContents"/>
              <w:bidi w:val="0"/>
              <w:spacing w:before="0" w:after="283"/>
              <w:jc w:val="left"/>
              <w:rPr/>
            </w:pPr>
            <w:r>
              <w:rPr/>
              <w:t> </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32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summarizes time-based vesting stock option activity, during the years ended December 31, 2023 and 2022: </w:t>
      </w:r>
    </w:p>
    <w:p>
      <w:pPr>
        <w:pStyle w:val="TextBody"/>
        <w:bidi w:val="0"/>
        <w:jc w:val="left"/>
        <w:rPr/>
      </w:pPr>
      <w:r>
        <w:rPr/>
        <w:t> </w:t>
      </w:r>
    </w:p>
    <w:tbl>
      <w:tblPr>
        <w:tblW w:w="9157" w:type="dxa"/>
        <w:jc w:val="left"/>
        <w:tblInd w:w="0" w:type="dxa"/>
        <w:tblLayout w:type="fixed"/>
        <w:tblCellMar>
          <w:top w:w="28" w:type="dxa"/>
          <w:left w:w="28" w:type="dxa"/>
          <w:bottom w:w="28" w:type="dxa"/>
          <w:right w:w="28" w:type="dxa"/>
        </w:tblCellMar>
      </w:tblPr>
      <w:tblGrid>
        <w:gridCol w:w="3541"/>
        <w:gridCol w:w="146"/>
        <w:gridCol w:w="146"/>
        <w:gridCol w:w="991"/>
        <w:gridCol w:w="166"/>
        <w:gridCol w:w="146"/>
        <w:gridCol w:w="214"/>
        <w:gridCol w:w="582"/>
        <w:gridCol w:w="146"/>
        <w:gridCol w:w="146"/>
        <w:gridCol w:w="322"/>
        <w:gridCol w:w="803"/>
        <w:gridCol w:w="146"/>
        <w:gridCol w:w="146"/>
        <w:gridCol w:w="303"/>
        <w:gridCol w:w="822"/>
        <w:gridCol w:w="3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35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391" w:type="dxa"/>
            <w:tcBorders/>
            <w:shd w:fill="FFFFFF" w:val="clear"/>
            <w:vAlign w:val="center"/>
          </w:tcPr>
          <w:p>
            <w:pPr>
              <w:pStyle w:val="TableContents"/>
              <w:bidi w:val="0"/>
              <w:spacing w:before="0" w:after="283"/>
              <w:jc w:val="center"/>
              <w:rPr/>
            </w:pPr>
            <w:r>
              <w:rPr/>
              <w:t> </w:t>
            </w:r>
          </w:p>
        </w:tc>
      </w:tr>
      <w:tr>
        <w:trPr/>
        <w:tc>
          <w:tcPr>
            <w:tcW w:w="35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r>
          </w:p>
        </w:tc>
        <w:tc>
          <w:tcPr>
            <w:tcW w:w="391" w:type="dxa"/>
            <w:tcBorders/>
            <w:shd w:fill="FFFFFF" w:val="clear"/>
            <w:vAlign w:val="center"/>
          </w:tcPr>
          <w:p>
            <w:pPr>
              <w:pStyle w:val="TableContents"/>
              <w:bidi w:val="0"/>
              <w:spacing w:before="0" w:after="283"/>
              <w:jc w:val="center"/>
              <w:rPr/>
            </w:pPr>
            <w:r>
              <w:rPr/>
              <w:t> </w:t>
            </w:r>
          </w:p>
        </w:tc>
      </w:tr>
      <w:tr>
        <w:trPr/>
        <w:tc>
          <w:tcPr>
            <w:tcW w:w="35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391" w:type="dxa"/>
            <w:tcBorders/>
            <w:shd w:fill="FFFFFF" w:val="clear"/>
            <w:vAlign w:val="center"/>
          </w:tcPr>
          <w:p>
            <w:pPr>
              <w:pStyle w:val="TableContents"/>
              <w:bidi w:val="0"/>
              <w:spacing w:before="0" w:after="283"/>
              <w:jc w:val="center"/>
              <w:rPr/>
            </w:pPr>
            <w:r>
              <w:rPr/>
              <w:t> </w:t>
            </w:r>
          </w:p>
        </w:tc>
      </w:tr>
      <w:tr>
        <w:trPr/>
        <w:tc>
          <w:tcPr>
            <w:tcW w:w="35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Life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January 1, 2022</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3,649,962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4,775,676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5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Options cancelled or forfeited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(2,048,192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5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Options expired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(219,368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5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6,158,078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2,726,871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5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Options cancelled or forfeited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(2,050,562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5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Options expired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(873,465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5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5,960,922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at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1,580,373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aggregate intrinsic value in the above table is calculated as the difference between the fair value of the Company’s common stock at the respective reporting date and the exercise price of the stock options. As of December 31, 2023, the total unrecognized compensation related to unvested time-based vesting stock option awards granted was $8.4 million, which the Company expects to recognize over a weighted-average period of approximately 1.9 years. No stock options were exercised during the years ended December 31, 2023 and 2022.</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Performance 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2023, the Company issued options to purchase 70,235 shares of common stock to employees under the New Plan that contain performance-based vesting conditions, subject to continued employment through each anniversary and achievement of the performance conditions. The grant date fair value of these awards was not material. As of December 31, 2023, 58,346 of the shares subject to the performance-based options were outstanding, all of which vested during the period. No stock options were exercised during the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2023, the Company issued options to purchase 2,166,653 shares of common stock to employees under the New Plan that contain both service and performance-based vesting conditions (the "Original Options"), with a weighted average grant date fair value per share of $0.50. These Original Options were expected to vest over a 3.6 year term if a combination of clinical, regulatory and financing performance conditions were achieved. No compensation expense was recognized in 2023 related to the Original Options as achievement of the performance conditions was not considered probable. The following weighted-average assumptions were used to estimate the fair value of the options granted in February 2023 and the Original Options that were granted in May 2023:</w:t>
      </w:r>
    </w:p>
    <w:p>
      <w:pPr>
        <w:pStyle w:val="TextBody"/>
        <w:bidi w:val="0"/>
        <w:jc w:val="left"/>
        <w:rPr/>
      </w:pPr>
      <w:r>
        <w:rPr/>
        <w:t> </w:t>
      </w:r>
    </w:p>
    <w:tbl>
      <w:tblPr>
        <w:tblW w:w="3205" w:type="dxa"/>
        <w:jc w:val="left"/>
        <w:tblInd w:w="0" w:type="dxa"/>
        <w:tblLayout w:type="fixed"/>
        <w:tblCellMar>
          <w:top w:w="28" w:type="dxa"/>
          <w:left w:w="28" w:type="dxa"/>
          <w:bottom w:w="28" w:type="dxa"/>
          <w:right w:w="28" w:type="dxa"/>
        </w:tblCellMar>
      </w:tblPr>
      <w:tblGrid>
        <w:gridCol w:w="2131"/>
        <w:gridCol w:w="146"/>
        <w:gridCol w:w="146"/>
        <w:gridCol w:w="466"/>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r>
      <w:tr>
        <w:trPr/>
        <w:tc>
          <w:tcPr>
            <w:tcW w:w="21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shd w:fill="FFFFFF" w:val="clear"/>
            <w:vAlign w:val="center"/>
          </w:tcPr>
          <w:p>
            <w:pPr>
              <w:pStyle w:val="TableContents"/>
              <w:bidi w:val="0"/>
              <w:spacing w:before="0" w:after="283"/>
              <w:jc w:val="center"/>
              <w:rPr/>
            </w:pPr>
            <w:r>
              <w:rPr/>
              <w:t> </w:t>
            </w:r>
          </w:p>
        </w:tc>
        <w:tc>
          <w:tcPr>
            <w:tcW w:w="316" w:type="dxa"/>
            <w:tcBorders/>
            <w:shd w:fill="FFFFFF" w:val="clear"/>
            <w:vAlign w:val="center"/>
          </w:tcPr>
          <w:p>
            <w:pPr>
              <w:pStyle w:val="TableContents"/>
              <w:bidi w:val="0"/>
              <w:spacing w:before="0" w:after="283"/>
              <w:jc w:val="center"/>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316" w:type="dxa"/>
            <w:tcBorders/>
            <w:shd w:fill="FFFFFF" w:val="clear"/>
            <w:vAlign w:val="center"/>
          </w:tcPr>
          <w:p>
            <w:pPr>
              <w:pStyle w:val="TableContents"/>
              <w:bidi w:val="0"/>
              <w:spacing w:before="0" w:after="283"/>
              <w:jc w:val="left"/>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16" w:type="dxa"/>
            <w:tcBorders/>
            <w:shd w:fill="CFF0FC" w:val="clear"/>
            <w:vAlign w:val="center"/>
          </w:tcPr>
          <w:p>
            <w:pPr>
              <w:pStyle w:val="TableContents"/>
              <w:bidi w:val="0"/>
              <w:spacing w:before="0" w:after="283"/>
              <w:jc w:val="left"/>
              <w:rPr/>
            </w:pPr>
            <w:r>
              <w:rPr/>
              <w:t> </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color w:val="000000"/>
          <w:sz w:val="20"/>
        </w:rPr>
        <w:t xml:space="preserve">In December 2023, the Company modified all of the Original Options to amend the clinical and regulatory performance conditions and decreased the number of options granted to 1,516,655 (the “Modified Options”). The Company accounted for the changes in award terms as a modification in accordance with ASC 718, </w:t>
      </w:r>
      <w:r>
        <w:rPr>
          <w:rFonts w:ascii="Times New Roman" w:hAnsi="Times New Roman"/>
          <w:i/>
          <w:color w:val="000000"/>
          <w:sz w:val="20"/>
        </w:rPr>
        <w:t>Compensation - Stock Compensation</w:t>
      </w:r>
      <w:r>
        <w:rPr>
          <w:rFonts w:ascii="Times New Roman" w:hAnsi="Times New Roman"/>
          <w:color w:val="000000"/>
          <w:sz w:val="20"/>
        </w:rPr>
        <w:t>. Total compensation cost is equal to the modification date fair value. The Modified Options have a grant date fair value per share of $1.28. The following assumptions were used to estimate the fair value of the Modified Options:</w:t>
      </w:r>
    </w:p>
    <w:p>
      <w:pPr>
        <w:pStyle w:val="TextBody"/>
        <w:bidi w:val="0"/>
        <w:spacing w:before="120" w:after="283"/>
        <w:jc w:val="left"/>
        <w:rPr/>
      </w:pPr>
      <w:r>
        <w:rPr/>
        <w:t> </w:t>
      </w:r>
    </w:p>
    <w:tbl>
      <w:tblPr>
        <w:tblW w:w="3205" w:type="dxa"/>
        <w:jc w:val="left"/>
        <w:tblInd w:w="0" w:type="dxa"/>
        <w:tblLayout w:type="fixed"/>
        <w:tblCellMar>
          <w:top w:w="28" w:type="dxa"/>
          <w:left w:w="28" w:type="dxa"/>
          <w:bottom w:w="28" w:type="dxa"/>
          <w:right w:w="28" w:type="dxa"/>
        </w:tblCellMar>
      </w:tblPr>
      <w:tblGrid>
        <w:gridCol w:w="2131"/>
        <w:gridCol w:w="146"/>
        <w:gridCol w:w="146"/>
        <w:gridCol w:w="466"/>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shd w:fill="FFFFFF" w:val="clear"/>
            <w:vAlign w:val="center"/>
          </w:tcPr>
          <w:p>
            <w:pPr>
              <w:pStyle w:val="TableContents"/>
              <w:bidi w:val="0"/>
              <w:spacing w:before="0" w:after="283"/>
              <w:jc w:val="center"/>
              <w:rPr/>
            </w:pPr>
            <w:r>
              <w:rPr/>
              <w:t> </w:t>
            </w:r>
          </w:p>
        </w:tc>
        <w:tc>
          <w:tcPr>
            <w:tcW w:w="316" w:type="dxa"/>
            <w:tcBorders/>
            <w:shd w:fill="FFFFFF" w:val="clear"/>
            <w:vAlign w:val="center"/>
          </w:tcPr>
          <w:p>
            <w:pPr>
              <w:pStyle w:val="TableContents"/>
              <w:bidi w:val="0"/>
              <w:spacing w:before="0" w:after="283"/>
              <w:jc w:val="center"/>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316" w:type="dxa"/>
            <w:tcBorders/>
            <w:shd w:fill="FFFFFF" w:val="clear"/>
            <w:vAlign w:val="center"/>
          </w:tcPr>
          <w:p>
            <w:pPr>
              <w:pStyle w:val="TableContents"/>
              <w:bidi w:val="0"/>
              <w:spacing w:before="0" w:after="283"/>
              <w:jc w:val="left"/>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16" w:type="dxa"/>
            <w:tcBorders/>
            <w:shd w:fill="CFF0FC" w:val="clear"/>
            <w:vAlign w:val="center"/>
          </w:tcPr>
          <w:p>
            <w:pPr>
              <w:pStyle w:val="TableContents"/>
              <w:bidi w:val="0"/>
              <w:spacing w:before="0" w:after="283"/>
              <w:jc w:val="left"/>
              <w:rPr/>
            </w:pPr>
            <w:r>
              <w:rPr/>
              <w:t> </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The Modified Options will vest over 3.0 years. The Company recognized stock-based compensation expense of $0.1 million in 2023 related to the Modified Options. As of December 31, 2023, the total unrecognized compensation expense related to the Modified Options was $1.9 million, which the Company expects to recognize over a weighted average period of approximately 2.0 years using the accelerated attribution method. As of December 31, 2023, 1,516,655 of the Modified Options were outstanding. No stock options vested or were exercised during the period.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Market-based 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2023, the Company issued options to purchase 70,233 shares of common stock to employees under the New Plan that contain a market-based vesting condition, subject to continued employment through each anniversary and achievement of the market condition. The grant date fair value of the stock options that contain market-based vesting conditions was not material. As of December 31, 2023, the market condition was not met and all 70,233 shares were forfeited.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2023, the Company issued 81,236 RSUs to employees under the New Plan. The RSUs are subject to a service-based vesting condition. The service-based RSUs vest in equal annual installments over a four-year period. The Company at any time may accelerate the vesting of the RSUs. Such shares are not accounted for as outstanding until they vest.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default tax withholding method for RSUs granted prior to 2023 is the sell-to-cover method, in which shares with a market value equivalent to the tax withholding obligation are sold on behalf of the holder of the RSUs upon vesting and settlement to cover the tax withholding liability and the cash proceeds from such sales are remitted by the Company to taxing authorities. For RSUs granted in 2023, the Company’s tax withholding policy allows the RSU holder to choose to either pay cash to the Company for the tax withholding obligation or elect the net withholding method, in which shares with a market equivalent to the tax withholding obligation are withheld and the net shares are issued to the RSU holder.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2023, the Company issued 251,296 RSUs to the former President and Chief Executive officer of the Company in connection with his resignation from the Company and Board of Directors. The RSUs vested immediately.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RSU activity for the years ended December 31, 2023 and 2022 was as follows: </w:t>
      </w:r>
    </w:p>
    <w:tbl>
      <w:tblPr>
        <w:tblW w:w="5677" w:type="dxa"/>
        <w:jc w:val="left"/>
        <w:tblInd w:w="0" w:type="dxa"/>
        <w:tblLayout w:type="fixed"/>
        <w:tblCellMar>
          <w:top w:w="28" w:type="dxa"/>
          <w:left w:w="28" w:type="dxa"/>
          <w:bottom w:w="28" w:type="dxa"/>
          <w:right w:w="28" w:type="dxa"/>
        </w:tblCellMar>
      </w:tblPr>
      <w:tblGrid>
        <w:gridCol w:w="2806"/>
        <w:gridCol w:w="146"/>
        <w:gridCol w:w="146"/>
        <w:gridCol w:w="931"/>
        <w:gridCol w:w="166"/>
        <w:gridCol w:w="146"/>
        <w:gridCol w:w="294"/>
        <w:gridCol w:w="651"/>
        <w:gridCol w:w="39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391" w:type="dxa"/>
            <w:tcBorders/>
            <w:shd w:fill="FFFFFF" w:val="clear"/>
            <w:vAlign w:val="center"/>
          </w:tcPr>
          <w:p>
            <w:pPr>
              <w:pStyle w:val="TableContents"/>
              <w:bidi w:val="0"/>
              <w:spacing w:before="0" w:after="283"/>
              <w:jc w:val="center"/>
              <w:rPr/>
            </w:pPr>
            <w:r>
              <w:rPr/>
              <w:t> </w:t>
            </w:r>
          </w:p>
        </w:tc>
      </w:tr>
      <w:tr>
        <w:trPr/>
        <w:tc>
          <w:tcPr>
            <w:tcW w:w="28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391" w:type="dxa"/>
            <w:tcBorders/>
            <w:shd w:fill="FFFFFF" w:val="clear"/>
            <w:vAlign w:val="center"/>
          </w:tcPr>
          <w:p>
            <w:pPr>
              <w:pStyle w:val="TableContents"/>
              <w:bidi w:val="0"/>
              <w:spacing w:before="0" w:after="283"/>
              <w:jc w:val="center"/>
              <w:rPr/>
            </w:pPr>
            <w:r>
              <w:rPr/>
              <w:t> </w:t>
            </w:r>
          </w:p>
        </w:tc>
      </w:tr>
      <w:tr>
        <w:trPr/>
        <w:tc>
          <w:tcPr>
            <w:tcW w:w="28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391" w:type="dxa"/>
            <w:tcBorders/>
            <w:shd w:fill="FFFFFF" w:val="clear"/>
            <w:vAlign w:val="center"/>
          </w:tcPr>
          <w:p>
            <w:pPr>
              <w:pStyle w:val="TableContents"/>
              <w:bidi w:val="0"/>
              <w:spacing w:before="0" w:after="283"/>
              <w:jc w:val="center"/>
              <w:rPr/>
            </w:pPr>
            <w:r>
              <w:rPr/>
              <w:t> </w:t>
            </w:r>
          </w:p>
        </w:tc>
      </w:tr>
      <w:tr>
        <w:trPr/>
        <w:tc>
          <w:tcPr>
            <w:tcW w:w="28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shd w:fill="FFFFFF" w:val="clear"/>
            <w:vAlign w:val="center"/>
          </w:tcPr>
          <w:p>
            <w:pPr>
              <w:pStyle w:val="TableContents"/>
              <w:bidi w:val="0"/>
              <w:spacing w:before="0" w:after="283"/>
              <w:jc w:val="center"/>
              <w:rPr/>
            </w:pPr>
            <w:r>
              <w:rPr/>
              <w:t> </w:t>
            </w:r>
          </w:p>
        </w:tc>
      </w:tr>
      <w:tr>
        <w:trPr/>
        <w:tc>
          <w:tcPr>
            <w:tcW w:w="28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January 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1,886,765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8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units 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65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8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(628,921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6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8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Cancelled or 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1,257,844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8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units 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332,532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6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8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(556,989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6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8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Cancelled or 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(658,343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the total unrecognized compensation related to unvested RSUs granted was $1.4 million which is expected to be amortized on a straight-line basis over a weighted-average period of approximately 0.7 years.</w:t>
      </w:r>
    </w:p>
    <w:p>
      <w:pPr>
        <w:pStyle w:val="TextBody"/>
        <w:bidi w:val="0"/>
        <w:spacing w:before="4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Performance and Market-based 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2023, the Company issued 81,233 RSUs to employees under the New Plan that contain a combination of performance and market-based vesting conditions, subject to continued employment through each anniversary and achievement of market and performance conditions. The grant date fair value of the RSUs that contain performance and market-based vesting conditions was not material. As of December 31, 2023, 46,562 of the RSUs were forfeited and 34,671 RSUs vested and were settled during the period.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Restricted Stock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former President and Chief Executive Officer, was awarded 769,058 RSAs under the Existing Plan on July 1, 2020, which vested over a three-year term, subject to continuous employment. The fair value of these RSAs at the grant date of July 1, 2020, was $5.28 per share. On March 2, 2023, the Company’s former President and Chief Executive Officer resigned from the Board of Directors, therefore cancelling any remaining unvested tranches.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RSA activity for the years ended December 31, 2023 and 2022 was as follows: </w:t>
      </w:r>
    </w:p>
    <w:tbl>
      <w:tblPr>
        <w:tblW w:w="5587" w:type="dxa"/>
        <w:jc w:val="left"/>
        <w:tblInd w:w="0" w:type="dxa"/>
        <w:tblLayout w:type="fixed"/>
        <w:tblCellMar>
          <w:top w:w="28" w:type="dxa"/>
          <w:left w:w="28" w:type="dxa"/>
          <w:bottom w:w="28" w:type="dxa"/>
          <w:right w:w="28" w:type="dxa"/>
        </w:tblCellMar>
      </w:tblPr>
      <w:tblGrid>
        <w:gridCol w:w="2806"/>
        <w:gridCol w:w="146"/>
        <w:gridCol w:w="146"/>
        <w:gridCol w:w="841"/>
        <w:gridCol w:w="166"/>
        <w:gridCol w:w="146"/>
        <w:gridCol w:w="294"/>
        <w:gridCol w:w="651"/>
        <w:gridCol w:w="39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8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391" w:type="dxa"/>
            <w:tcBorders/>
            <w:shd w:fill="FFFFFF" w:val="clear"/>
            <w:vAlign w:val="center"/>
          </w:tcPr>
          <w:p>
            <w:pPr>
              <w:pStyle w:val="TableContents"/>
              <w:bidi w:val="0"/>
              <w:spacing w:before="0" w:after="283"/>
              <w:jc w:val="center"/>
              <w:rPr/>
            </w:pPr>
            <w:r>
              <w:rPr/>
              <w:t> </w:t>
            </w:r>
          </w:p>
        </w:tc>
      </w:tr>
      <w:tr>
        <w:trPr/>
        <w:tc>
          <w:tcPr>
            <w:tcW w:w="28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8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391" w:type="dxa"/>
            <w:tcBorders/>
            <w:shd w:fill="FFFFFF" w:val="clear"/>
            <w:vAlign w:val="center"/>
          </w:tcPr>
          <w:p>
            <w:pPr>
              <w:pStyle w:val="TableContents"/>
              <w:bidi w:val="0"/>
              <w:spacing w:before="0" w:after="283"/>
              <w:jc w:val="center"/>
              <w:rPr/>
            </w:pPr>
            <w:r>
              <w:rPr/>
              <w:t> </w:t>
            </w:r>
          </w:p>
        </w:tc>
      </w:tr>
      <w:tr>
        <w:trPr/>
        <w:tc>
          <w:tcPr>
            <w:tcW w:w="28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8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391" w:type="dxa"/>
            <w:tcBorders/>
            <w:shd w:fill="FFFFFF" w:val="clear"/>
            <w:vAlign w:val="center"/>
          </w:tcPr>
          <w:p>
            <w:pPr>
              <w:pStyle w:val="TableContents"/>
              <w:bidi w:val="0"/>
              <w:spacing w:before="0" w:after="283"/>
              <w:jc w:val="center"/>
              <w:rPr/>
            </w:pPr>
            <w:r>
              <w:rPr/>
              <w:t> </w:t>
            </w:r>
          </w:p>
        </w:tc>
      </w:tr>
      <w:tr>
        <w:trPr/>
        <w:tc>
          <w:tcPr>
            <w:tcW w:w="28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shd w:fill="FFFFFF" w:val="clear"/>
            <w:vAlign w:val="center"/>
          </w:tcPr>
          <w:p>
            <w:pPr>
              <w:pStyle w:val="TableContents"/>
              <w:bidi w:val="0"/>
              <w:spacing w:before="0" w:after="283"/>
              <w:jc w:val="center"/>
              <w:rPr/>
            </w:pPr>
            <w:r>
              <w:rPr/>
              <w:t> </w:t>
            </w:r>
          </w:p>
        </w:tc>
      </w:tr>
      <w:tr>
        <w:trPr/>
        <w:tc>
          <w:tcPr>
            <w:tcW w:w="28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January 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341,975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8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stock 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65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8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(256,481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8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stock granted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65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8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(64,120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6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8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Cancelled or forfeited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2022, the Company’s board of directors authorized the first offering under the ESPP. Under the ESPP, eligible employees may purchase shares of Taysha common stock through payroll deductions at a price equal to 85% of the lower of the fair market values of the stock as of the beginning or the end of six-month offering periods. An employee’s payroll deductions under the ESPP are limited to 15% of the employee’s compensation and employees may not purchase more than 1,800 of shares of Taysha common stock during any offering period. During the years ended December 31, 2023 and 2022, stock-based compensation expense related to the ESPP was not material.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total stock-based compensation expense for the stock options, ESPP, RSAs and RSUs recorded in the consolidated statements of operations for the years ended December 31, 2023 and 2022 (in thousands):</w:t>
      </w:r>
    </w:p>
    <w:p>
      <w:pPr>
        <w:pStyle w:val="TextBody"/>
        <w:bidi w:val="0"/>
        <w:spacing w:before="120" w:after="283"/>
        <w:jc w:val="left"/>
        <w:rPr/>
      </w:pPr>
      <w:r>
        <w:rPr/>
        <w:t> </w:t>
      </w:r>
    </w:p>
    <w:tbl>
      <w:tblPr>
        <w:tblW w:w="6331" w:type="dxa"/>
        <w:jc w:val="left"/>
        <w:tblInd w:w="0" w:type="dxa"/>
        <w:tblLayout w:type="fixed"/>
        <w:tblCellMar>
          <w:top w:w="28" w:type="dxa"/>
          <w:left w:w="28" w:type="dxa"/>
          <w:bottom w:w="28" w:type="dxa"/>
          <w:right w:w="28" w:type="dxa"/>
        </w:tblCellMar>
      </w:tblPr>
      <w:tblGrid>
        <w:gridCol w:w="3016"/>
        <w:gridCol w:w="346"/>
        <w:gridCol w:w="277"/>
        <w:gridCol w:w="751"/>
        <w:gridCol w:w="192"/>
        <w:gridCol w:w="192"/>
        <w:gridCol w:w="277"/>
        <w:gridCol w:w="889"/>
        <w:gridCol w:w="391"/>
      </w:tblGrid>
      <w:tr>
        <w:trPr/>
        <w:tc>
          <w:tcPr>
            <w:tcW w:w="30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2578"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391" w:type="dxa"/>
            <w:tcBorders/>
            <w:shd w:fill="FFFFFF" w:val="clear"/>
            <w:vAlign w:val="center"/>
          </w:tcPr>
          <w:p>
            <w:pPr>
              <w:pStyle w:val="TableContents"/>
              <w:bidi w:val="0"/>
              <w:spacing w:before="0" w:after="283"/>
              <w:jc w:val="center"/>
              <w:rPr/>
            </w:pPr>
            <w:r>
              <w:rPr/>
              <w:t> </w:t>
            </w:r>
          </w:p>
        </w:tc>
      </w:tr>
      <w:tr>
        <w:trPr/>
        <w:tc>
          <w:tcPr>
            <w:tcW w:w="301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shd w:fill="FFFFFF" w:val="clear"/>
            <w:vAlign w:val="center"/>
          </w:tcPr>
          <w:p>
            <w:pPr>
              <w:pStyle w:val="TableContents"/>
              <w:bidi w:val="0"/>
              <w:spacing w:before="0" w:after="283"/>
              <w:jc w:val="center"/>
              <w:rPr/>
            </w:pPr>
            <w:r>
              <w:rPr/>
              <w:t> </w:t>
            </w:r>
          </w:p>
        </w:tc>
        <w:tc>
          <w:tcPr>
            <w:tcW w:w="11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w:t>
            </w:r>
          </w:p>
        </w:tc>
        <w:tc>
          <w:tcPr>
            <w:tcW w:w="3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2,225</w:t>
            </w:r>
          </w:p>
        </w:tc>
        <w:tc>
          <w:tcPr>
            <w:tcW w:w="192"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7,608</w:t>
            </w:r>
          </w:p>
        </w:tc>
        <w:tc>
          <w:tcPr>
            <w:tcW w:w="391" w:type="dxa"/>
            <w:tcBorders/>
            <w:shd w:fill="CFF0FC" w:val="clear"/>
            <w:vAlign w:val="center"/>
          </w:tcPr>
          <w:p>
            <w:pPr>
              <w:pStyle w:val="TableContents"/>
              <w:bidi w:val="0"/>
              <w:spacing w:before="0" w:after="283"/>
              <w:jc w:val="left"/>
              <w:rPr/>
            </w:pPr>
            <w:r>
              <w:rPr/>
              <w:t> </w:t>
            </w:r>
          </w:p>
        </w:tc>
      </w:tr>
      <w:tr>
        <w:trPr/>
        <w:tc>
          <w:tcPr>
            <w:tcW w:w="30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w:t>
            </w:r>
          </w:p>
        </w:tc>
        <w:tc>
          <w:tcPr>
            <w:tcW w:w="346" w:type="dxa"/>
            <w:tcBorders/>
            <w:shd w:fill="FFFFFF" w:val="cle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5,680</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7,905</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10—Warrants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Pre-Funded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14, 2023, the Company entered into a Securities Purchase Agreement (the “August 2023 Purchase Agreement”) with certain institutional and other accredited investors (the “Purchasers”), pursuant to which the Company agreed to sell and issue to the Purchasers in a private placement transaction (the “August 2023 Private Placement”) (i) 122,412,376 shares (the “PIPE Shares”) of the Company’s common stock, and (ii) with respect to certain Purchasers, pre-funded warrants to purchase 44,250,978 shares of the Company’s common stock (the “Pre-Funded Warrants”) in lieu of shares of the Company’s common stock. The purchase price per share of common stock was $0.90 per share (the “Purchase Price”), and the purchase price for the Pre-Funded Warrants was the Purchase Price minus $0.001 per Pre-Funded Warrant.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Pre-Funded Warrants have a per share exercise price of $0.001, subject to proportional adjustments in the event of stock splits or combinations or similar events. The Pre-Funded Warrants will not expire until exercised in full. The Pre-Funded Warrants may not be exercised if the aggregate number of shares of common stock beneficially owned by the holder thereof immediately following such exercise would exceed a specified beneficial ownership limitation; provided, however, that a holder may increase or decrease the beneficial ownership limitation by giving 61 days’ notice to the Company, but not to any percentage in excess of 19.99%. The exercise of the Pre-Funded Warrants was also contingent upon receipt of stockholder approval of an increase in the authorized shares of the Company’s common stock (the “Stockholder Approval”), which the Company obtained at a special meeting of stockholders held on November 15,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closing of the August 2023 Private Placement occurred on August 16, 2023 (the “Closing”). The total gross proceeds to the Company at the Closing were $150.0 million, and after deducting placement agent commissions and offering expenses payable by the Company, net proceeds were $140.3 million. The Company used the with-and-without method to allocate the total gross proceeds by first allocating the portion of the proceeds equal to the fair value of the Pre-Funded Warrants on the Closing date with the remaining proceeds allocated to the PIPE Shares on a residual basis.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concluded that at the closing of the Private Placement in August 2023, the Pre-Funded Warrants did not meet the criteria for equity classification under the guidance of ASC 815 as the Company did not have sufficient authorized and unissued shares to satisfy the warrants if exercised. The Company recorded the Pre-Funded Warrants as liabilities at their fair value. This liability is subject to remeasurement at each balance sheet date and any change in fair value is recognized in the Company’s consolidated statements of operations. The Company incurred $9.7 million of placement agent commissions and other issuance costs in connection with the August 2023 Private Placement. The placement agent commissions and other issuance costs were allocated between the PIPE Shares and the Pre-Funded Warrants on a systematic basis. The Company allocated $7.1 million to the PIPE Shares which was recorded as a deduction to additional paid-in capital. The remaining $2.6 million allocated to the Pre-Funded Warrants were recorded within general and administrative expense in the consolidated statements of operations for the year ended December 31, 2023. The issuance costs allocated to the Pre-Funded Warrants have been added back to net loss when deriving cash flows used in operations, and have been classified as a financing cash outflow in the consolidated statements of cash flows for the year ended December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measured the fair value of the PIPE Shares and Pre-Funded Warrants based on the $0.90 per share Purchase Price. The Company used the relative fair value method to allocate the net proceeds received from the sales of the PIPE Shares and the Pre-Funded Warrants on the consolidated balance sheet as follows (in thousands):</w:t>
      </w:r>
    </w:p>
    <w:p>
      <w:pPr>
        <w:pStyle w:val="TextBody"/>
        <w:bidi w:val="0"/>
        <w:spacing w:before="120" w:after="283"/>
        <w:jc w:val="left"/>
        <w:rPr/>
      </w:pPr>
      <w:r>
        <w:rPr/>
        <w:t> </w:t>
      </w:r>
    </w:p>
    <w:tbl>
      <w:tblPr>
        <w:tblW w:w="4333" w:type="dxa"/>
        <w:jc w:val="left"/>
        <w:tblInd w:w="0" w:type="dxa"/>
        <w:tblLayout w:type="fixed"/>
        <w:tblCellMar>
          <w:top w:w="28" w:type="dxa"/>
          <w:left w:w="28" w:type="dxa"/>
          <w:bottom w:w="28" w:type="dxa"/>
          <w:right w:w="28" w:type="dxa"/>
        </w:tblCellMar>
      </w:tblPr>
      <w:tblGrid>
        <w:gridCol w:w="1816"/>
        <w:gridCol w:w="146"/>
        <w:gridCol w:w="421"/>
        <w:gridCol w:w="1559"/>
        <w:gridCol w:w="391"/>
      </w:tblGrid>
      <w:tr>
        <w:trPr/>
        <w:tc>
          <w:tcPr>
            <w:tcW w:w="1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Purchase Price Allocation</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PIPE Shares</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110,127</w:t>
            </w:r>
          </w:p>
        </w:tc>
        <w:tc>
          <w:tcPr>
            <w:tcW w:w="391" w:type="dxa"/>
            <w:tcBorders/>
            <w:shd w:fill="CFF0FC" w:val="clear"/>
            <w:vAlign w:val="center"/>
          </w:tcPr>
          <w:p>
            <w:pPr>
              <w:pStyle w:val="TableContents"/>
              <w:bidi w:val="0"/>
              <w:spacing w:before="0" w:after="283"/>
              <w:jc w:val="left"/>
              <w:rPr/>
            </w:pPr>
            <w:r>
              <w:rPr/>
              <w:t> </w:t>
            </w:r>
          </w:p>
        </w:tc>
      </w:tr>
      <w:tr>
        <w:trPr/>
        <w:tc>
          <w:tcPr>
            <w:tcW w:w="18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Pre-Funded Warrants</w:t>
            </w:r>
          </w:p>
        </w:tc>
        <w:tc>
          <w:tcPr>
            <w:tcW w:w="146" w:type="dxa"/>
            <w:tcBorders/>
            <w:shd w:fill="FFFFFF" w:val="cle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149,953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remeasured the fair value of the Pre-Funded Warrants using the closing price of the Company’s common stock on the Nasdaq Global Market as of November 15, 2023 of $1.68 per common share upon receipt of Stockholder Approval. The Company recorded a fair value adjustment of $34.5 million in the consolidated statements of operations for the year ended December 31, 2023 and the warrant liability of $74.3 million was reclassified into equity as an increase to additional paid-in capital upon receipt of Stockholder Approval.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SSI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2023, the Company entered into a securities purchase agreement (the “SSI Securities Purchase Agreement”), with two affiliates of SSI Strategy Holdings LLC (“SSI”), named therein (the “SSI Investors”) pursuant to which the Company agreed to issue and sell to the SSI Investors in a private placement (the “SSI Private Placement”), 705,218 shares of its common stock (the “SSI Shares”) and warrants (the “SSI Warrants”) to purchase an aggregate of 525,000 shares of the Company’s common stock (the “Warrant Shares”). SSI provides certain consulting services to the Company. Each SSI Warrant has an exercise price of $0.7090 per Warrant Share, which was the closing price of the Company’s common stock on the Nasdaq Global Market on April 4, 2023. The SSI Warrants issued in the SSI Private Placement provide that the holder of the SSI Warrants will not have the right to exercise any portion of its SSI Warrants until the achievement of certain clinical and regulatory milestones related to the Company’s clinical programs. The SSI Private Placement closed on April 5, 2023. Gross proceeds of the SSI Private Placement were $0.5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concluded that the SSI Warrants do not meet the criteria for equity classification under the guidance of ASC 815 due to settlement provisions that permit the holder to receive a variable number of shares in the event of a specified fundamental transaction as well as provisions that permit the holder to participate in dividends. As the SSI Warrants do not meet the criteria for equity classification, the Company recorded the warrants as liabilities at their fair value. This liability is subject to remeasurement at each balance sheet date until the warrants are exercised or expire, and any change in fair value is recognized in the Company’s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determined the fair value of the SSI Warrants at issuance was $0.3 million using the Black-Scholes-Merton option pricing model. The following assumptions were used to estimate the fair value of the warrants at issuance:</w:t>
      </w:r>
    </w:p>
    <w:p>
      <w:pPr>
        <w:pStyle w:val="TextBody"/>
        <w:bidi w:val="0"/>
        <w:spacing w:before="120" w:after="283"/>
        <w:jc w:val="left"/>
        <w:rPr/>
      </w:pPr>
      <w:r>
        <w:rPr/>
        <w:t> </w:t>
      </w:r>
    </w:p>
    <w:tbl>
      <w:tblPr>
        <w:tblW w:w="4665" w:type="dxa"/>
        <w:jc w:val="left"/>
        <w:tblInd w:w="0" w:type="dxa"/>
        <w:tblLayout w:type="fixed"/>
        <w:tblCellMar>
          <w:top w:w="28" w:type="dxa"/>
          <w:left w:w="28" w:type="dxa"/>
          <w:bottom w:w="28" w:type="dxa"/>
          <w:right w:w="28" w:type="dxa"/>
        </w:tblCellMar>
      </w:tblPr>
      <w:tblGrid>
        <w:gridCol w:w="3526"/>
        <w:gridCol w:w="146"/>
        <w:gridCol w:w="211"/>
        <w:gridCol w:w="466"/>
        <w:gridCol w:w="316"/>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shd w:fill="FFFFFF" w:val="clear"/>
            <w:vAlign w:val="center"/>
          </w:tcPr>
          <w:p>
            <w:pPr>
              <w:pStyle w:val="TableContents"/>
              <w:bidi w:val="0"/>
              <w:spacing w:before="0" w:after="283"/>
              <w:jc w:val="right"/>
              <w:rPr>
                <w:color w:val="000000"/>
              </w:rPr>
            </w:pPr>
            <w:r>
              <w:rPr>
                <w:color w:val="000000"/>
              </w:rPr>
              <w:t>—</w:t>
            </w:r>
          </w:p>
        </w:tc>
        <w:tc>
          <w:tcPr>
            <w:tcW w:w="316" w:type="dxa"/>
            <w:tcBorders/>
            <w:shd w:fill="FFFFFF" w:val="clear"/>
            <w:vAlign w:val="center"/>
          </w:tcPr>
          <w:p>
            <w:pPr>
              <w:pStyle w:val="TableContents"/>
              <w:bidi w:val="0"/>
              <w:spacing w:before="0" w:after="283"/>
              <w:jc w:val="right"/>
              <w:rPr/>
            </w:pPr>
            <w:r>
              <w:rPr/>
              <w:t> </w:t>
            </w:r>
          </w:p>
        </w:tc>
      </w:tr>
      <w:tr>
        <w:trPr/>
        <w:tc>
          <w:tcPr>
            <w:tcW w:w="35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16" w:type="dxa"/>
            <w:tcBorders/>
            <w:shd w:fill="CFF0FC" w:val="clear"/>
            <w:vAlign w:val="center"/>
          </w:tcPr>
          <w:p>
            <w:pPr>
              <w:pStyle w:val="TableContents"/>
              <w:bidi w:val="0"/>
              <w:spacing w:before="0" w:after="283"/>
              <w:jc w:val="left"/>
              <w:rPr/>
            </w:pPr>
            <w:r>
              <w:rPr/>
              <w:t> </w:t>
            </w:r>
          </w:p>
        </w:tc>
      </w:tr>
      <w:tr>
        <w:trPr/>
        <w:tc>
          <w:tcPr>
            <w:tcW w:w="35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value of common stock (per share)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0.71</w:t>
            </w:r>
          </w:p>
        </w:tc>
        <w:tc>
          <w:tcPr>
            <w:tcW w:w="316"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adjustment as of December 31, 2023 was $0.2 million using the Black-Scholes-Merton option pricing model with probability weights applied to each of the SSI Warrants where vesting is contingent upon the achievement of certain clinical and regulatory milestones related to the Company’s clinical programs. As of December 31, 2023, 316,667 of the SSI Warrants have vested and are exercisable. No warrants were exercised during the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estimated the fair value of the SSI Warrant liability using the following assumptions as of December 31, 2023:</w:t>
      </w:r>
    </w:p>
    <w:p>
      <w:pPr>
        <w:pStyle w:val="TextBody"/>
        <w:bidi w:val="0"/>
        <w:spacing w:before="120" w:after="283"/>
        <w:jc w:val="left"/>
        <w:rPr/>
      </w:pPr>
      <w:r>
        <w:rPr/>
        <w:t> </w:t>
      </w:r>
    </w:p>
    <w:tbl>
      <w:tblPr>
        <w:tblW w:w="4665" w:type="dxa"/>
        <w:jc w:val="left"/>
        <w:tblInd w:w="0" w:type="dxa"/>
        <w:tblLayout w:type="fixed"/>
        <w:tblCellMar>
          <w:top w:w="28" w:type="dxa"/>
          <w:left w:w="28" w:type="dxa"/>
          <w:bottom w:w="28" w:type="dxa"/>
          <w:right w:w="28" w:type="dxa"/>
        </w:tblCellMar>
      </w:tblPr>
      <w:tblGrid>
        <w:gridCol w:w="3526"/>
        <w:gridCol w:w="146"/>
        <w:gridCol w:w="211"/>
        <w:gridCol w:w="466"/>
        <w:gridCol w:w="316"/>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shd w:fill="FFFFFF" w:val="clear"/>
            <w:vAlign w:val="center"/>
          </w:tcPr>
          <w:p>
            <w:pPr>
              <w:pStyle w:val="TableContents"/>
              <w:bidi w:val="0"/>
              <w:spacing w:before="0" w:after="283"/>
              <w:jc w:val="right"/>
              <w:rPr>
                <w:color w:val="000000"/>
              </w:rPr>
            </w:pPr>
            <w:r>
              <w:rPr>
                <w:color w:val="000000"/>
              </w:rPr>
              <w:t>—</w:t>
            </w:r>
          </w:p>
        </w:tc>
        <w:tc>
          <w:tcPr>
            <w:tcW w:w="316" w:type="dxa"/>
            <w:tcBorders/>
            <w:shd w:fill="FFFFFF" w:val="clear"/>
            <w:vAlign w:val="center"/>
          </w:tcPr>
          <w:p>
            <w:pPr>
              <w:pStyle w:val="TableContents"/>
              <w:bidi w:val="0"/>
              <w:spacing w:before="0" w:after="283"/>
              <w:jc w:val="right"/>
              <w:rPr/>
            </w:pPr>
            <w:r>
              <w:rPr/>
              <w:t> </w:t>
            </w:r>
          </w:p>
        </w:tc>
      </w:tr>
      <w:tr>
        <w:trPr/>
        <w:tc>
          <w:tcPr>
            <w:tcW w:w="35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16" w:type="dxa"/>
            <w:tcBorders/>
            <w:shd w:fill="CFF0FC" w:val="clear"/>
            <w:vAlign w:val="center"/>
          </w:tcPr>
          <w:p>
            <w:pPr>
              <w:pStyle w:val="TableContents"/>
              <w:bidi w:val="0"/>
              <w:spacing w:before="0" w:after="283"/>
              <w:jc w:val="left"/>
              <w:rPr/>
            </w:pPr>
            <w:r>
              <w:rPr/>
              <w:t> </w:t>
            </w:r>
          </w:p>
        </w:tc>
      </w:tr>
      <w:tr>
        <w:trPr/>
        <w:tc>
          <w:tcPr>
            <w:tcW w:w="35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value of common stock (per share)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316"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changes in the Company's warrant liability during the year ended December 31, 2023 (in thousands):</w:t>
      </w:r>
    </w:p>
    <w:p>
      <w:pPr>
        <w:pStyle w:val="TextBody"/>
        <w:bidi w:val="0"/>
        <w:jc w:val="left"/>
        <w:rPr/>
      </w:pPr>
      <w:r>
        <w:rPr/>
        <w:t> </w:t>
      </w:r>
    </w:p>
    <w:tbl>
      <w:tblPr>
        <w:tblW w:w="5233" w:type="dxa"/>
        <w:jc w:val="left"/>
        <w:tblInd w:w="0" w:type="dxa"/>
        <w:tblLayout w:type="fixed"/>
        <w:tblCellMar>
          <w:top w:w="28" w:type="dxa"/>
          <w:left w:w="28" w:type="dxa"/>
          <w:bottom w:w="28" w:type="dxa"/>
          <w:right w:w="28" w:type="dxa"/>
        </w:tblCellMar>
      </w:tblPr>
      <w:tblGrid>
        <w:gridCol w:w="3466"/>
        <w:gridCol w:w="146"/>
        <w:gridCol w:w="314"/>
        <w:gridCol w:w="1096"/>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 Liability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January 1, 2023</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SSI Warrants</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211" w:type="dxa"/>
            <w:tcBorders/>
            <w:shd w:fill="FFFFFF" w:val="clear"/>
            <w:vAlign w:val="center"/>
          </w:tcPr>
          <w:p>
            <w:pPr>
              <w:pStyle w:val="TableContents"/>
              <w:bidi w:val="0"/>
              <w:spacing w:before="0" w:after="283"/>
              <w:jc w:val="left"/>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Pre-Funded Warrants</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pPr>
            <w:r>
              <w:rPr/>
              <w:t> </w:t>
            </w:r>
          </w:p>
        </w:tc>
        <w:tc>
          <w:tcPr>
            <w:tcW w:w="10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39,826</w:t>
            </w:r>
          </w:p>
        </w:tc>
        <w:tc>
          <w:tcPr>
            <w:tcW w:w="211" w:type="dxa"/>
            <w:tcBorders/>
            <w:shd w:fill="CFF0FC" w:val="cle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34,718</w:t>
            </w:r>
          </w:p>
        </w:tc>
        <w:tc>
          <w:tcPr>
            <w:tcW w:w="211" w:type="dxa"/>
            <w:tcBorders/>
            <w:shd w:fill="FFFFFF" w:val="clear"/>
            <w:vAlign w:val="center"/>
          </w:tcPr>
          <w:p>
            <w:pPr>
              <w:pStyle w:val="TableContents"/>
              <w:bidi w:val="0"/>
              <w:spacing w:before="0" w:after="283"/>
              <w:jc w:val="left"/>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 of Pre-Funded Warrants to equity</w:t>
            </w:r>
          </w:p>
        </w:tc>
        <w:tc>
          <w:tcPr>
            <w:tcW w:w="146" w:type="dxa"/>
            <w:tcBorders/>
            <w:shd w:fill="CFF0FC" w:val="cle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(74,342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FFFFFF" w:val="cle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11—Net Loss Per Common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loss per common share is computed by dividing net loss attributable to common stockholders by the weighted-average number of shares of common stock outstanding for the period. Since the Company had a net loss in both periods presented, basic and diluted net loss per common share are the same.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August 2023, the Company issued liability-classified Pre-Funded Warrants with a nominal exercise price of $0.001 per share (see Note 10). In accordance with ASC 260, </w:t>
      </w:r>
      <w:r>
        <w:rPr>
          <w:rFonts w:ascii="Times New Roman" w:hAnsi="Times New Roman"/>
          <w:i/>
          <w:color w:val="000000"/>
          <w:sz w:val="20"/>
        </w:rPr>
        <w:t xml:space="preserve">Earnings Per Share </w:t>
      </w:r>
      <w:r>
        <w:rPr>
          <w:rFonts w:ascii="Times New Roman" w:hAnsi="Times New Roman"/>
          <w:color w:val="000000"/>
          <w:sz w:val="20"/>
        </w:rPr>
        <w:t>(ASC 260), shares issuable for little to no cash consideration should be included in the number of outstanding shares used to calculate basic loss per share as long as all conditions necessary for exercise are met. The conditions for exercise were met on November 15, 2023, at which time the Pre-Funded Warrants were reclassified into equity. The Pre-Funded Warrants are therefore included as outstanding shares as of November 15, 2023 to calculate the weighted average number of shares outstanding to calculate basic loss per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represents the calculation of basic and diluted net loss per common share for the years ended December 31, 2023 and 2022, respectively (in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37"/>
        <w:gridCol w:w="146"/>
        <w:gridCol w:w="211"/>
        <w:gridCol w:w="1141"/>
        <w:gridCol w:w="166"/>
        <w:gridCol w:w="146"/>
        <w:gridCol w:w="211"/>
        <w:gridCol w:w="1036"/>
        <w:gridCol w:w="211"/>
      </w:tblGrid>
      <w:tr>
        <w:trPr/>
        <w:tc>
          <w:tcPr>
            <w:tcW w:w="69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93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211" w:type="dxa"/>
            <w:tcBorders/>
            <w:shd w:fill="FFFFFF" w:val="clear"/>
            <w:vAlign w:val="center"/>
          </w:tcPr>
          <w:p>
            <w:pPr>
              <w:pStyle w:val="TableContents"/>
              <w:bidi w:val="0"/>
              <w:spacing w:before="0" w:after="283"/>
              <w:jc w:val="center"/>
              <w:rPr/>
            </w:pPr>
            <w:r>
              <w:rPr/>
              <w:t> </w:t>
            </w:r>
          </w:p>
        </w:tc>
      </w:tr>
      <w:tr>
        <w:trPr/>
        <w:tc>
          <w:tcPr>
            <w:tcW w:w="693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(166,014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of common stock outstanding used to compute net loss per common share,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116,121,482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43,952,015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common stock equivalents outstanding as of December 31, 2023 and 2022, respectively, were excluded from the computation of diluted net loss per share attributable to common stockholders for the periods presented because including them would have been anti</w:t>
        <w:noBreakHyphen/>
        <w:t>dilutive:</w:t>
      </w:r>
    </w:p>
    <w:tbl>
      <w:tblPr>
        <w:tblW w:w="4400" w:type="dxa"/>
        <w:jc w:val="left"/>
        <w:tblInd w:w="0" w:type="dxa"/>
        <w:tblLayout w:type="fixed"/>
        <w:tblCellMar>
          <w:top w:w="28" w:type="dxa"/>
          <w:left w:w="28" w:type="dxa"/>
          <w:bottom w:w="28" w:type="dxa"/>
          <w:right w:w="28" w:type="dxa"/>
        </w:tblCellMar>
      </w:tblPr>
      <w:tblGrid>
        <w:gridCol w:w="1381"/>
        <w:gridCol w:w="146"/>
        <w:gridCol w:w="148"/>
        <w:gridCol w:w="947"/>
        <w:gridCol w:w="146"/>
        <w:gridCol w:w="146"/>
        <w:gridCol w:w="148"/>
        <w:gridCol w:w="947"/>
        <w:gridCol w:w="391"/>
      </w:tblGrid>
      <w:tr>
        <w:trPr/>
        <w:tc>
          <w:tcPr>
            <w:tcW w:w="1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3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1,257,844</w:t>
            </w:r>
          </w:p>
        </w:tc>
        <w:tc>
          <w:tcPr>
            <w:tcW w:w="391" w:type="dxa"/>
            <w:tcBorders/>
            <w:shd w:fill="CFF0FC" w:val="clear"/>
            <w:vAlign w:val="center"/>
          </w:tcPr>
          <w:p>
            <w:pPr>
              <w:pStyle w:val="TableContents"/>
              <w:bidi w:val="0"/>
              <w:spacing w:before="0" w:after="283"/>
              <w:jc w:val="left"/>
              <w:rPr/>
            </w:pPr>
            <w:r>
              <w:rPr/>
              <w:t> </w:t>
            </w:r>
          </w:p>
        </w:tc>
      </w:tr>
      <w:tr>
        <w:trPr/>
        <w:tc>
          <w:tcPr>
            <w:tcW w:w="13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RSAs</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85,494</w:t>
            </w:r>
          </w:p>
        </w:tc>
        <w:tc>
          <w:tcPr>
            <w:tcW w:w="391" w:type="dxa"/>
            <w:tcBorders/>
            <w:shd w:fill="FFFFFF" w:val="clear"/>
            <w:vAlign w:val="center"/>
          </w:tcPr>
          <w:p>
            <w:pPr>
              <w:pStyle w:val="TableContents"/>
              <w:bidi w:val="0"/>
              <w:spacing w:before="0" w:after="283"/>
              <w:jc w:val="left"/>
              <w:rPr/>
            </w:pPr>
            <w:r>
              <w:rPr/>
              <w:t> </w:t>
            </w:r>
          </w:p>
        </w:tc>
      </w:tr>
      <w:tr>
        <w:trPr/>
        <w:tc>
          <w:tcPr>
            <w:tcW w:w="13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7,535,924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6,158,078</w:t>
            </w:r>
          </w:p>
        </w:tc>
        <w:tc>
          <w:tcPr>
            <w:tcW w:w="391" w:type="dxa"/>
            <w:tcBorders/>
            <w:shd w:fill="CFF0FC" w:val="clear"/>
            <w:vAlign w:val="center"/>
          </w:tcPr>
          <w:p>
            <w:pPr>
              <w:pStyle w:val="TableContents"/>
              <w:bidi w:val="0"/>
              <w:spacing w:before="0" w:after="283"/>
              <w:jc w:val="left"/>
              <w:rPr/>
            </w:pPr>
            <w:r>
              <w:rPr/>
              <w:t> </w:t>
            </w:r>
          </w:p>
        </w:tc>
      </w:tr>
      <w:tr>
        <w:trPr/>
        <w:tc>
          <w:tcPr>
            <w:tcW w:w="13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SSI Warrants</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316,667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8,227,635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7,501,416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12—Income Taxes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Provision for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no provision for income taxes because the Company has incurred operating losses and capitalized certain items for income tax purposes since its inception and maintains a full valuation allowance against its net deferred tax assets. The reported amount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expense for the period differs from the amount that would result from applying the federal statutory tax rate to net loss before taxes primarily because of the change in valuation allowance.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Beginning in 2022, the 2017 Tax Cuts and Jobs Act amended Section 174 to eliminate current-year deductibility of research and experimentation (R&amp;E) expenditures and software development costs (collectively, R&amp;E expenditures) and instead require taxpayers to charge their R&amp;E expenditures to a capital account amortized over five years (15 years for expenditures attributable to R&amp;E activity performed outside the United States). The Company generated a deferred tax asset for capitalized R&amp;E expenditures for the years ended December 31, 2023 and 2022 which are fully offset by valuation allowances for each period.</w:t>
        <w:b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August 16, 2022, President Biden signed the Inflation Reduction Act of 2022, or the Inflation Act, into law. The Inflation Act contains certain tax measures, including a corporate alternative minimum tax of 15% on some large corporations and an excise tax of 1% on corporate stock buy-backs. The various provisions of the Inflation Act do not have a material impact on the Company’s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effective tax rate of the Company's provision (benefit) for income taxes differs from the federal statutory rate as follows:</w:t>
      </w:r>
    </w:p>
    <w:p>
      <w:pPr>
        <w:pStyle w:val="TextBody"/>
        <w:bidi w:val="0"/>
        <w:jc w:val="left"/>
        <w:rPr/>
      </w:pPr>
      <w:r>
        <w:rPr/>
        <w:t> </w:t>
      </w:r>
    </w:p>
    <w:tbl>
      <w:tblPr>
        <w:tblW w:w="6430" w:type="dxa"/>
        <w:jc w:val="left"/>
        <w:tblInd w:w="0" w:type="dxa"/>
        <w:tblLayout w:type="fixed"/>
        <w:tblCellMar>
          <w:top w:w="28" w:type="dxa"/>
          <w:left w:w="28" w:type="dxa"/>
          <w:bottom w:w="28" w:type="dxa"/>
          <w:right w:w="28" w:type="dxa"/>
        </w:tblCellMar>
      </w:tblPr>
      <w:tblGrid>
        <w:gridCol w:w="3331"/>
        <w:gridCol w:w="146"/>
        <w:gridCol w:w="185"/>
        <w:gridCol w:w="801"/>
        <w:gridCol w:w="420"/>
        <w:gridCol w:w="185"/>
        <w:gridCol w:w="185"/>
        <w:gridCol w:w="801"/>
        <w:gridCol w:w="376"/>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376" w:type="dxa"/>
            <w:tcBorders/>
            <w:shd w:fill="FFFFFF" w:val="clear"/>
            <w:vAlign w:val="center"/>
          </w:tcPr>
          <w:p>
            <w:pPr>
              <w:pStyle w:val="TableContents"/>
              <w:bidi w:val="0"/>
              <w:spacing w:before="0" w:after="283"/>
              <w:jc w:val="center"/>
              <w:rPr/>
            </w:pPr>
            <w:r>
              <w:rPr/>
              <w:t> </w:t>
            </w:r>
          </w:p>
        </w:tc>
      </w:tr>
      <w:tr>
        <w:trPr/>
        <w:tc>
          <w:tcPr>
            <w:tcW w:w="3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center"/>
              <w:rPr/>
            </w:pPr>
            <w:r>
              <w:rPr/>
              <w:t> </w:t>
            </w:r>
          </w:p>
        </w:tc>
        <w:tc>
          <w:tcPr>
            <w:tcW w:w="9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Statutory rate</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4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tax</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w:t>
            </w:r>
          </w:p>
        </w:tc>
        <w:tc>
          <w:tcPr>
            <w:tcW w:w="4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tax credits</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w:t>
            </w:r>
          </w:p>
        </w:tc>
        <w:tc>
          <w:tcPr>
            <w:tcW w:w="4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permanent differences</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(0.67</w:t>
            </w:r>
          </w:p>
        </w:tc>
        <w:tc>
          <w:tcPr>
            <w:tcW w:w="4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(0.55</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4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w:t>
            </w:r>
          </w:p>
        </w:tc>
        <w:tc>
          <w:tcPr>
            <w:tcW w:w="4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term loan</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4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 (benefit)</w:t>
            </w:r>
          </w:p>
        </w:tc>
        <w:tc>
          <w:tcPr>
            <w:tcW w:w="146" w:type="dxa"/>
            <w:tcBorders/>
            <w:shd w:fill="CFF0FC" w:val="clear"/>
            <w:vAlign w:val="center"/>
          </w:tcPr>
          <w:p>
            <w:pPr>
              <w:pStyle w:val="TableContents"/>
              <w:bidi w:val="0"/>
              <w:spacing w:before="0" w:after="283"/>
              <w:jc w:val="left"/>
              <w:rPr/>
            </w:pPr>
            <w:r>
              <w:rPr/>
              <w:t> </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vAlign w:val="center"/>
          </w:tcPr>
          <w:p>
            <w:pPr>
              <w:pStyle w:val="TableContents"/>
              <w:bidi w:val="0"/>
              <w:spacing w:before="0" w:after="283"/>
              <w:jc w:val="left"/>
              <w:rPr/>
            </w:pPr>
            <w:r>
              <w:rPr/>
              <w:t> </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Deferred tax assets and valuation allowance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Deferred tax assets reflect the tax effects of NOLs, tax credit carryovers, and temporary differences between the carrying amounts of assets and liabilities for financial reporting purposes and the amounts used for income tax purposes. At December 31, 2023 and 2022, the significant components of the Company’s net deferred tax assets and liabilities are as follows (in thousands):</w:t>
      </w:r>
    </w:p>
    <w:p>
      <w:pPr>
        <w:pStyle w:val="TextBody"/>
        <w:bidi w:val="0"/>
        <w:jc w:val="left"/>
        <w:rPr/>
      </w:pPr>
      <w:r>
        <w:rPr/>
        <w:t> </w:t>
      </w:r>
    </w:p>
    <w:tbl>
      <w:tblPr>
        <w:tblW w:w="5986" w:type="dxa"/>
        <w:jc w:val="left"/>
        <w:tblInd w:w="0" w:type="dxa"/>
        <w:tblLayout w:type="fixed"/>
        <w:tblCellMar>
          <w:top w:w="28" w:type="dxa"/>
          <w:left w:w="28" w:type="dxa"/>
          <w:bottom w:w="28" w:type="dxa"/>
          <w:right w:w="28" w:type="dxa"/>
        </w:tblCellMar>
      </w:tblPr>
      <w:tblGrid>
        <w:gridCol w:w="2851"/>
        <w:gridCol w:w="146"/>
        <w:gridCol w:w="235"/>
        <w:gridCol w:w="821"/>
        <w:gridCol w:w="185"/>
        <w:gridCol w:w="163"/>
        <w:gridCol w:w="235"/>
        <w:gridCol w:w="939"/>
        <w:gridCol w:w="41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8"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411" w:type="dxa"/>
            <w:tcBorders/>
            <w:shd w:fill="FFFFFF" w:val="clear"/>
            <w:vAlign w:val="center"/>
          </w:tcPr>
          <w:p>
            <w:pPr>
              <w:pStyle w:val="TableContents"/>
              <w:bidi w:val="0"/>
              <w:spacing w:before="0" w:after="283"/>
              <w:jc w:val="center"/>
              <w:rPr/>
            </w:pPr>
            <w:r>
              <w:rPr/>
              <w:t> </w:t>
            </w:r>
          </w:p>
        </w:tc>
      </w:tr>
      <w:tr>
        <w:trPr/>
        <w:tc>
          <w:tcPr>
            <w:tcW w:w="28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vAlign w:val="center"/>
          </w:tcPr>
          <w:p>
            <w:pPr>
              <w:pStyle w:val="TableContents"/>
              <w:bidi w:val="0"/>
              <w:spacing w:before="0" w:after="283"/>
              <w:jc w:val="left"/>
              <w:rPr/>
            </w:pPr>
            <w:r>
              <w:rPr/>
              <w:t> </w:t>
            </w:r>
          </w:p>
        </w:tc>
        <w:tc>
          <w:tcPr>
            <w:tcW w:w="11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FFFFFF" w:val="clear"/>
            <w:vAlign w:val="center"/>
          </w:tcPr>
          <w:p>
            <w:pPr>
              <w:pStyle w:val="TableContents"/>
              <w:bidi w:val="0"/>
              <w:spacing w:before="0" w:after="283"/>
              <w:jc w:val="left"/>
              <w:rPr/>
            </w:pPr>
            <w:r>
              <w:rPr/>
              <w:t> </w:t>
            </w:r>
          </w:p>
        </w:tc>
        <w:tc>
          <w:tcPr>
            <w:tcW w:w="1056" w:type="dxa"/>
            <w:gridSpan w:val="2"/>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center"/>
              <w:rPr/>
            </w:pPr>
            <w:r>
              <w:rPr/>
              <w:t> </w:t>
            </w:r>
          </w:p>
        </w:tc>
        <w:tc>
          <w:tcPr>
            <w:tcW w:w="163" w:type="dxa"/>
            <w:tcBorders/>
            <w:shd w:fill="FFFFFF" w:val="clear"/>
            <w:vAlign w:val="center"/>
          </w:tcPr>
          <w:p>
            <w:pPr>
              <w:pStyle w:val="TableContents"/>
              <w:bidi w:val="0"/>
              <w:spacing w:before="0" w:after="283"/>
              <w:jc w:val="left"/>
              <w:rPr/>
            </w:pPr>
            <w:r>
              <w:rPr/>
              <w:t> </w:t>
            </w:r>
          </w:p>
        </w:tc>
        <w:tc>
          <w:tcPr>
            <w:tcW w:w="1174"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285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operating loss carryforwards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47,373</w:t>
            </w:r>
          </w:p>
        </w:tc>
        <w:tc>
          <w:tcPr>
            <w:tcW w:w="185"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45,609</w:t>
            </w:r>
          </w:p>
        </w:tc>
        <w:tc>
          <w:tcPr>
            <w:tcW w:w="411" w:type="dxa"/>
            <w:tcBorders/>
            <w:shd w:fill="CFF0FC" w:val="clear"/>
            <w:vAlign w:val="center"/>
          </w:tcPr>
          <w:p>
            <w:pPr>
              <w:pStyle w:val="TableContents"/>
              <w:bidi w:val="0"/>
              <w:spacing w:before="0" w:after="283"/>
              <w:jc w:val="left"/>
              <w:rPr/>
            </w:pPr>
            <w:r>
              <w:rPr/>
              <w:t> </w:t>
            </w:r>
          </w:p>
        </w:tc>
      </w:tr>
      <w:tr>
        <w:trPr/>
        <w:tc>
          <w:tcPr>
            <w:tcW w:w="285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Tax credit carryforwards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1,961</w:t>
            </w:r>
          </w:p>
        </w:tc>
        <w:tc>
          <w:tcPr>
            <w:tcW w:w="185"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23,216</w:t>
            </w:r>
          </w:p>
        </w:tc>
        <w:tc>
          <w:tcPr>
            <w:tcW w:w="411" w:type="dxa"/>
            <w:tcBorders/>
            <w:shd w:fill="FFFFFF" w:val="clear"/>
            <w:vAlign w:val="center"/>
          </w:tcPr>
          <w:p>
            <w:pPr>
              <w:pStyle w:val="TableContents"/>
              <w:bidi w:val="0"/>
              <w:spacing w:before="0" w:after="283"/>
              <w:jc w:val="left"/>
              <w:rPr/>
            </w:pPr>
            <w:r>
              <w:rPr/>
              <w:t> </w:t>
            </w:r>
          </w:p>
        </w:tc>
      </w:tr>
      <w:tr>
        <w:trPr/>
        <w:tc>
          <w:tcPr>
            <w:tcW w:w="285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Accruals and reserves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w:t>
            </w:r>
          </w:p>
        </w:tc>
        <w:tc>
          <w:tcPr>
            <w:tcW w:w="185"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9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411" w:type="dxa"/>
            <w:tcBorders/>
            <w:shd w:fill="CFF0FC" w:val="clear"/>
            <w:vAlign w:val="center"/>
          </w:tcPr>
          <w:p>
            <w:pPr>
              <w:pStyle w:val="TableContents"/>
              <w:bidi w:val="0"/>
              <w:spacing w:before="0" w:after="283"/>
              <w:jc w:val="left"/>
              <w:rPr/>
            </w:pPr>
            <w:r>
              <w:rPr/>
              <w:t> </w:t>
            </w:r>
          </w:p>
        </w:tc>
      </w:tr>
      <w:tr>
        <w:trPr/>
        <w:tc>
          <w:tcPr>
            <w:tcW w:w="285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3,978</w:t>
            </w:r>
          </w:p>
        </w:tc>
        <w:tc>
          <w:tcPr>
            <w:tcW w:w="185"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shd w:fill="FFFFFF" w:val="clear"/>
            <w:vAlign w:val="center"/>
          </w:tcPr>
          <w:p>
            <w:pPr>
              <w:pStyle w:val="TableContents"/>
              <w:bidi w:val="0"/>
              <w:spacing w:before="0" w:after="283"/>
              <w:jc w:val="left"/>
              <w:rPr/>
            </w:pPr>
            <w:r>
              <w:rPr/>
              <w:t> </w:t>
            </w:r>
          </w:p>
        </w:tc>
      </w:tr>
      <w:tr>
        <w:trPr/>
        <w:tc>
          <w:tcPr>
            <w:tcW w:w="285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Intangibles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4,888</w:t>
            </w:r>
          </w:p>
        </w:tc>
        <w:tc>
          <w:tcPr>
            <w:tcW w:w="185"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9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4,607</w:t>
            </w:r>
          </w:p>
        </w:tc>
        <w:tc>
          <w:tcPr>
            <w:tcW w:w="411" w:type="dxa"/>
            <w:tcBorders/>
            <w:shd w:fill="CFF0FC" w:val="clear"/>
            <w:vAlign w:val="center"/>
          </w:tcPr>
          <w:p>
            <w:pPr>
              <w:pStyle w:val="TableContents"/>
              <w:bidi w:val="0"/>
              <w:spacing w:before="0" w:after="283"/>
              <w:jc w:val="left"/>
              <w:rPr/>
            </w:pPr>
            <w:r>
              <w:rPr/>
              <w:t> </w:t>
            </w:r>
          </w:p>
        </w:tc>
      </w:tr>
      <w:tr>
        <w:trPr/>
        <w:tc>
          <w:tcPr>
            <w:tcW w:w="285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Non-qualified stock options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2,585</w:t>
            </w:r>
          </w:p>
        </w:tc>
        <w:tc>
          <w:tcPr>
            <w:tcW w:w="185"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3,647</w:t>
            </w:r>
          </w:p>
        </w:tc>
        <w:tc>
          <w:tcPr>
            <w:tcW w:w="411" w:type="dxa"/>
            <w:tcBorders/>
            <w:shd w:fill="FFFFFF" w:val="clear"/>
            <w:vAlign w:val="center"/>
          </w:tcPr>
          <w:p>
            <w:pPr>
              <w:pStyle w:val="TableContents"/>
              <w:bidi w:val="0"/>
              <w:spacing w:before="0" w:after="283"/>
              <w:jc w:val="left"/>
              <w:rPr/>
            </w:pPr>
            <w:r>
              <w:rPr/>
              <w:t> </w:t>
            </w:r>
          </w:p>
        </w:tc>
      </w:tr>
      <w:tr>
        <w:trPr/>
        <w:tc>
          <w:tcPr>
            <w:tcW w:w="285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R&amp;E expenditures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22,497</w:t>
            </w:r>
          </w:p>
        </w:tc>
        <w:tc>
          <w:tcPr>
            <w:tcW w:w="185"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9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15,563</w:t>
            </w:r>
          </w:p>
        </w:tc>
        <w:tc>
          <w:tcPr>
            <w:tcW w:w="411" w:type="dxa"/>
            <w:tcBorders/>
            <w:shd w:fill="CFF0FC" w:val="clear"/>
            <w:vAlign w:val="center"/>
          </w:tcPr>
          <w:p>
            <w:pPr>
              <w:pStyle w:val="TableContents"/>
              <w:bidi w:val="0"/>
              <w:spacing w:before="0" w:after="283"/>
              <w:jc w:val="left"/>
              <w:rPr/>
            </w:pPr>
            <w:r>
              <w:rPr/>
              <w:t> </w:t>
            </w:r>
          </w:p>
        </w:tc>
      </w:tr>
      <w:tr>
        <w:trPr/>
        <w:tc>
          <w:tcPr>
            <w:tcW w:w="285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Lease liabilities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4,452</w:t>
            </w:r>
          </w:p>
        </w:tc>
        <w:tc>
          <w:tcPr>
            <w:tcW w:w="185"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4,574</w:t>
            </w:r>
          </w:p>
        </w:tc>
        <w:tc>
          <w:tcPr>
            <w:tcW w:w="411" w:type="dxa"/>
            <w:tcBorders/>
            <w:shd w:fill="FFFFFF" w:val="clear"/>
            <w:vAlign w:val="center"/>
          </w:tcPr>
          <w:p>
            <w:pPr>
              <w:pStyle w:val="TableContents"/>
              <w:bidi w:val="0"/>
              <w:spacing w:before="0" w:after="283"/>
              <w:jc w:val="left"/>
              <w:rPr/>
            </w:pPr>
            <w:r>
              <w:rPr/>
              <w:t> </w:t>
            </w:r>
          </w:p>
        </w:tc>
      </w:tr>
      <w:tr>
        <w:trPr/>
        <w:tc>
          <w:tcPr>
            <w:tcW w:w="285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Impairment of long-lived assets</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5,509</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deferred tax assets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94,263</w:t>
            </w:r>
          </w:p>
        </w:tc>
        <w:tc>
          <w:tcPr>
            <w:tcW w:w="185"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103,431</w:t>
            </w:r>
          </w:p>
        </w:tc>
        <w:tc>
          <w:tcPr>
            <w:tcW w:w="411" w:type="dxa"/>
            <w:tcBorders/>
            <w:shd w:fill="FFFFFF" w:val="clear"/>
            <w:vAlign w:val="center"/>
          </w:tcPr>
          <w:p>
            <w:pPr>
              <w:pStyle w:val="TableContents"/>
              <w:bidi w:val="0"/>
              <w:spacing w:before="0" w:after="283"/>
              <w:jc w:val="left"/>
              <w:rPr/>
            </w:pPr>
            <w:r>
              <w:rPr/>
              <w:t> </w:t>
            </w:r>
          </w:p>
        </w:tc>
      </w:tr>
      <w:tr>
        <w:trPr/>
        <w:tc>
          <w:tcPr>
            <w:tcW w:w="2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FF0FC" w:val="clear"/>
            <w:vAlign w:val="center"/>
          </w:tcPr>
          <w:p>
            <w:pPr>
              <w:pStyle w:val="TableContents"/>
              <w:bidi w:val="0"/>
              <w:spacing w:before="0" w:after="283"/>
              <w:jc w:val="left"/>
              <w:rPr/>
            </w:pPr>
            <w:r>
              <w:rPr/>
              <w:t> </w:t>
            </w:r>
          </w:p>
        </w:tc>
        <w:tc>
          <w:tcPr>
            <w:tcW w:w="1056" w:type="dxa"/>
            <w:gridSpan w:val="2"/>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1174"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pPr>
            <w:r>
              <w:rPr/>
              <w:t> </w:t>
            </w:r>
          </w:p>
        </w:tc>
      </w:tr>
      <w:tr>
        <w:trPr/>
        <w:tc>
          <w:tcPr>
            <w:tcW w:w="285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Right-of-use assets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(2,224</w:t>
            </w:r>
          </w:p>
        </w:tc>
        <w:tc>
          <w:tcPr>
            <w:tcW w:w="1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5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Fixed assets</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deferred tax liabilities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w:t>
            </w:r>
          </w:p>
        </w:tc>
        <w:tc>
          <w:tcPr>
            <w:tcW w:w="1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(92,037</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(101,076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taxes</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valuation allowance is equal to the total net deferred tax asset amounts as of December 31, 2023 and 2022. ASC 740 requires that the tax benefit of net operating losses, temporary differences and credit carryforwards be recorded as an asset to the extent that management assesses that realization is "more likely than not." Realization of the future tax benefits is dependent on the Company's ability to generate sufficient taxable income within the carryforward period. Because of the Company's recent history of operating losses,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management believes that recognition of the deferred tax assets net of liabilities arising from the above-mentioned future tax benefits is currently not likely to be realized and, accordingly, has provided a valuation allowance.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valuation allowance decreased by $9.0 million during the year ended December 31, 2023, due to the write-off of certain worthless deferred tax assets, and increased by $42.8 million during the year ended December 31, 2022.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there were gross federal NOLs of $222.1 million, gross state NOLs of $11.9 million, federal tax credit carryforward of $28.6 million, and state tax credit carryforward of $1.2 million. The net operating losses and state tax credit carryforward do not expire. As of December 31, 2022, there were gross federal NOLs of $216.3 million, gross state NOLs of $4.5 million, federal tax credit carryforward of $30.2 million, and state tax credit carryforward of $1.3 million. The federal tax credit carryforward will expire in 2040. The Company files federal, foreign and state income tax returns and, in the normal course of business, the Company is subject to examination by these taxing authorities. All periods since Inception are subject to examination by these taxing authorities, where applicable. There are currently no pending income tax examinations.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Section 382 of the Internal Revenue Code, certain substantial changes in the Company's ownership may result in a limitation on the amount of NOL carryforwards and tax credit carryforwards that may be used in future years. Utilization of the NOL and tax credit carryforwards may be subject to a substantial annual limitation under Section 382 of the Internal Revenue Code of 1986 due to ownership change limitations that have occurred previously or that could occur in the future. These ownership changes may limit the amount of NOL and tax credit carryforwards that can be utilized annually to offset future taxable income and tax, respectively. The Company has completed studies to assess whether an ownership change has occurred through December 31, 2023. Based on these analyses, several ownership changes were identified in 2020 and an additional ownership change occurred in 2023. As a result of the ownership shift that occurred in August 2023, the Company has determined that $217.9 million of its gross federal NOLs are subject to an annual utilization limitation of $3.1 million, which can be increased in the five year period post change date for any realized built-in gain. Additionally, there were $27.1 million of research credits that will expire due to such limitations, resulting in a write-off of the related deferred tax assets and reversal of the corresponding uncertain tax positions and valuation allowance in 2023. The Company will continue to monitor equity movement and its impact on the utilization of the NOLs and credits as the Company could experience additional ownership changes subsequent to December 31, 2023, which may result in additional limitations on the utilization of NOL carryforwards and credits.</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13—Commitments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be subject to various legal proceedings and claims that arise in the ordinary course of its business activities. The Company records a liability when a particular contingency is probable and estimable.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2024, the Company was named a nominal defendant in a putative stockholder derivative action filed by a stockholder of the Company in the Court of Chancery of the State of Delaware. The complaint asserts claims against certain of the Company’s current and former directors for breach of fiduciary duty and unjust enrichment relating to the Company’s August 2023 Private Placement. The complaint seeks an unspecified award of damages in the Company’s favor, plus pre-judgment and post-judgement interest, and an award to the plaintiff for the costs and disbursement of the action, including fees for his attorneys, experts, and accountants. The Company has not recorded a liability related to this lawsuit because, at this time, the Company is unable to reasonably estimate possible losses or gains or determine whether an unfavorable outcome is either probable or remote.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normal course of business, the Company enters into contracts that contain a variety of indemnifications with its directors, officers, employees, licensors, suppliers and service providers. The Company’s maximum exposure under these arrangements is unknown at December 31, 2023. The Company does not anticipate recognizing any significant losses relating to these arrangements.</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14— Strategic Reprioritization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2022, the Company implemented changes to the Company’s organizational structure as well as a broader operational cost reduction plan to enable the Company to focus on specific clinical-stage programs for GAN and Rett syndrome. Substantially all other research and development activities have been paused to increase operational efficiency.</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connection with prioritization of programs, the Company reduced headcount by approximately 35% across all functions in March 2022. In accordance with ASC 420, </w:t>
      </w:r>
      <w:r>
        <w:rPr>
          <w:rFonts w:ascii="Times New Roman" w:hAnsi="Times New Roman"/>
          <w:i/>
          <w:color w:val="000000"/>
          <w:sz w:val="20"/>
        </w:rPr>
        <w:t>Exit and Disposal Activities</w:t>
      </w:r>
      <w:r>
        <w:rPr>
          <w:rFonts w:ascii="Times New Roman" w:hAnsi="Times New Roman"/>
          <w:color w:val="000000"/>
          <w:sz w:val="20"/>
        </w:rPr>
        <w:t>, the Company recorded one-time severance and termination-related costs of $2.6 million in the consolidated statements of operations for the year ended December 31, 2022, primarily within research and development expenses. In December 2022, the Company further reduced headcount and recorded additional one-time severance and termination related costs of $1.5 million within research and development and general and administrative expenses. Throughout the first quarter of 2023, the Company further reduced headcount and recorded additional one-time severance and termination related costs of $2.7 million within research and development and general and administrative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expects payment of these costs to be complete by March 31, 2024. The change in accrued severance during the years ended December 31, 2023 and 2022 is as follows (amounts in thousands):</w:t>
      </w:r>
    </w:p>
    <w:p>
      <w:pPr>
        <w:pStyle w:val="TextBody"/>
        <w:bidi w:val="0"/>
        <w:spacing w:before="120" w:after="283"/>
        <w:jc w:val="left"/>
        <w:rPr/>
      </w:pPr>
      <w:r>
        <w:rPr/>
        <w:t> </w:t>
      </w:r>
    </w:p>
    <w:tbl>
      <w:tblPr>
        <w:tblW w:w="5758" w:type="dxa"/>
        <w:jc w:val="left"/>
        <w:tblInd w:w="0" w:type="dxa"/>
        <w:tblLayout w:type="fixed"/>
        <w:tblCellMar>
          <w:top w:w="28" w:type="dxa"/>
          <w:left w:w="28" w:type="dxa"/>
          <w:bottom w:w="28" w:type="dxa"/>
          <w:right w:w="28" w:type="dxa"/>
        </w:tblCellMar>
      </w:tblPr>
      <w:tblGrid>
        <w:gridCol w:w="3676"/>
        <w:gridCol w:w="146"/>
        <w:gridCol w:w="431"/>
        <w:gridCol w:w="1294"/>
        <w:gridCol w:w="21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Accrued Severance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severance as of January 1, 2022</w:t>
            </w:r>
          </w:p>
        </w:tc>
        <w:tc>
          <w:tcPr>
            <w:tcW w:w="146" w:type="dxa"/>
            <w:tcBorders/>
            <w:shd w:fill="CFF0FC" w:val="clear"/>
            <w:vAlign w:val="center"/>
          </w:tcPr>
          <w:p>
            <w:pPr>
              <w:pStyle w:val="TableContents"/>
              <w:bidi w:val="0"/>
              <w:spacing w:before="0" w:after="283"/>
              <w:jc w:val="right"/>
              <w:rPr/>
            </w:pPr>
            <w:r>
              <w:rPr/>
              <w:t> </w:t>
            </w:r>
          </w:p>
        </w:tc>
        <w:tc>
          <w:tcPr>
            <w:tcW w:w="4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36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Severance recorded</w:t>
            </w:r>
          </w:p>
        </w:tc>
        <w:tc>
          <w:tcPr>
            <w:tcW w:w="146" w:type="dxa"/>
            <w:tcBorders/>
            <w:shd w:fill="FFFFFF" w:val="clear"/>
            <w:vAlign w:val="center"/>
          </w:tcPr>
          <w:p>
            <w:pPr>
              <w:pStyle w:val="TableContents"/>
              <w:bidi w:val="0"/>
              <w:spacing w:before="0" w:after="283"/>
              <w:jc w:val="right"/>
              <w:rPr/>
            </w:pPr>
            <w:r>
              <w:rPr/>
              <w:t> </w:t>
            </w:r>
          </w:p>
        </w:tc>
        <w:tc>
          <w:tcPr>
            <w:tcW w:w="431"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4,035</w:t>
            </w:r>
          </w:p>
        </w:tc>
        <w:tc>
          <w:tcPr>
            <w:tcW w:w="211" w:type="dxa"/>
            <w:tcBorders/>
            <w:shd w:fill="FFFFFF" w:val="clear"/>
            <w:vAlign w:val="center"/>
          </w:tcPr>
          <w:p>
            <w:pPr>
              <w:pStyle w:val="TableContents"/>
              <w:bidi w:val="0"/>
              <w:spacing w:before="0" w:after="283"/>
              <w:jc w:val="left"/>
              <w:rPr/>
            </w:pPr>
            <w:r>
              <w:rPr/>
              <w:t> </w:t>
            </w:r>
          </w:p>
        </w:tc>
      </w:tr>
      <w:tr>
        <w:trPr/>
        <w:tc>
          <w:tcPr>
            <w:tcW w:w="36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Severance paid</w:t>
            </w:r>
          </w:p>
        </w:tc>
        <w:tc>
          <w:tcPr>
            <w:tcW w:w="146" w:type="dxa"/>
            <w:tcBorders/>
            <w:shd w:fill="CFF0FC" w:val="clear"/>
            <w:vAlign w:val="center"/>
          </w:tcPr>
          <w:p>
            <w:pPr>
              <w:pStyle w:val="TableContents"/>
              <w:bidi w:val="0"/>
              <w:spacing w:before="0" w:after="283"/>
              <w:jc w:val="right"/>
              <w:rPr/>
            </w:pPr>
            <w:r>
              <w:rPr/>
              <w:t> </w:t>
            </w:r>
          </w:p>
        </w:tc>
        <w:tc>
          <w:tcPr>
            <w:tcW w:w="4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severance as of December 31, 2022</w:t>
            </w:r>
          </w:p>
        </w:tc>
        <w:tc>
          <w:tcPr>
            <w:tcW w:w="146" w:type="dxa"/>
            <w:tcBorders/>
            <w:shd w:fill="FFFFFF" w:val="clear"/>
            <w:vAlign w:val="center"/>
          </w:tcPr>
          <w:p>
            <w:pPr>
              <w:pStyle w:val="TableContents"/>
              <w:bidi w:val="0"/>
              <w:spacing w:before="0" w:after="283"/>
              <w:jc w:val="right"/>
              <w:rPr/>
            </w:pPr>
            <w:r>
              <w:rPr/>
              <w:t> </w:t>
            </w:r>
          </w:p>
        </w:tc>
        <w:tc>
          <w:tcPr>
            <w:tcW w:w="4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Severance recorded</w:t>
            </w:r>
          </w:p>
        </w:tc>
        <w:tc>
          <w:tcPr>
            <w:tcW w:w="146" w:type="dxa"/>
            <w:tcBorders/>
            <w:shd w:fill="CFF0FC" w:val="clear"/>
            <w:vAlign w:val="center"/>
          </w:tcPr>
          <w:p>
            <w:pPr>
              <w:pStyle w:val="TableContents"/>
              <w:bidi w:val="0"/>
              <w:spacing w:before="0" w:after="283"/>
              <w:jc w:val="right"/>
              <w:rPr/>
            </w:pPr>
            <w:r>
              <w:rPr/>
              <w:t> </w:t>
            </w:r>
          </w:p>
        </w:tc>
        <w:tc>
          <w:tcPr>
            <w:tcW w:w="431" w:type="dxa"/>
            <w:tcBorders/>
            <w:shd w:fill="CFF0FC" w:val="clear"/>
            <w:vAlign w:val="center"/>
          </w:tcPr>
          <w:p>
            <w:pPr>
              <w:pStyle w:val="TableContents"/>
              <w:bidi w:val="0"/>
              <w:spacing w:before="0" w:after="283"/>
              <w:jc w:val="left"/>
              <w:rPr/>
            </w:pPr>
            <w:r>
              <w:rPr/>
              <w:t> </w:t>
            </w:r>
          </w:p>
        </w:tc>
        <w:tc>
          <w:tcPr>
            <w:tcW w:w="12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2,691</w:t>
            </w:r>
          </w:p>
        </w:tc>
        <w:tc>
          <w:tcPr>
            <w:tcW w:w="211" w:type="dxa"/>
            <w:tcBorders/>
            <w:shd w:fill="CFF0FC" w:val="clear"/>
            <w:vAlign w:val="center"/>
          </w:tcPr>
          <w:p>
            <w:pPr>
              <w:pStyle w:val="TableContents"/>
              <w:bidi w:val="0"/>
              <w:spacing w:before="0" w:after="283"/>
              <w:jc w:val="left"/>
              <w:rPr/>
            </w:pPr>
            <w:r>
              <w:rPr/>
              <w:t> </w:t>
            </w:r>
          </w:p>
        </w:tc>
      </w:tr>
      <w:tr>
        <w:trPr/>
        <w:tc>
          <w:tcPr>
            <w:tcW w:w="36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Severance paid</w:t>
            </w:r>
          </w:p>
        </w:tc>
        <w:tc>
          <w:tcPr>
            <w:tcW w:w="146" w:type="dxa"/>
            <w:tcBorders/>
            <w:shd w:fill="FFFFFF" w:val="clear"/>
            <w:vAlign w:val="center"/>
          </w:tcPr>
          <w:p>
            <w:pPr>
              <w:pStyle w:val="TableContents"/>
              <w:bidi w:val="0"/>
              <w:spacing w:before="0" w:after="283"/>
              <w:jc w:val="left"/>
              <w:rPr/>
            </w:pPr>
            <w:r>
              <w:rPr/>
              <w:t> </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severance as of December 31, 2023</w:t>
            </w:r>
          </w:p>
        </w:tc>
        <w:tc>
          <w:tcPr>
            <w:tcW w:w="146" w:type="dxa"/>
            <w:tcBorders/>
            <w:shd w:fill="CFF0FC" w:val="clear"/>
            <w:vAlign w:val="center"/>
          </w:tcPr>
          <w:p>
            <w:pPr>
              <w:pStyle w:val="TableContents"/>
              <w:bidi w:val="0"/>
              <w:spacing w:before="0" w:after="283"/>
              <w:jc w:val="right"/>
              <w:rPr/>
            </w:pPr>
            <w:r>
              <w:rPr/>
              <w:t> </w:t>
            </w:r>
          </w:p>
        </w:tc>
        <w:tc>
          <w:tcPr>
            <w:tcW w:w="4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15– Retirement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2021, the Company adopted a 401(k) retirement savings plan that provides retirement benefits to all full-time employees. Eligible employees may contribute a percentage of their annual compensation, subject to Internal Revenue Service limitations. The Company contributed $0.3 million and $0.7 million to the 401(k) retirement savings plan for the years ended December 31, 2023 and 2022, respectively.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16—Subsequent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and February 2024, the Company granted options under the New Plan to purchase an aggregate of 7.0 million shares of its common stock at an exercise price of $1.71 per share, and also granted 4.3 million restricted stock units. These equity awards generally vest over a four year period and are subject to service-based vesting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February and March 2024, the Company granted options under the Inducement Plan to purchase an aggregate 0.8 million shares of its common stock at a weighted-average exercise price of $2.35 per share. These equity awards generally vest over a four year period and are subject to service-based vesting conditions.</w:t>
      </w:r>
    </w:p>
    <w:p>
      <w:pPr>
        <w:pStyle w:val="TextBody"/>
        <w:bidi w:val="0"/>
        <w:spacing w:before="24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6" w:name="item_9_changes_in_disagreements_with_acc"/>
      <w:bookmarkEnd w:id="16"/>
      <w:r>
        <w:rPr>
          <w:rFonts w:ascii="Times New Roman" w:hAnsi="Times New Roman"/>
          <w:b/>
          <w:color w:val="000000"/>
          <w:sz w:val="20"/>
        </w:rPr>
        <w:t>Item 9. Changes in and Disagreements With Accountants on Accounting and Financial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17" w:name="item_9a_controls_procedures"/>
      <w:bookmarkEnd w:id="17"/>
      <w:r>
        <w:rPr>
          <w:rFonts w:ascii="Times New Roman" w:hAnsi="Times New Roman"/>
          <w:b/>
          <w:color w:val="000000"/>
          <w:sz w:val="20"/>
        </w:rPr>
        <w:t>Item 9A.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Form 10-K. Based on such evaluation, our Chief Executive Officer and Chief Financial Officer have concluded that as of December 31, 2023, our disclosure controls and procedures were effective to provide reasonable assurance that the information required to be disclosed by us in this Form 10-K was (a) reported within the time periods specified by SEC rules and regulations, and (b) communicated to our management, including our Chief Executive Officer and Chief Financial Officer, to allow timely decisions regarding any required disclosure.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Management's Report on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is responsible for establishing and maintaining an adequate system of internal control over financial reporting, as defined in the Exchange Act Rule 13a-15(f). Management conducted an assessment of our internal control over financial reporting based on the framework established in 2013 by the Committee of Sponsoring Organizations of the Treadway Commission in Internal Control-Integrated Framework. Based on the assessment, management concluded that, as of December 31, 2023, our internal control over financial reporting was effective.</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This Annual Report does not include an attestation report of our registered public accounting firm regarding internal control over financial reporting as required by Section 404(c) of the Sarbanes Oxley Act of 2002. Because we qualify as an emerging growth company under the JOBS Act, management’s report was not subject to attestation by our independent registered public accounting firm.</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identified in management’s evaluation pursuant to Rules 13a-15(d) or 15d-15(d) of the Exchange Act during the quarter ended December 31, 2023 that materially affected, or are reasonably likely to materially affect, our internal control over financial reporting.</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Inherent Limitations on Effectiveness of Internal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designing and evaluating the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pStyle w:val="TextBody"/>
        <w:bidi w:val="0"/>
        <w:spacing w:before="360" w:after="283"/>
        <w:jc w:val="left"/>
        <w:rPr>
          <w:rFonts w:ascii="Times New Roman" w:hAnsi="Times New Roman"/>
          <w:sz w:val="20"/>
        </w:rPr>
      </w:pPr>
      <w:bookmarkStart w:id="18" w:name="item_9b_or_information"/>
      <w:bookmarkEnd w:id="18"/>
      <w:r>
        <w:rPr>
          <w:rFonts w:ascii="Times New Roman" w:hAnsi="Times New Roman"/>
          <w:b/>
          <w:color w:val="000000"/>
          <w:sz w:val="20"/>
        </w:rPr>
        <w:t>Item 9B.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9" w:name="item_9c_disclosure_regarding_foreign"/>
      <w:bookmarkEnd w:id="19"/>
      <w:r>
        <w:rPr>
          <w:rFonts w:ascii="Times New Roman" w:hAnsi="Times New Roman"/>
          <w:b/>
          <w:color w:val="000000"/>
          <w:sz w:val="20"/>
        </w:rPr>
        <w:t>Item 9C. Disclosure Regarding Foreign Jurisdictions that Prevent Inspections.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0" w:name="part_iii"/>
      <w:bookmarkEnd w:id="20"/>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III</w:t>
      </w:r>
    </w:p>
    <w:p>
      <w:pPr>
        <w:pStyle w:val="TextBody"/>
        <w:bidi w:val="0"/>
        <w:spacing w:before="240" w:after="283"/>
        <w:jc w:val="left"/>
        <w:rPr>
          <w:rFonts w:ascii="Times New Roman" w:hAnsi="Times New Roman"/>
          <w:b/>
          <w:color w:val="000000"/>
          <w:sz w:val="20"/>
        </w:rPr>
      </w:pPr>
      <w:bookmarkStart w:id="21" w:name="item_10_directors_executive_ficers_corpo"/>
      <w:bookmarkEnd w:id="21"/>
      <w:r>
        <w:rPr>
          <w:rFonts w:ascii="Times New Roman" w:hAnsi="Times New Roman"/>
          <w:b/>
          <w:color w:val="000000"/>
          <w:sz w:val="20"/>
        </w:rPr>
        <w:t>Item 10. Directors, Executive Officers and Corporate 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will be contained in our definitive proxy statement to be filed with the SEC in connection with our 2024 annual meeting of stockholders, or the Proxy Statement, which is expected to be filed not later than 120 days after the end of our fiscal year ended December 31, 2023, under the captions “Information Regarding the Board of Directors and Corporate Governance,” “Election of Directors” and “Executive Officers” and is incorporated herein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adopted the Taysha Code of Business Conduct and Ethics that applies to all officers, directors and employees. The Code of Business Conduct and Ethics is available on our website at www.tayshagtx.com. If we make any substantive amendments to the Code of Business Conduct and Ethics or grants any waiver from a provision of the Code to any executive officer or director, we will promptly disclose the nature of the amendment or waiver on our website.</w:t>
      </w:r>
    </w:p>
    <w:p>
      <w:pPr>
        <w:pStyle w:val="TextBody"/>
        <w:bidi w:val="0"/>
        <w:spacing w:before="360" w:after="283"/>
        <w:jc w:val="left"/>
        <w:rPr>
          <w:rFonts w:ascii="Times New Roman" w:hAnsi="Times New Roman"/>
          <w:b/>
          <w:color w:val="000000"/>
          <w:sz w:val="20"/>
        </w:rPr>
      </w:pPr>
      <w:bookmarkStart w:id="22" w:name="item_11_executive_compensation"/>
      <w:bookmarkEnd w:id="22"/>
      <w:r>
        <w:rPr>
          <w:rFonts w:ascii="Times New Roman" w:hAnsi="Times New Roman"/>
          <w:b/>
          <w:color w:val="000000"/>
          <w:sz w:val="20"/>
        </w:rPr>
        <w:t>Item 11. Executive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will be set forth in the Proxy Statement under the captions “Executive Compensation” and “Director Compensation” and is incorporated herein by reference.</w:t>
      </w:r>
    </w:p>
    <w:p>
      <w:pPr>
        <w:pStyle w:val="TextBody"/>
        <w:bidi w:val="0"/>
        <w:spacing w:before="360" w:after="283"/>
        <w:jc w:val="both"/>
        <w:rPr>
          <w:rFonts w:ascii="Times New Roman" w:hAnsi="Times New Roman"/>
          <w:b/>
          <w:color w:val="000000"/>
          <w:sz w:val="20"/>
        </w:rPr>
      </w:pPr>
      <w:bookmarkStart w:id="23" w:name="item_12_security_ownership_certain_benef"/>
      <w:bookmarkEnd w:id="23"/>
      <w:r>
        <w:rPr>
          <w:rFonts w:ascii="Times New Roman" w:hAnsi="Times New Roman"/>
          <w:b/>
          <w:color w:val="000000"/>
          <w:sz w:val="20"/>
        </w:rPr>
        <w:t>Item 12. Security Ownership of Certain Beneficial Owners and Management and Related Stockholder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will be set forth in the Proxy Statement under the captions “Security Ownership of Certain Beneficial Owners and Management” and “Securities Authorized for Issuance under Equity Compensation Plans” and is incorporated herein by reference.</w:t>
      </w:r>
    </w:p>
    <w:p>
      <w:pPr>
        <w:pStyle w:val="TextBody"/>
        <w:bidi w:val="0"/>
        <w:spacing w:before="360" w:after="283"/>
        <w:jc w:val="left"/>
        <w:rPr>
          <w:rFonts w:ascii="Times New Roman" w:hAnsi="Times New Roman"/>
          <w:sz w:val="20"/>
        </w:rPr>
      </w:pPr>
      <w:bookmarkStart w:id="24" w:name="item_13_certain_relationships_related_tr"/>
      <w:bookmarkEnd w:id="24"/>
      <w:r>
        <w:rPr>
          <w:rFonts w:ascii="Times New Roman" w:hAnsi="Times New Roman"/>
          <w:b/>
          <w:color w:val="000000"/>
          <w:sz w:val="20"/>
        </w:rPr>
        <w:t>Item 13. Certain Relationships and Related</w:t>
      </w:r>
      <w:r>
        <w:rPr>
          <w:rFonts w:ascii="Times New Roman" w:hAnsi="Times New Roman"/>
          <w:color w:val="000000"/>
          <w:sz w:val="20"/>
        </w:rPr>
        <w:t xml:space="preserve"> </w:t>
      </w:r>
      <w:r>
        <w:rPr>
          <w:rFonts w:ascii="Times New Roman" w:hAnsi="Times New Roman"/>
          <w:b/>
          <w:color w:val="000000"/>
          <w:sz w:val="20"/>
        </w:rPr>
        <w:t>Transactions, and Director Independence.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will be set forth in the Proxy Statement under the captions “Transactions with Related Persons and Indemnification” and “Independence of the Board of Directors” and is incorporated herein by reference.</w:t>
      </w:r>
    </w:p>
    <w:p>
      <w:pPr>
        <w:pStyle w:val="TextBody"/>
        <w:bidi w:val="0"/>
        <w:spacing w:before="360" w:after="283"/>
        <w:jc w:val="left"/>
        <w:rPr>
          <w:rFonts w:ascii="Times New Roman" w:hAnsi="Times New Roman"/>
          <w:b/>
          <w:color w:val="000000"/>
          <w:sz w:val="20"/>
        </w:rPr>
      </w:pPr>
      <w:bookmarkStart w:id="25" w:name="item_14_principal_accountant_fees_servic"/>
      <w:bookmarkEnd w:id="25"/>
      <w:r>
        <w:rPr>
          <w:rFonts w:ascii="Times New Roman" w:hAnsi="Times New Roman"/>
          <w:b/>
          <w:color w:val="000000"/>
          <w:sz w:val="20"/>
        </w:rPr>
        <w:t>Item 14. Principal Accountant Fees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will be set forth in the Proxy Statement under the caption “Ratification of Selection of Independent Registered Public Accounting Firm” and is incorporated herein by reference.</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6" w:name="part_iv"/>
      <w:bookmarkEnd w:id="26"/>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IV</w:t>
      </w:r>
    </w:p>
    <w:p>
      <w:pPr>
        <w:pStyle w:val="TextBody"/>
        <w:bidi w:val="0"/>
        <w:spacing w:before="240" w:after="283"/>
        <w:jc w:val="left"/>
        <w:rPr>
          <w:rFonts w:ascii="Times New Roman" w:hAnsi="Times New Roman"/>
          <w:b/>
          <w:color w:val="000000"/>
          <w:sz w:val="20"/>
        </w:rPr>
      </w:pPr>
      <w:bookmarkStart w:id="27" w:name="item_15_exhibits_financial_statement_sch"/>
      <w:bookmarkEnd w:id="27"/>
      <w:r>
        <w:rPr>
          <w:rFonts w:ascii="Times New Roman" w:hAnsi="Times New Roman"/>
          <w:b/>
          <w:color w:val="000000"/>
          <w:sz w:val="20"/>
        </w:rPr>
        <w:t>Item 15. Exhibits and Financial Statement Schedules.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Financial Statements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following report and financial statements of the Company are included in this Annual Report on Form 10-K: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Report of Independent Registered Public Accounting Firm (PCAOB ID No. 34)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Consolidated Balance Sheets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Consolidated Statements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Consolidated Statements of Stockholders’ Equity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Consolidated Statements of Cash Flows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Notes to Consolidated Financial Statements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Financial Statements Schedules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financial statement schedules have been omitted as they are not required, they are not applicable, or the required information is included in the financial statements or notes to the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563C1"/>
                  <w:sz w:val="20"/>
                  <w:u w:val="single"/>
                </w:rPr>
                <w:t>Amended and Restated Certificate of Incorporation (incorporated by reference to Exhibit 3.1 to the Company’s Current Report on Form 8-K (File No. 001-39536), filed with the Securities and Exchange Commission on September 29, 2020).</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563C1"/>
                  <w:sz w:val="20"/>
                  <w:u w:val="single"/>
                </w:rPr>
                <w:t>Amended and Restated Bylaws (incorporated by reference to Exhibit 3.4 to the Company’s to the Company’s Registration Statement on Form S-1 (File No. 333-248559), filed with the Securities and Exchange Commission on September 17, 2020).</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Certificate of Amendment to the Amended and Restated Certificate of Incorporation of (incorporated by reference to Exhibit 3.1 to the Company's Current Report on Form 8-K (File No. 001-39536), filed with the Securities and Exchange Commission on November 15, 2023).</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563C1"/>
                  <w:sz w:val="20"/>
                  <w:u w:val="single"/>
                </w:rPr>
                <w:t>Amended and Restated Investors’ Rights Agreement, by and among the Company and certain of its stockholders, dated July 2, 2020 (incorporated by reference to Exhibit 4.1 to the Company’s Registration Statement on Form S-1 (File No. 333-248559), filed with the Securities and Exchange Commission on September 2, 2020)</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563C1"/>
                  <w:sz w:val="20"/>
                  <w:u w:val="single"/>
                </w:rPr>
                <w:t>Description of the Company’s Common Stock (incorporated by reference to Exhibit 4.2 to the Company’s Annual Report on Form 10-K (File No. 001-39536), filed with the Securities Exchange Commission on March 3,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Form of Pre-Funded Warrant to Purchase Common Stock (incorporated by reference to Exhibit 4.1 to the Company’s Current Report on Form 8-K (File No. 001-39536), filed with the Securities and Exchange Commission on August 14, 2023).</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Form of Warrant to Purchase Common Stock dated April 5, 2023 (incorporated by reference to Exhibit 4.5 to the Company’s Registration Statement on Form S-3 (File No. 333-271144), filed with the Securities Exchange Commission on April 5, 2023).</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10.1</w:t>
            </w: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563C1"/>
                  <w:sz w:val="20"/>
                  <w:u w:val="single"/>
                </w:rPr>
                <w:t>Research, Collaboration &amp; License Agreement, by and between the Company and The Board of Regents of the University of Texas System on behalf of The University of Texas Southwestern Medical Center, dated as of November 19, 2019 (incorporated by reference to Exhibit 10.1 to the Company’s Registration Statement on Form S-1 (File No. 333-248559), filed with the Securities and Exchange Commission on September 2, 2020).</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10.2</w:t>
            </w: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563C1"/>
                  <w:sz w:val="20"/>
                  <w:u w:val="single"/>
                </w:rPr>
                <w:t>Amendment to Research, Collaboration &amp; License Agreement, by and between the Registrant and The Board of Regents of the University of Texas System on behalf of The University of Texas Southwestern Medical Center, dated as of April 2, 2020 (incorporated by reference to Exhibit 10.2 to the Company’s Registration Statement on Form S-1 (File No. 333-248559), filed with the Securities and Exchange Commission on September 2, 2020).</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10.3</w:t>
            </w: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563C1"/>
                  <w:sz w:val="20"/>
                  <w:u w:val="single"/>
                </w:rPr>
                <w:t>License Agreement, by and between the Company and Queen’s University at Kingston, dated as of February 21, 2020 (incorporated by reference to Exhibit 10.3 to the Company’s Registration Statement on Form S-1 (File No. 333-248559), filed with the Securities and Exchange Commission on September 2, 2020).</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10.4</w:t>
            </w: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563C1"/>
                  <w:sz w:val="20"/>
                  <w:u w:val="single"/>
                </w:rPr>
                <w:t>License Agreement, by and between the Company and Abeona Therapeutics Inc., dated as of August 14, 2020 (incorporated by reference to Exhibit 10.4 to the Company’s Registration Statement on Form S-1 (File No. 333-248559), filed with the Securities and Exchange Commission on September 2, 2020).</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10.5</w:t>
            </w: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563C1"/>
                  <w:sz w:val="20"/>
                  <w:u w:val="single"/>
                </w:rPr>
                <w:t>License Agreement, by and between the Company and Abeona Therapeutics Inc., dated as of October 29, 2020 (incorporated by reference to Exhibit 10.5 to the Company’s Annual Report on Form 10-K (File No. 001-39536), filed with the Securities and Exchange Commission on March 2, 2021.</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2"/>
        <w:gridCol w:w="146"/>
        <w:gridCol w:w="9447"/>
      </w:tblGrid>
      <w:tr>
        <w:trPr/>
        <w:tc>
          <w:tcPr>
            <w:tcW w:w="6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47" w:type="dxa"/>
            <w:tcBorders/>
            <w:vAlign w:val="center"/>
          </w:tcPr>
          <w:p>
            <w:pPr>
              <w:pStyle w:val="TableContents"/>
              <w:bidi w:val="0"/>
              <w:spacing w:before="0" w:after="283"/>
              <w:jc w:val="left"/>
              <w:rPr>
                <w:sz w:val="4"/>
                <w:szCs w:val="4"/>
              </w:rPr>
            </w:pPr>
            <w:r>
              <w:rPr>
                <w:sz w:val="4"/>
                <w:szCs w:val="4"/>
              </w:rPr>
            </w:r>
          </w:p>
        </w:tc>
      </w:tr>
      <w:tr>
        <w:trPr/>
        <w:tc>
          <w:tcPr>
            <w:tcW w:w="6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563C1"/>
                  <w:sz w:val="20"/>
                  <w:u w:val="single"/>
                </w:rPr>
                <w:t>2020 Equity Incentive Plan and Forms of Stock Option Grant Notice, Stock Option Agreement and Restricted Stock Award Grant Notice (incorporated by reference to Exhibit 10.5 to the Company’s Registration Statement on Form S-1 (File No. 333-248559), filed with the Securities and Exchange Commission on September 17, 2020).</w:t>
              </w:r>
            </w:hyperlink>
          </w:p>
        </w:tc>
      </w:tr>
      <w:tr>
        <w:trPr/>
        <w:tc>
          <w:tcPr>
            <w:tcW w:w="6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563C1"/>
                  <w:sz w:val="20"/>
                  <w:u w:val="single"/>
                </w:rPr>
                <w:t>2020 Stock Incentive Plan and Forms of Stock Option Grant Notice, Stock Option Agreement, Restricted Stock Unit Grant Notice and Restricted Stock Unit Award Agreement (incorporated by reference to Exhibit 10.6 to the Company’s Registration Statement on Form S-1 (File No. 333-248559), filed with the Securities and Exchange Commission on September 17, 2020).</w:t>
              </w:r>
            </w:hyperlink>
          </w:p>
        </w:tc>
      </w:tr>
      <w:tr>
        <w:trPr/>
        <w:tc>
          <w:tcPr>
            <w:tcW w:w="6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563C1"/>
                  <w:sz w:val="20"/>
                  <w:u w:val="single"/>
                </w:rPr>
                <w:t>2020 Employee Stock Purchase Plan (incorporated by reference to Exhibit 10.7 to the Company’s Registration Statement on Form S-1 (File No. 333-248559), filed with the Securities and Exchange Commission on September 17, 2020).</w:t>
              </w:r>
            </w:hyperlink>
          </w:p>
        </w:tc>
      </w:tr>
      <w:tr>
        <w:trPr/>
        <w:tc>
          <w:tcPr>
            <w:tcW w:w="6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563C1"/>
                  <w:sz w:val="20"/>
                  <w:u w:val="single"/>
                </w:rPr>
                <w:t>Form of Indemnification Agreement with Executive Officers and Directors ((incorporated by reference to Exhibit 10.8 to the Company’s Registration Statement on Form S-1 (File No. 333-248559), filed with the Securities and Exchange Commission on September 17, 2020).</w:t>
              </w:r>
            </w:hyperlink>
          </w:p>
        </w:tc>
      </w:tr>
      <w:tr>
        <w:trPr/>
        <w:tc>
          <w:tcPr>
            <w:tcW w:w="6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Amended and Restated Non-employee director compensation policy (incorporated by reference to Exhibit 10.1 to the Company's Quarterly Report on Form 10-Q (File No. 001-39536), filed with the Securities and Exchange Committee on August 14, 2023).</w:t>
              </w:r>
            </w:hyperlink>
          </w:p>
        </w:tc>
      </w:tr>
      <w:tr>
        <w:trPr/>
        <w:tc>
          <w:tcPr>
            <w:tcW w:w="6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563C1"/>
                  <w:sz w:val="20"/>
                  <w:u w:val="single"/>
                </w:rPr>
                <w:t>Change in Control Severance Plan and Form of Participation Agreement (incorporated by reference to Exhibit 10.11 to the Company’s Registration Statement on Form S-1 (File No. 333-248559), filed with the Securities and Exchange Commission on September 17, 2020).</w:t>
              </w:r>
            </w:hyperlink>
          </w:p>
        </w:tc>
      </w:tr>
      <w:tr>
        <w:trPr/>
        <w:tc>
          <w:tcPr>
            <w:tcW w:w="6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563C1"/>
                  <w:sz w:val="20"/>
                  <w:u w:val="single"/>
                </w:rPr>
                <w:t>Amended and Restated Offer Letter, effective as of September 24, 2020, by and between the Company and Kamran Alam (incorporated by reference to Exhibit 10.13 to the Company’s Annual Report on Form 10-K (File No. 001-39536), filed with the Securities and Exchange Commission on March 3, 2021).</w:t>
              </w:r>
            </w:hyperlink>
          </w:p>
        </w:tc>
      </w:tr>
      <w:tr>
        <w:trPr/>
        <w:tc>
          <w:tcPr>
            <w:tcW w:w="6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563C1"/>
                  <w:sz w:val="20"/>
                  <w:u w:val="single"/>
                </w:rPr>
                <w:t>Lease, dated December 17, 2020, by and between Patriot Park Partners II, LLC and the Company (incorporated by reference to Exhibit 10.15 to the Company’s Annual Report on Form 10-K (File No. 001-39536), filed with the Securities and Exchange Commission on March 3, 2021).</w:t>
              </w:r>
            </w:hyperlink>
          </w:p>
        </w:tc>
      </w:tr>
      <w:tr>
        <w:trPr/>
        <w:tc>
          <w:tcPr>
            <w:tcW w:w="6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563C1"/>
                  <w:sz w:val="20"/>
                  <w:u w:val="single"/>
                </w:rPr>
                <w:t>Lease Agreement, dated January 8, 2021, by and between Pegasus Park, LLC and the Company (incorporated by reference to Exhibit 10.1 to the Company’s Quarterly Report on Form 10-Q (File No. 001-39536), filed with the Securities and Exchange Commission on August 16, 2021).</w:t>
              </w:r>
            </w:hyperlink>
          </w:p>
        </w:tc>
      </w:tr>
      <w:tr>
        <w:trPr/>
        <w:tc>
          <w:tcPr>
            <w:tcW w:w="6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First Amendment to Lease Agreement, dated December 14, 2021, by and between Pegasus Park, LLC and the Company (incorporated by reference to Exhibit 10.18 to the Company's Annual Report on Form 10-K (File No. 001-39536), filed with the Securities and Exchange Commission on March 31, 2022).</w:t>
              </w:r>
            </w:hyperlink>
          </w:p>
        </w:tc>
      </w:tr>
      <w:tr>
        <w:trPr/>
        <w:tc>
          <w:tcPr>
            <w:tcW w:w="6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Sales Agreement, dated as of October 5, 2021, by and among the Registrant, SVB Leerink LLC and Wells Fargo Securities, LLC (incorporated by reference to Exhibit 1.2 to the Company’s Registration Statement on Form S-3 (File No. 333-260069), filed with the Securities and Exchange Commission on October 5, 2021).</w:t>
              </w:r>
            </w:hyperlink>
          </w:p>
        </w:tc>
      </w:tr>
      <w:tr>
        <w:trPr/>
        <w:tc>
          <w:tcPr>
            <w:tcW w:w="6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Amendment No. 1 to Sales Agreement, dated March 30, 2022, by and among the Company, Goldman Sachs &amp; Co. LLC, SVB Securities LLC and Wells Fargo Securities, LLC (incorporated by reference to Exhibit 10.19 to the Company's Annual Report on Form 10-K (File No. 001-39536), filed with the Securities and Exchange Commission on March 31, 2022).</w:t>
              </w:r>
            </w:hyperlink>
          </w:p>
        </w:tc>
      </w:tr>
      <w:tr>
        <w:trPr/>
        <w:tc>
          <w:tcPr>
            <w:tcW w:w="6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Option Agreement, by and between the Company and Astellas, dated October 21, 2022 (incorporated by reference to Exhibit 10.1 to the Company’s Current Report on Form 8-K (File No. 001-39536), filed with the Securities and Exchange Commission on October 31, 2022).</w:t>
              </w:r>
            </w:hyperlink>
          </w:p>
        </w:tc>
      </w:tr>
      <w:tr>
        <w:trPr/>
        <w:tc>
          <w:tcPr>
            <w:tcW w:w="6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Securities Purchase Agreement, by and between the Company and Astellas, dated October 21, 2022 (incorporated by reference to Exhibit 10.2 to the Company’s Current Report on Form 8-K (File No. 001-39536), filed with the Securities and Exchange Commission on October 31,2022).</w:t>
              </w:r>
            </w:hyperlink>
          </w:p>
        </w:tc>
      </w:tr>
      <w:tr>
        <w:trPr/>
        <w:tc>
          <w:tcPr>
            <w:tcW w:w="6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Registration Rights Agreement, by and between the Company and Astellas, dated October 21, 2022 (incorporated by reference to Exhibit 10.3 to the Company’s Current Report on Form 8-K (File No. 001-39536), filed with the Securities and Exchange Commission on October 31,2022).</w:t>
              </w:r>
            </w:hyperlink>
          </w:p>
        </w:tc>
      </w:tr>
      <w:tr>
        <w:trPr/>
        <w:tc>
          <w:tcPr>
            <w:tcW w:w="6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Executive Employment Agreement, effective as of December 30, 2022, by and between the Company and Sean Nolan (incorporated by reference to Exhibit 10.23 to the Company's Annual Report on Form 10-K (File No. 001-39536), filed with the Securities and Exchange Commission on March 28, 2023.</w:t>
              </w:r>
            </w:hyperlink>
          </w:p>
        </w:tc>
      </w:tr>
      <w:tr>
        <w:trPr/>
        <w:tc>
          <w:tcPr>
            <w:tcW w:w="6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Executive Employment Agreement, effective as of December 30, 2022, by and between the Company and Sukumar Nagendran (incorporated by reference to Exhibit 10.24 to the Company's Annual Report on Form 10-K (File No. 001-39536), filed with the Securities and Exchange Commission on March 28, 2023.</w:t>
              </w:r>
            </w:hyperlink>
          </w:p>
        </w:tc>
      </w:tr>
      <w:tr>
        <w:trPr/>
        <w:tc>
          <w:tcPr>
            <w:tcW w:w="6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Loan and Security Agreement, dated November 13, 2023 by and among the Company, and the lenders from time to time party thereto as lenders, and Trinity Capital, Inc. as administrative agent and collateral agent (incorporated by reference to Exhibit 10.2 to the Company's Quarterly Report on Form 10-Q (File No. 001-39536) filed with the Securities and Exchange Commission on November 14, 2023).</w:t>
              </w:r>
            </w:hyperlink>
          </w:p>
        </w:tc>
      </w:tr>
      <w:tr>
        <w:trPr/>
        <w:tc>
          <w:tcPr>
            <w:tcW w:w="6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Taysha Gene Therapies, Inc. 2023 Inducement Plan (incorporated by reference to Exhibit 10.1 to the Company’s Current Report on Form 8-K (File No. 001-39536) filed with the Securities and Exchange Commission on December 20, 2023).</w:t>
              </w:r>
            </w:hyperlink>
          </w:p>
        </w:tc>
      </w:tr>
      <w:tr>
        <w:trPr/>
        <w:tc>
          <w:tcPr>
            <w:tcW w:w="6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FF"/>
                  <w:sz w:val="20"/>
                  <w:u w:val="single"/>
                </w:rPr>
                <w:t>Form of RSU Award Grant Notice and RSU Award Agreement under the 2023 Inducement Plan (incorporated by reference to Exhibit 10.2 to the Company’s Current Report on Form 8-K (File No. 001-39536) filed with the Securities and Exchange Commission on December 20, 2023).</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9"/>
        <w:gridCol w:w="146"/>
        <w:gridCol w:w="9370"/>
      </w:tblGrid>
      <w:tr>
        <w:trPr/>
        <w:tc>
          <w:tcPr>
            <w:tcW w:w="6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70" w:type="dxa"/>
            <w:tcBorders/>
            <w:vAlign w:val="center"/>
          </w:tcPr>
          <w:p>
            <w:pPr>
              <w:pStyle w:val="TableContents"/>
              <w:bidi w:val="0"/>
              <w:spacing w:before="0" w:after="283"/>
              <w:jc w:val="left"/>
              <w:rPr>
                <w:sz w:val="4"/>
                <w:szCs w:val="4"/>
              </w:rPr>
            </w:pPr>
            <w:r>
              <w:rPr>
                <w:sz w:val="4"/>
                <w:szCs w:val="4"/>
              </w:rPr>
            </w:r>
          </w:p>
        </w:tc>
      </w:tr>
      <w:tr>
        <w:trPr/>
        <w:tc>
          <w:tcPr>
            <w:tcW w:w="6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Times New Roman" w:hAnsi="Times New Roman"/>
                  <w:color w:val="0000FF"/>
                  <w:sz w:val="20"/>
                  <w:u w:val="single"/>
                </w:rPr>
                <w:t>Form of Stock Option Grant Notice and Stock Option Agreement under the 2023 Inducement Plan (incorporated by reference to Exhibit 10.3 to the Company’s Current Report on Form 8-K (File No. 001-39536) filed with the Securities and Exchange Commission on December 20, 2023).</w:t>
              </w:r>
            </w:hyperlink>
          </w:p>
        </w:tc>
      </w:tr>
      <w:tr>
        <w:trPr/>
        <w:tc>
          <w:tcPr>
            <w:tcW w:w="6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sha-ex23_1.htm">
              <w:r>
                <w:rPr>
                  <w:rStyle w:val="InternetLink"/>
                  <w:rFonts w:ascii="Times New Roman" w:hAnsi="Times New Roman"/>
                  <w:color w:val="0000FF"/>
                  <w:sz w:val="20"/>
                  <w:u w:val="single"/>
                </w:rPr>
                <w:t>Consent of Deloitte &amp; Touche LLP</w:t>
              </w:r>
            </w:hyperlink>
          </w:p>
        </w:tc>
      </w:tr>
      <w:tr>
        <w:trPr/>
        <w:tc>
          <w:tcPr>
            <w:tcW w:w="6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ower_attomny">
              <w:r>
                <w:rPr>
                  <w:rStyle w:val="InternetLink"/>
                  <w:rFonts w:ascii="Times New Roman" w:hAnsi="Times New Roman"/>
                  <w:color w:val="0563C1"/>
                  <w:sz w:val="20"/>
                  <w:u w:val="single"/>
                </w:rPr>
                <w:t>Power of Attorney (included on signature page)</w:t>
              </w:r>
            </w:hyperlink>
          </w:p>
        </w:tc>
      </w:tr>
      <w:tr>
        <w:trPr/>
        <w:tc>
          <w:tcPr>
            <w:tcW w:w="6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sha-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6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sha-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6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sha-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6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sha-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6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sha-ex97_1.htm">
              <w:r>
                <w:rPr>
                  <w:rStyle w:val="InternetLink"/>
                  <w:rFonts w:ascii="Times New Roman" w:hAnsi="Times New Roman"/>
                  <w:color w:val="0000FF"/>
                  <w:sz w:val="20"/>
                  <w:u w:val="single"/>
                </w:rPr>
                <w:t>Taysha Gene Therapies, Inc. Incentive Compensation Recoupment Policy</w:t>
              </w:r>
            </w:hyperlink>
          </w:p>
        </w:tc>
      </w:tr>
      <w:tr>
        <w:trPr/>
        <w:tc>
          <w:tcPr>
            <w:tcW w:w="6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6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6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r>
        <w:trPr/>
        <w:tc>
          <w:tcPr>
            <w:tcW w:w="6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101.DEF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coLinkbase Document</w:t>
            </w:r>
          </w:p>
        </w:tc>
      </w:tr>
      <w:tr>
        <w:trPr/>
        <w:tc>
          <w:tcPr>
            <w:tcW w:w="6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101.LAB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r>
      <w:tr>
        <w:trPr/>
        <w:tc>
          <w:tcPr>
            <w:tcW w:w="6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101.PRE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r>
      <w:tr>
        <w:trPr/>
        <w:tc>
          <w:tcPr>
            <w:tcW w:w="6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Inline XBRL document)</w:t>
            </w:r>
          </w:p>
        </w:tc>
      </w:tr>
      <w:tr>
        <w:trPr/>
        <w:tc>
          <w:tcPr>
            <w:tcW w:w="6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Portions of this agreement (indicated by asterisks) have been omitted because the registrant has determined they are not material and would likely cause competitive harm to the registrant if publicly disclosed.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Certain schedules to this agreement have been omitted in accordance with Item 601(b)(2) of Regulation S-K. A copy of any omitted schedules will be furnished supplementally to the SEC upon request.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These certifications are being furnished solely to accompany this annual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 </w:t>
      </w:r>
    </w:p>
    <w:p>
      <w:pPr>
        <w:pStyle w:val="TextBody"/>
        <w:bidi w:val="0"/>
        <w:spacing w:before="360" w:after="283"/>
        <w:jc w:val="left"/>
        <w:rPr>
          <w:rFonts w:ascii="Times New Roman" w:hAnsi="Times New Roman"/>
          <w:sz w:val="20"/>
        </w:rPr>
      </w:pPr>
      <w:bookmarkStart w:id="28" w:name="item_16_form_10k_summary"/>
      <w:bookmarkEnd w:id="28"/>
      <w:r>
        <w:rPr>
          <w:rFonts w:ascii="Times New Roman" w:hAnsi="Times New Roman"/>
          <w:b/>
          <w:color w:val="000000"/>
          <w:sz w:val="20"/>
        </w:rPr>
        <w:t>Item 16. Form</w:t>
      </w:r>
      <w:r>
        <w:rPr>
          <w:rFonts w:ascii="Times New Roman" w:hAnsi="Times New Roman"/>
          <w:color w:val="000000"/>
          <w:sz w:val="20"/>
        </w:rPr>
        <w:t xml:space="preserve"> </w:t>
      </w:r>
      <w:r>
        <w:rPr>
          <w:rFonts w:ascii="Times New Roman" w:hAnsi="Times New Roman"/>
          <w:b/>
          <w:color w:val="000000"/>
          <w:sz w:val="20"/>
        </w:rPr>
        <w:t>10-K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9" w:name="section64"/>
      <w:bookmarkStart w:id="30" w:name="signatures"/>
      <w:bookmarkEnd w:id="29"/>
      <w:bookmarkEnd w:id="30"/>
      <w:r>
        <w:rPr>
          <w:rFonts w:ascii="Times New Roman" w:hAnsi="Times New Roman"/>
          <w:b/>
          <w:color w:val="000000"/>
          <w:sz w:val="20"/>
        </w:rPr>
        <w:t>SIGNA</w:t>
      </w:r>
      <w:bookmarkStart w:id="31" w:name="signatures_1"/>
      <w:bookmarkEnd w:id="31"/>
      <w:r>
        <w:rPr>
          <w:rFonts w:ascii="Times New Roman" w:hAnsi="Times New Roman"/>
          <w:b/>
          <w:color w:val="000000"/>
          <w:sz w:val="20"/>
        </w:rPr>
        <w:t>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jc w:val="left"/>
        <w:rPr/>
      </w:pPr>
      <w:r>
        <w:rPr/>
        <w:t> </w:t>
      </w:r>
    </w:p>
    <w:tbl>
      <w:tblPr>
        <w:tblW w:w="4935" w:type="dxa"/>
        <w:jc w:val="left"/>
        <w:tblInd w:w="0" w:type="dxa"/>
        <w:tblLayout w:type="fixed"/>
        <w:tblCellMar>
          <w:top w:w="28" w:type="dxa"/>
          <w:left w:w="28" w:type="dxa"/>
          <w:bottom w:w="28" w:type="dxa"/>
          <w:right w:w="28" w:type="dxa"/>
        </w:tblCellMar>
      </w:tblPr>
      <w:tblGrid>
        <w:gridCol w:w="1741"/>
        <w:gridCol w:w="494"/>
        <w:gridCol w:w="177"/>
        <w:gridCol w:w="2523"/>
      </w:tblGrid>
      <w:tr>
        <w:trPr/>
        <w:tc>
          <w:tcPr>
            <w:tcW w:w="174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283"/>
              <w:jc w:val="left"/>
              <w:rPr/>
            </w:pPr>
            <w:r>
              <w:rPr/>
              <w:t> </w:t>
            </w:r>
          </w:p>
        </w:tc>
        <w:tc>
          <w:tcPr>
            <w:tcW w:w="3194" w:type="dxa"/>
            <w:gridSpan w:val="3"/>
            <w:tcBorders/>
            <w:tcMar>
              <w:top w:w="0" w:type="dxa"/>
              <w:left w:w="0" w:type="dxa"/>
              <w:bottom w:w="0" w:type="dxa"/>
              <w:right w:w="0" w:type="dxa"/>
            </w:tcMar>
            <w:vAlign w:val="center"/>
          </w:tcPr>
          <w:p>
            <w:pPr>
              <w:pStyle w:val="TableContents"/>
              <w:bidi w:val="0"/>
              <w:spacing w:before="75" w:after="30"/>
              <w:jc w:val="left"/>
              <w:rPr>
                <w:rFonts w:ascii="Times New Roman" w:hAnsi="Times New Roman"/>
                <w:b/>
                <w:color w:val="000000"/>
                <w:sz w:val="20"/>
              </w:rPr>
            </w:pPr>
            <w:r>
              <w:rPr>
                <w:rFonts w:ascii="Times New Roman" w:hAnsi="Times New Roman"/>
                <w:b/>
                <w:color w:val="000000"/>
                <w:sz w:val="20"/>
              </w:rPr>
              <w:t>TAYSHA GENE THERAPIES, INC.</w:t>
            </w:r>
          </w:p>
        </w:tc>
      </w:tr>
      <w:tr>
        <w:trPr/>
        <w:tc>
          <w:tcPr>
            <w:tcW w:w="1741" w:type="dxa"/>
            <w:tcBorders/>
            <w:vAlign w:val="center"/>
          </w:tcPr>
          <w:p>
            <w:pPr>
              <w:pStyle w:val="TableContents"/>
              <w:bidi w:val="0"/>
              <w:spacing w:before="0" w:after="283"/>
              <w:jc w:val="left"/>
              <w:rPr/>
            </w:pPr>
            <w:r>
              <w:rPr/>
              <w:t> </w:t>
            </w:r>
          </w:p>
        </w:tc>
        <w:tc>
          <w:tcPr>
            <w:tcW w:w="494"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2523" w:type="dxa"/>
            <w:tcBorders/>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sz w:val="20"/>
              </w:rPr>
            </w:pPr>
            <w:r>
              <w:rPr>
                <w:rFonts w:ascii="Times New Roman" w:hAnsi="Times New Roman"/>
                <w:color w:val="000000"/>
                <w:sz w:val="20"/>
              </w:rPr>
              <w:t xml:space="preserve">Date: </w:t>
            </w:r>
            <w:r>
              <w:rPr>
                <w:rFonts w:ascii="Times New Roman" w:hAnsi="Times New Roman"/>
                <w:color w:val="000000"/>
                <w:sz w:val="18"/>
              </w:rPr>
              <w:t>March 19, 2024</w:t>
            </w:r>
          </w:p>
        </w:tc>
        <w:tc>
          <w:tcPr>
            <w:tcW w:w="494"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By:</w:t>
            </w:r>
          </w:p>
        </w:tc>
        <w:tc>
          <w:tcPr>
            <w:tcW w:w="177" w:type="dxa"/>
            <w:tcBorders/>
            <w:vAlign w:val="center"/>
          </w:tcPr>
          <w:p>
            <w:pPr>
              <w:pStyle w:val="TableContents"/>
              <w:bidi w:val="0"/>
              <w:spacing w:before="0" w:after="283"/>
              <w:jc w:val="left"/>
              <w:rPr/>
            </w:pPr>
            <w:r>
              <w:rPr/>
              <w:t> </w:t>
            </w:r>
          </w:p>
        </w:tc>
        <w:tc>
          <w:tcPr>
            <w:tcW w:w="2523" w:type="dxa"/>
            <w:tcBorders>
              <w:bottom w:val="single" w:sz="8" w:space="0" w:color="000000"/>
            </w:tcBorders>
            <w:tcMar>
              <w:top w:w="0" w:type="dxa"/>
              <w:left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/s/ Sean Nolan</w:t>
            </w:r>
          </w:p>
        </w:tc>
      </w:tr>
      <w:tr>
        <w:trPr/>
        <w:tc>
          <w:tcPr>
            <w:tcW w:w="1741" w:type="dxa"/>
            <w:tcBorders/>
            <w:vAlign w:val="center"/>
          </w:tcPr>
          <w:p>
            <w:pPr>
              <w:pStyle w:val="TableContents"/>
              <w:bidi w:val="0"/>
              <w:spacing w:before="0" w:after="283"/>
              <w:jc w:val="left"/>
              <w:rPr/>
            </w:pPr>
            <w:r>
              <w:rPr/>
              <w:t> </w:t>
            </w:r>
          </w:p>
        </w:tc>
        <w:tc>
          <w:tcPr>
            <w:tcW w:w="494"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2523" w:type="dxa"/>
            <w:tcBorders/>
            <w:tcMar>
              <w:top w:w="0" w:type="dxa"/>
              <w:left w:w="0" w:type="dxa"/>
              <w:bottom w:w="0" w:type="dxa"/>
              <w:right w:w="0" w:type="dxa"/>
            </w:tcMar>
            <w:vAlign w:val="center"/>
          </w:tcPr>
          <w:p>
            <w:pPr>
              <w:pStyle w:val="TableContents"/>
              <w:bidi w:val="0"/>
              <w:spacing w:before="55" w:after="283"/>
              <w:jc w:val="left"/>
              <w:rPr>
                <w:rFonts w:ascii="Times New Roman" w:hAnsi="Times New Roman"/>
                <w:color w:val="000000"/>
                <w:sz w:val="20"/>
              </w:rPr>
            </w:pPr>
            <w:r>
              <w:rPr>
                <w:rFonts w:ascii="Times New Roman" w:hAnsi="Times New Roman"/>
                <w:color w:val="000000"/>
                <w:sz w:val="20"/>
              </w:rPr>
              <w:t>Sean Nolan</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spacing w:before="40" w:after="283"/>
        <w:jc w:val="left"/>
        <w:rPr>
          <w:rFonts w:ascii="Times New Roman" w:hAnsi="Times New Roman"/>
          <w:sz w:val="20"/>
        </w:rPr>
      </w:pPr>
      <w:bookmarkStart w:id="32" w:name="power_attomny"/>
      <w:bookmarkEnd w:id="32"/>
      <w:r>
        <w:rPr>
          <w:rFonts w:ascii="Times New Roman" w:hAnsi="Times New Roman"/>
          <w:color w:val="000000"/>
          <w:sz w:val="20"/>
        </w:rPr>
        <w:t>KNOW ALL PERSONS BY THESE PRESENTS, that each person whose signature appears below constitutes and appoints Sean Nolan and Kamran Alam, jointly and severally, as his or her true and lawful attorneys-in-fact and agents, with full power of substitution and resubstitution, for him or her and in his or her name, place and stead, in any and all capacities, to sign this Annual Report on Form 10-K of Taysha Gene Therapies, Inc., and any or all amendments thereto, and to file the s</w:t>
      </w:r>
      <w:bookmarkStart w:id="33" w:name="know_all_persons_by_se_presents_that_eac"/>
      <w:bookmarkEnd w:id="33"/>
      <w:r>
        <w:rPr>
          <w:rFonts w:ascii="Times New Roman" w:hAnsi="Times New Roman"/>
          <w:color w:val="000000"/>
          <w:sz w:val="20"/>
        </w:rPr>
        <w:t xml:space="preserve">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her or their substitute or substitutes, may lawfully do or cause to be done by virtue hereof.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jc w:val="left"/>
        <w:rPr/>
      </w:pPr>
      <w:r>
        <w:rPr/>
        <w:t> </w:t>
      </w:r>
    </w:p>
    <w:tbl>
      <w:tblPr>
        <w:tblW w:w="7266" w:type="dxa"/>
        <w:jc w:val="left"/>
        <w:tblInd w:w="0" w:type="dxa"/>
        <w:tblLayout w:type="fixed"/>
        <w:tblCellMar>
          <w:top w:w="28" w:type="dxa"/>
          <w:left w:w="28" w:type="dxa"/>
          <w:bottom w:w="28" w:type="dxa"/>
          <w:right w:w="28" w:type="dxa"/>
        </w:tblCellMar>
      </w:tblPr>
      <w:tblGrid>
        <w:gridCol w:w="2431"/>
        <w:gridCol w:w="146"/>
        <w:gridCol w:w="3106"/>
        <w:gridCol w:w="146"/>
        <w:gridCol w:w="1246"/>
        <w:gridCol w:w="191"/>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91" w:type="dxa"/>
            <w:tcBorders/>
          </w:tcPr>
          <w:p>
            <w:pPr>
              <w:pStyle w:val="TableContents"/>
              <w:bidi w:val="0"/>
              <w:spacing w:before="0" w:after="283"/>
              <w:jc w:val="left"/>
              <w:rPr>
                <w:sz w:val="4"/>
                <w:szCs w:val="4"/>
              </w:rPr>
            </w:pPr>
            <w:r>
              <w:rPr>
                <w:sz w:val="4"/>
                <w:szCs w:val="4"/>
              </w:rPr>
            </w:r>
          </w:p>
        </w:tc>
      </w:tr>
      <w:tr>
        <w:trPr/>
        <w:tc>
          <w:tcPr>
            <w:tcW w:w="2431"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Times New Roman" w:hAnsi="Times New Roman"/>
                <w:b/>
                <w:color w:val="000000"/>
                <w:sz w:val="18"/>
              </w:rPr>
            </w:pPr>
            <w:r>
              <w:rPr>
                <w:rFonts w:ascii="Times New Roman" w:hAnsi="Times New Roman"/>
                <w:b/>
                <w:color w:val="000000"/>
                <w:sz w:val="18"/>
              </w:rPr>
              <w:t>Signature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106"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Times New Roman" w:hAnsi="Times New Roman"/>
                <w:b/>
                <w:color w:val="000000"/>
                <w:sz w:val="18"/>
              </w:rPr>
            </w:pPr>
            <w:r>
              <w:rPr>
                <w:rFonts w:ascii="Times New Roman" w:hAnsi="Times New Roman"/>
                <w:b/>
                <w:color w:val="000000"/>
                <w:sz w:val="18"/>
              </w:rPr>
              <w:t>Title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246"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Times New Roman" w:hAnsi="Times New Roman"/>
                <w:b/>
                <w:color w:val="000000"/>
                <w:sz w:val="18"/>
              </w:rPr>
            </w:pPr>
            <w:r>
              <w:rPr>
                <w:rFonts w:ascii="Times New Roman" w:hAnsi="Times New Roman"/>
                <w:b/>
                <w:color w:val="000000"/>
                <w:sz w:val="18"/>
              </w:rPr>
              <w:t>Date</w:t>
            </w:r>
          </w:p>
        </w:tc>
        <w:tc>
          <w:tcPr>
            <w:tcW w:w="191" w:type="dxa"/>
            <w:tcBorders/>
          </w:tcPr>
          <w:p>
            <w:pPr>
              <w:pStyle w:val="TableContents"/>
              <w:bidi w:val="0"/>
              <w:spacing w:before="0" w:after="283"/>
              <w:jc w:val="left"/>
              <w:rPr>
                <w:sz w:val="4"/>
                <w:szCs w:val="4"/>
              </w:rPr>
            </w:pPr>
            <w:r>
              <w:rPr>
                <w:sz w:val="4"/>
                <w:szCs w:val="4"/>
              </w:rPr>
            </w:r>
          </w:p>
        </w:tc>
      </w:tr>
      <w:tr>
        <w:trPr/>
        <w:tc>
          <w:tcPr>
            <w:tcW w:w="24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c>
          <w:tcPr>
            <w:tcW w:w="191" w:type="dxa"/>
            <w:tcBorders/>
          </w:tcPr>
          <w:p>
            <w:pPr>
              <w:pStyle w:val="TableContents"/>
              <w:bidi w:val="0"/>
              <w:spacing w:before="0" w:after="283"/>
              <w:jc w:val="left"/>
              <w:rPr>
                <w:sz w:val="4"/>
                <w:szCs w:val="4"/>
              </w:rPr>
            </w:pPr>
            <w:r>
              <w:rPr>
                <w:sz w:val="4"/>
                <w:szCs w:val="4"/>
              </w:rPr>
            </w:r>
          </w:p>
        </w:tc>
      </w:tr>
      <w:tr>
        <w:trPr/>
        <w:tc>
          <w:tcPr>
            <w:tcW w:w="2431" w:type="dxa"/>
            <w:tcBorders>
              <w:bottom w:val="single" w:sz="8" w:space="0" w:color="000000"/>
            </w:tcBorders>
            <w:tcMar>
              <w:top w:w="0" w:type="dxa"/>
              <w:left w:w="0" w:type="dxa"/>
              <w:right w:w="0" w:type="dxa"/>
            </w:tcMar>
            <w:vAlign w:val="center"/>
          </w:tcPr>
          <w:p>
            <w:pPr>
              <w:pStyle w:val="TableContents"/>
              <w:bidi w:val="0"/>
              <w:spacing w:before="75" w:after="30"/>
              <w:jc w:val="left"/>
              <w:rPr>
                <w:color w:val="000000"/>
              </w:rPr>
            </w:pPr>
            <w:r>
              <w:rPr>
                <w:color w:val="000000"/>
              </w:rPr>
              <w:t> </w:t>
            </w:r>
            <w:r>
              <w:rPr>
                <w:rFonts w:ascii="Times New Roman" w:hAnsi="Times New Roman"/>
                <w:color w:val="000000"/>
                <w:sz w:val="18"/>
              </w:rPr>
              <w:t>/s/ Sean Nolan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106" w:type="dxa"/>
            <w:vMerge w:val="restart"/>
            <w:tcBorders/>
            <w:tcMar>
              <w:top w:w="0" w:type="dxa"/>
              <w:left w:w="0" w:type="dxa"/>
              <w:bottom w:w="0" w:type="dxa"/>
              <w:right w:w="0" w:type="dxa"/>
            </w:tcMar>
            <w:vAlign w:val="center"/>
          </w:tcPr>
          <w:p>
            <w:pPr>
              <w:pStyle w:val="TableContents"/>
              <w:bidi w:val="0"/>
              <w:spacing w:before="75" w:after="283"/>
              <w:jc w:val="left"/>
              <w:rPr>
                <w:rFonts w:ascii="Times New Roman" w:hAnsi="Times New Roman"/>
                <w:color w:val="000000"/>
                <w:sz w:val="18"/>
              </w:rPr>
            </w:pPr>
            <w:r>
              <w:rPr>
                <w:rFonts w:ascii="Times New Roman" w:hAnsi="Times New Roman"/>
                <w:color w:val="000000"/>
                <w:sz w:val="18"/>
              </w:rPr>
              <w:t>Chief Executive Officer and Director</w:t>
            </w:r>
          </w:p>
          <w:p>
            <w:pPr>
              <w:pStyle w:val="TableContents"/>
              <w:bidi w:val="0"/>
              <w:spacing w:before="0" w:after="30"/>
              <w:jc w:val="left"/>
              <w:rPr>
                <w:rFonts w:ascii="Times New Roman" w:hAnsi="Times New Roman"/>
                <w:i/>
                <w:color w:val="000000"/>
                <w:sz w:val="18"/>
              </w:rPr>
            </w:pPr>
            <w:r>
              <w:rPr>
                <w:rFonts w:ascii="Times New Roman" w:hAnsi="Times New Roman"/>
                <w:i/>
                <w:color w:val="000000"/>
                <w:sz w:val="18"/>
              </w:rPr>
              <w:t>(Principal Executive Officer)</w:t>
            </w:r>
          </w:p>
        </w:tc>
        <w:tc>
          <w:tcPr>
            <w:tcW w:w="146" w:type="dxa"/>
            <w:tcBorders/>
            <w:vAlign w:val="center"/>
          </w:tcPr>
          <w:p>
            <w:pPr>
              <w:pStyle w:val="TableContents"/>
              <w:bidi w:val="0"/>
              <w:spacing w:before="0" w:after="283"/>
              <w:jc w:val="left"/>
              <w:rPr/>
            </w:pPr>
            <w:r>
              <w:rPr/>
              <w:t> </w:t>
            </w:r>
          </w:p>
        </w:tc>
        <w:tc>
          <w:tcPr>
            <w:tcW w:w="1246" w:type="dxa"/>
            <w:tcBorders>
              <w:bottom w:val="single" w:sz="4" w:space="0" w:color="000000"/>
            </w:tcBorders>
            <w:tcMar>
              <w:top w:w="0" w:type="dxa"/>
              <w:left w:w="0" w:type="dxa"/>
              <w:right w:w="0" w:type="dxa"/>
            </w:tcMar>
            <w:vAlign w:val="center"/>
          </w:tcPr>
          <w:p>
            <w:pPr>
              <w:pStyle w:val="TableContents"/>
              <w:bidi w:val="0"/>
              <w:spacing w:before="75" w:after="30"/>
              <w:jc w:val="left"/>
              <w:rPr>
                <w:rFonts w:ascii="Times New Roman" w:hAnsi="Times New Roman"/>
                <w:color w:val="000000"/>
                <w:sz w:val="18"/>
              </w:rPr>
            </w:pPr>
            <w:r>
              <w:rPr>
                <w:rFonts w:ascii="Times New Roman" w:hAnsi="Times New Roman"/>
                <w:color w:val="000000"/>
                <w:sz w:val="18"/>
              </w:rPr>
              <w:t>March 19, 2024</w:t>
            </w:r>
          </w:p>
        </w:tc>
        <w:tc>
          <w:tcPr>
            <w:tcW w:w="191" w:type="dxa"/>
            <w:tcBorders/>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55" w:after="30"/>
              <w:jc w:val="left"/>
              <w:rPr>
                <w:rFonts w:ascii="Times New Roman" w:hAnsi="Times New Roman"/>
                <w:color w:val="000000"/>
                <w:sz w:val="18"/>
              </w:rPr>
            </w:pPr>
            <w:r>
              <w:rPr>
                <w:rFonts w:ascii="Times New Roman" w:hAnsi="Times New Roman"/>
                <w:color w:val="000000"/>
                <w:sz w:val="18"/>
              </w:rPr>
              <w:t>Sean Nolan</w:t>
            </w:r>
          </w:p>
        </w:tc>
        <w:tc>
          <w:tcPr>
            <w:tcW w:w="146" w:type="dxa"/>
            <w:tcBorders/>
            <w:vAlign w:val="center"/>
          </w:tcPr>
          <w:p>
            <w:pPr>
              <w:pStyle w:val="TableContents"/>
              <w:bidi w:val="0"/>
              <w:spacing w:before="0" w:after="283"/>
              <w:jc w:val="left"/>
              <w:rPr/>
            </w:pPr>
            <w:r>
              <w:rPr/>
              <w:t> </w:t>
            </w:r>
          </w:p>
        </w:tc>
        <w:tc>
          <w:tcPr>
            <w:tcW w:w="3106"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24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c>
          <w:tcPr>
            <w:tcW w:w="191" w:type="dxa"/>
            <w:tcBorders/>
          </w:tcPr>
          <w:p>
            <w:pPr>
              <w:pStyle w:val="TableContents"/>
              <w:bidi w:val="0"/>
              <w:spacing w:before="0" w:after="283"/>
              <w:jc w:val="left"/>
              <w:rPr>
                <w:sz w:val="4"/>
                <w:szCs w:val="4"/>
              </w:rPr>
            </w:pPr>
            <w:r>
              <w:rPr>
                <w:sz w:val="4"/>
                <w:szCs w:val="4"/>
              </w:rPr>
            </w:r>
          </w:p>
        </w:tc>
      </w:tr>
      <w:tr>
        <w:trPr/>
        <w:tc>
          <w:tcPr>
            <w:tcW w:w="2431" w:type="dxa"/>
            <w:tcBorders>
              <w:bottom w:val="single" w:sz="8" w:space="0" w:color="000000"/>
            </w:tcBorders>
            <w:tcMar>
              <w:top w:w="0" w:type="dxa"/>
              <w:left w:w="0" w:type="dxa"/>
              <w:right w:w="0" w:type="dxa"/>
            </w:tcMar>
            <w:vAlign w:val="center"/>
          </w:tcPr>
          <w:p>
            <w:pPr>
              <w:pStyle w:val="TableContents"/>
              <w:bidi w:val="0"/>
              <w:spacing w:before="75" w:after="30"/>
              <w:jc w:val="left"/>
              <w:rPr>
                <w:color w:val="000000"/>
              </w:rPr>
            </w:pPr>
            <w:r>
              <w:rPr>
                <w:color w:val="000000"/>
              </w:rPr>
              <w:t> </w:t>
            </w:r>
            <w:r>
              <w:rPr>
                <w:rFonts w:ascii="Times New Roman" w:hAnsi="Times New Roman"/>
                <w:color w:val="000000"/>
                <w:sz w:val="18"/>
              </w:rPr>
              <w:t>/s/ Kamran Alam</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106" w:type="dxa"/>
            <w:vMerge w:val="restart"/>
            <w:tcBorders/>
            <w:tcMar>
              <w:top w:w="0" w:type="dxa"/>
              <w:left w:w="0" w:type="dxa"/>
              <w:bottom w:w="0" w:type="dxa"/>
              <w:right w:w="0" w:type="dxa"/>
            </w:tcMar>
            <w:vAlign w:val="center"/>
          </w:tcPr>
          <w:p>
            <w:pPr>
              <w:pStyle w:val="TableContents"/>
              <w:bidi w:val="0"/>
              <w:spacing w:before="75" w:after="283"/>
              <w:jc w:val="left"/>
              <w:rPr>
                <w:rFonts w:ascii="Times New Roman" w:hAnsi="Times New Roman"/>
                <w:color w:val="000000"/>
                <w:sz w:val="18"/>
              </w:rPr>
            </w:pPr>
            <w:r>
              <w:rPr>
                <w:rFonts w:ascii="Times New Roman" w:hAnsi="Times New Roman"/>
                <w:color w:val="000000"/>
                <w:sz w:val="18"/>
              </w:rPr>
              <w:t>Chief Financial Officer</w:t>
            </w:r>
          </w:p>
          <w:p>
            <w:pPr>
              <w:pStyle w:val="TableContents"/>
              <w:bidi w:val="0"/>
              <w:jc w:val="left"/>
              <w:rPr>
                <w:rFonts w:ascii="Times New Roman" w:hAnsi="Times New Roman"/>
                <w:i/>
                <w:color w:val="000000"/>
                <w:sz w:val="18"/>
              </w:rPr>
            </w:pPr>
            <w:r>
              <w:rPr>
                <w:rFonts w:ascii="Times New Roman" w:hAnsi="Times New Roman"/>
                <w:i/>
                <w:color w:val="000000"/>
                <w:sz w:val="18"/>
              </w:rPr>
              <w:t>(Principal Financial Officer and Principal</w:t>
            </w:r>
          </w:p>
          <w:p>
            <w:pPr>
              <w:pStyle w:val="TableContents"/>
              <w:bidi w:val="0"/>
              <w:spacing w:before="0" w:after="30"/>
              <w:jc w:val="left"/>
              <w:rPr>
                <w:rFonts w:ascii="Times New Roman" w:hAnsi="Times New Roman"/>
                <w:i/>
                <w:color w:val="000000"/>
                <w:sz w:val="18"/>
              </w:rPr>
            </w:pPr>
            <w:r>
              <w:rPr>
                <w:rFonts w:ascii="Times New Roman" w:hAnsi="Times New Roman"/>
                <w:i/>
                <w:color w:val="000000"/>
                <w:sz w:val="18"/>
              </w:rPr>
              <w:t>Accounting Officer)</w:t>
            </w:r>
          </w:p>
        </w:tc>
        <w:tc>
          <w:tcPr>
            <w:tcW w:w="146" w:type="dxa"/>
            <w:tcBorders/>
            <w:vAlign w:val="center"/>
          </w:tcPr>
          <w:p>
            <w:pPr>
              <w:pStyle w:val="TableContents"/>
              <w:bidi w:val="0"/>
              <w:spacing w:before="0" w:after="283"/>
              <w:jc w:val="left"/>
              <w:rPr/>
            </w:pPr>
            <w:r>
              <w:rPr/>
              <w:t> </w:t>
            </w:r>
          </w:p>
        </w:tc>
        <w:tc>
          <w:tcPr>
            <w:tcW w:w="1246" w:type="dxa"/>
            <w:tcBorders>
              <w:bottom w:val="single" w:sz="4" w:space="0" w:color="000000"/>
            </w:tcBorders>
            <w:tcMar>
              <w:top w:w="0" w:type="dxa"/>
              <w:left w:w="0" w:type="dxa"/>
              <w:right w:w="0" w:type="dxa"/>
            </w:tcMar>
            <w:vAlign w:val="center"/>
          </w:tcPr>
          <w:p>
            <w:pPr>
              <w:pStyle w:val="TableContents"/>
              <w:bidi w:val="0"/>
              <w:spacing w:before="75" w:after="30"/>
              <w:jc w:val="left"/>
              <w:rPr>
                <w:rFonts w:ascii="Times New Roman" w:hAnsi="Times New Roman"/>
                <w:color w:val="000000"/>
                <w:sz w:val="18"/>
              </w:rPr>
            </w:pPr>
            <w:r>
              <w:rPr>
                <w:rFonts w:ascii="Times New Roman" w:hAnsi="Times New Roman"/>
                <w:color w:val="000000"/>
                <w:sz w:val="18"/>
              </w:rPr>
              <w:t>March 19, 2024</w:t>
            </w:r>
          </w:p>
        </w:tc>
        <w:tc>
          <w:tcPr>
            <w:tcW w:w="191" w:type="dxa"/>
            <w:tcBorders/>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55" w:after="30"/>
              <w:jc w:val="left"/>
              <w:rPr>
                <w:rFonts w:ascii="Times New Roman" w:hAnsi="Times New Roman"/>
                <w:color w:val="000000"/>
                <w:sz w:val="18"/>
              </w:rPr>
            </w:pPr>
            <w:r>
              <w:rPr>
                <w:rFonts w:ascii="Times New Roman" w:hAnsi="Times New Roman"/>
                <w:color w:val="000000"/>
                <w:sz w:val="18"/>
              </w:rPr>
              <w:t>Kamran Alam</w:t>
            </w:r>
          </w:p>
        </w:tc>
        <w:tc>
          <w:tcPr>
            <w:tcW w:w="146" w:type="dxa"/>
            <w:tcBorders/>
            <w:vAlign w:val="center"/>
          </w:tcPr>
          <w:p>
            <w:pPr>
              <w:pStyle w:val="TableContents"/>
              <w:bidi w:val="0"/>
              <w:spacing w:before="0" w:after="283"/>
              <w:jc w:val="left"/>
              <w:rPr/>
            </w:pPr>
            <w:r>
              <w:rPr/>
              <w:t> </w:t>
            </w:r>
          </w:p>
        </w:tc>
        <w:tc>
          <w:tcPr>
            <w:tcW w:w="3106"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c>
          <w:tcPr>
            <w:tcW w:w="191" w:type="dxa"/>
            <w:tcBorders/>
          </w:tcPr>
          <w:p>
            <w:pPr>
              <w:pStyle w:val="TableContents"/>
              <w:bidi w:val="0"/>
              <w:spacing w:before="0" w:after="283"/>
              <w:jc w:val="left"/>
              <w:rPr>
                <w:sz w:val="4"/>
                <w:szCs w:val="4"/>
              </w:rPr>
            </w:pPr>
            <w:r>
              <w:rPr>
                <w:sz w:val="4"/>
                <w:szCs w:val="4"/>
              </w:rPr>
            </w:r>
          </w:p>
        </w:tc>
      </w:tr>
      <w:tr>
        <w:trPr/>
        <w:tc>
          <w:tcPr>
            <w:tcW w:w="24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c>
          <w:tcPr>
            <w:tcW w:w="191" w:type="dxa"/>
            <w:tcBorders/>
          </w:tcPr>
          <w:p>
            <w:pPr>
              <w:pStyle w:val="TableContents"/>
              <w:bidi w:val="0"/>
              <w:spacing w:before="0" w:after="283"/>
              <w:jc w:val="left"/>
              <w:rPr>
                <w:sz w:val="4"/>
                <w:szCs w:val="4"/>
              </w:rPr>
            </w:pPr>
            <w:r>
              <w:rPr>
                <w:sz w:val="4"/>
                <w:szCs w:val="4"/>
              </w:rPr>
            </w:r>
          </w:p>
        </w:tc>
      </w:tr>
      <w:tr>
        <w:trPr/>
        <w:tc>
          <w:tcPr>
            <w:tcW w:w="2431" w:type="dxa"/>
            <w:tcBorders>
              <w:bottom w:val="single" w:sz="8" w:space="0" w:color="000000"/>
            </w:tcBorders>
            <w:tcMar>
              <w:top w:w="0" w:type="dxa"/>
              <w:left w:w="0" w:type="dxa"/>
              <w:right w:w="0" w:type="dxa"/>
            </w:tcMar>
            <w:vAlign w:val="center"/>
          </w:tcPr>
          <w:p>
            <w:pPr>
              <w:pStyle w:val="TableContents"/>
              <w:bidi w:val="0"/>
              <w:spacing w:before="75" w:after="30"/>
              <w:jc w:val="left"/>
              <w:rPr>
                <w:rFonts w:ascii="Times New Roman" w:hAnsi="Times New Roman"/>
                <w:color w:val="000000"/>
                <w:sz w:val="18"/>
              </w:rPr>
            </w:pPr>
            <w:r>
              <w:rPr>
                <w:rFonts w:ascii="Times New Roman" w:hAnsi="Times New Roman"/>
                <w:color w:val="000000"/>
                <w:sz w:val="18"/>
              </w:rPr>
              <w:t>/s/ Phillip B. Donenberg</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106"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18"/>
              </w:rPr>
            </w:pPr>
            <w:r>
              <w:rPr>
                <w:rFonts w:ascii="Times New Roman" w:hAnsi="Times New Roman"/>
                <w:color w:val="000000"/>
                <w:sz w:val="18"/>
              </w:rPr>
              <w:t>Director</w:t>
            </w:r>
          </w:p>
        </w:tc>
        <w:tc>
          <w:tcPr>
            <w:tcW w:w="146" w:type="dxa"/>
            <w:tcBorders/>
            <w:vAlign w:val="center"/>
          </w:tcPr>
          <w:p>
            <w:pPr>
              <w:pStyle w:val="TableContents"/>
              <w:bidi w:val="0"/>
              <w:spacing w:before="0" w:after="283"/>
              <w:jc w:val="left"/>
              <w:rPr/>
            </w:pPr>
            <w:r>
              <w:rPr/>
              <w:t> </w:t>
            </w:r>
          </w:p>
        </w:tc>
        <w:tc>
          <w:tcPr>
            <w:tcW w:w="1246" w:type="dxa"/>
            <w:tcBorders>
              <w:bottom w:val="single" w:sz="4" w:space="0" w:color="000000"/>
            </w:tcBorders>
            <w:tcMar>
              <w:top w:w="0" w:type="dxa"/>
              <w:left w:w="0" w:type="dxa"/>
              <w:right w:w="0" w:type="dxa"/>
            </w:tcMar>
            <w:vAlign w:val="center"/>
          </w:tcPr>
          <w:p>
            <w:pPr>
              <w:pStyle w:val="TableContents"/>
              <w:bidi w:val="0"/>
              <w:spacing w:before="75" w:after="30"/>
              <w:jc w:val="left"/>
              <w:rPr>
                <w:rFonts w:ascii="Times New Roman" w:hAnsi="Times New Roman"/>
                <w:color w:val="000000"/>
                <w:sz w:val="18"/>
              </w:rPr>
            </w:pPr>
            <w:r>
              <w:rPr>
                <w:rFonts w:ascii="Times New Roman" w:hAnsi="Times New Roman"/>
                <w:color w:val="000000"/>
                <w:sz w:val="18"/>
              </w:rPr>
              <w:t>March 19, 2024</w:t>
            </w:r>
          </w:p>
        </w:tc>
        <w:tc>
          <w:tcPr>
            <w:tcW w:w="191" w:type="dxa"/>
            <w:tcBorders/>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55" w:after="30"/>
              <w:jc w:val="left"/>
              <w:rPr>
                <w:rFonts w:ascii="Times New Roman" w:hAnsi="Times New Roman"/>
                <w:color w:val="000000"/>
                <w:sz w:val="18"/>
              </w:rPr>
            </w:pPr>
            <w:r>
              <w:rPr>
                <w:rFonts w:ascii="Times New Roman" w:hAnsi="Times New Roman"/>
                <w:color w:val="000000"/>
                <w:sz w:val="18"/>
              </w:rPr>
              <w:t>Phillip B. Donenberg</w:t>
            </w:r>
          </w:p>
        </w:tc>
        <w:tc>
          <w:tcPr>
            <w:tcW w:w="146" w:type="dxa"/>
            <w:tcBorders/>
            <w:vAlign w:val="center"/>
          </w:tcPr>
          <w:p>
            <w:pPr>
              <w:pStyle w:val="TableContents"/>
              <w:bidi w:val="0"/>
              <w:spacing w:before="0" w:after="283"/>
              <w:jc w:val="left"/>
              <w:rPr/>
            </w:pPr>
            <w:r>
              <w:rPr/>
              <w:t> </w:t>
            </w:r>
          </w:p>
        </w:tc>
        <w:tc>
          <w:tcPr>
            <w:tcW w:w="31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c>
          <w:tcPr>
            <w:tcW w:w="191" w:type="dxa"/>
            <w:tcBorders/>
          </w:tcPr>
          <w:p>
            <w:pPr>
              <w:pStyle w:val="TableContents"/>
              <w:bidi w:val="0"/>
              <w:spacing w:before="0" w:after="283"/>
              <w:jc w:val="left"/>
              <w:rPr>
                <w:sz w:val="4"/>
                <w:szCs w:val="4"/>
              </w:rPr>
            </w:pPr>
            <w:r>
              <w:rPr>
                <w:sz w:val="4"/>
                <w:szCs w:val="4"/>
              </w:rPr>
            </w:r>
          </w:p>
        </w:tc>
      </w:tr>
      <w:tr>
        <w:trPr/>
        <w:tc>
          <w:tcPr>
            <w:tcW w:w="24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c>
          <w:tcPr>
            <w:tcW w:w="191" w:type="dxa"/>
            <w:tcBorders/>
          </w:tcPr>
          <w:p>
            <w:pPr>
              <w:pStyle w:val="TableContents"/>
              <w:bidi w:val="0"/>
              <w:spacing w:before="0" w:after="283"/>
              <w:jc w:val="left"/>
              <w:rPr>
                <w:sz w:val="4"/>
                <w:szCs w:val="4"/>
              </w:rPr>
            </w:pPr>
            <w:r>
              <w:rPr>
                <w:sz w:val="4"/>
                <w:szCs w:val="4"/>
              </w:rPr>
            </w:r>
          </w:p>
        </w:tc>
      </w:tr>
      <w:tr>
        <w:trPr/>
        <w:tc>
          <w:tcPr>
            <w:tcW w:w="2431" w:type="dxa"/>
            <w:tcBorders>
              <w:bottom w:val="single" w:sz="8" w:space="0" w:color="000000"/>
            </w:tcBorders>
            <w:tcMar>
              <w:top w:w="0" w:type="dxa"/>
              <w:left w:w="0" w:type="dxa"/>
              <w:right w:w="0" w:type="dxa"/>
            </w:tcMar>
            <w:vAlign w:val="center"/>
          </w:tcPr>
          <w:p>
            <w:pPr>
              <w:pStyle w:val="TableContents"/>
              <w:bidi w:val="0"/>
              <w:spacing w:before="75" w:after="30"/>
              <w:jc w:val="left"/>
              <w:rPr>
                <w:rFonts w:ascii="Times New Roman" w:hAnsi="Times New Roman"/>
                <w:color w:val="000000"/>
                <w:sz w:val="18"/>
              </w:rPr>
            </w:pPr>
            <w:r>
              <w:rPr>
                <w:rFonts w:ascii="Times New Roman" w:hAnsi="Times New Roman"/>
                <w:color w:val="000000"/>
                <w:sz w:val="18"/>
              </w:rPr>
              <w:t>/s/ Sean Stalfort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106"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18"/>
              </w:rPr>
            </w:pPr>
            <w:r>
              <w:rPr>
                <w:rFonts w:ascii="Times New Roman" w:hAnsi="Times New Roman"/>
                <w:color w:val="000000"/>
                <w:sz w:val="18"/>
              </w:rPr>
              <w:t>Director</w:t>
            </w:r>
          </w:p>
        </w:tc>
        <w:tc>
          <w:tcPr>
            <w:tcW w:w="146" w:type="dxa"/>
            <w:tcBorders/>
            <w:vAlign w:val="center"/>
          </w:tcPr>
          <w:p>
            <w:pPr>
              <w:pStyle w:val="TableContents"/>
              <w:bidi w:val="0"/>
              <w:spacing w:before="0" w:after="283"/>
              <w:jc w:val="left"/>
              <w:rPr/>
            </w:pPr>
            <w:r>
              <w:rPr/>
              <w:t> </w:t>
            </w:r>
          </w:p>
        </w:tc>
        <w:tc>
          <w:tcPr>
            <w:tcW w:w="1246" w:type="dxa"/>
            <w:tcBorders>
              <w:bottom w:val="single" w:sz="4" w:space="0" w:color="000000"/>
            </w:tcBorders>
            <w:tcMar>
              <w:top w:w="0" w:type="dxa"/>
              <w:left w:w="0" w:type="dxa"/>
              <w:right w:w="0" w:type="dxa"/>
            </w:tcMar>
            <w:vAlign w:val="center"/>
          </w:tcPr>
          <w:p>
            <w:pPr>
              <w:pStyle w:val="TableContents"/>
              <w:bidi w:val="0"/>
              <w:spacing w:before="75" w:after="30"/>
              <w:jc w:val="left"/>
              <w:rPr>
                <w:rFonts w:ascii="Times New Roman" w:hAnsi="Times New Roman"/>
                <w:color w:val="000000"/>
                <w:sz w:val="18"/>
              </w:rPr>
            </w:pPr>
            <w:r>
              <w:rPr>
                <w:rFonts w:ascii="Times New Roman" w:hAnsi="Times New Roman"/>
                <w:color w:val="000000"/>
                <w:sz w:val="18"/>
              </w:rPr>
              <w:t>March 19, 2024</w:t>
            </w:r>
          </w:p>
        </w:tc>
        <w:tc>
          <w:tcPr>
            <w:tcW w:w="191" w:type="dxa"/>
            <w:tcBorders/>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55" w:after="30"/>
              <w:jc w:val="left"/>
              <w:rPr>
                <w:rFonts w:ascii="Times New Roman" w:hAnsi="Times New Roman"/>
                <w:color w:val="000000"/>
                <w:sz w:val="18"/>
              </w:rPr>
            </w:pPr>
            <w:r>
              <w:rPr>
                <w:rFonts w:ascii="Times New Roman" w:hAnsi="Times New Roman"/>
                <w:color w:val="000000"/>
                <w:sz w:val="18"/>
              </w:rPr>
              <w:t>Sean Stalfort</w:t>
            </w:r>
          </w:p>
        </w:tc>
        <w:tc>
          <w:tcPr>
            <w:tcW w:w="146" w:type="dxa"/>
            <w:tcBorders/>
            <w:vAlign w:val="center"/>
          </w:tcPr>
          <w:p>
            <w:pPr>
              <w:pStyle w:val="TableContents"/>
              <w:bidi w:val="0"/>
              <w:spacing w:before="0" w:after="283"/>
              <w:jc w:val="left"/>
              <w:rPr/>
            </w:pPr>
            <w:r>
              <w:rPr/>
              <w:t> </w:t>
            </w:r>
          </w:p>
        </w:tc>
        <w:tc>
          <w:tcPr>
            <w:tcW w:w="31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c>
          <w:tcPr>
            <w:tcW w:w="191" w:type="dxa"/>
            <w:tcBorders/>
          </w:tcPr>
          <w:p>
            <w:pPr>
              <w:pStyle w:val="TableContents"/>
              <w:bidi w:val="0"/>
              <w:spacing w:before="0" w:after="283"/>
              <w:jc w:val="left"/>
              <w:rPr>
                <w:sz w:val="4"/>
                <w:szCs w:val="4"/>
              </w:rPr>
            </w:pPr>
            <w:r>
              <w:rPr>
                <w:sz w:val="4"/>
                <w:szCs w:val="4"/>
              </w:rPr>
            </w:r>
          </w:p>
        </w:tc>
      </w:tr>
      <w:tr>
        <w:trPr/>
        <w:tc>
          <w:tcPr>
            <w:tcW w:w="24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c>
          <w:tcPr>
            <w:tcW w:w="191" w:type="dxa"/>
            <w:tcBorders/>
          </w:tcPr>
          <w:p>
            <w:pPr>
              <w:pStyle w:val="TableContents"/>
              <w:bidi w:val="0"/>
              <w:spacing w:before="0" w:after="283"/>
              <w:jc w:val="left"/>
              <w:rPr>
                <w:sz w:val="4"/>
                <w:szCs w:val="4"/>
              </w:rPr>
            </w:pPr>
            <w:r>
              <w:rPr>
                <w:sz w:val="4"/>
                <w:szCs w:val="4"/>
              </w:rPr>
            </w:r>
          </w:p>
        </w:tc>
      </w:tr>
      <w:tr>
        <w:trPr/>
        <w:tc>
          <w:tcPr>
            <w:tcW w:w="2431" w:type="dxa"/>
            <w:tcBorders>
              <w:bottom w:val="single" w:sz="8" w:space="0" w:color="000000"/>
            </w:tcBorders>
            <w:tcMar>
              <w:top w:w="0" w:type="dxa"/>
              <w:left w:w="0" w:type="dxa"/>
              <w:right w:w="0" w:type="dxa"/>
            </w:tcMar>
            <w:vAlign w:val="center"/>
          </w:tcPr>
          <w:p>
            <w:pPr>
              <w:pStyle w:val="TableContents"/>
              <w:bidi w:val="0"/>
              <w:spacing w:before="75" w:after="30"/>
              <w:jc w:val="left"/>
              <w:rPr>
                <w:rFonts w:ascii="Times New Roman" w:hAnsi="Times New Roman"/>
                <w:color w:val="000000"/>
                <w:sz w:val="18"/>
              </w:rPr>
            </w:pPr>
            <w:r>
              <w:rPr>
                <w:rFonts w:ascii="Times New Roman" w:hAnsi="Times New Roman"/>
                <w:color w:val="000000"/>
                <w:sz w:val="18"/>
              </w:rPr>
              <w:t>/s/ Sukumar Nagendran, M.D.</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106"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18"/>
              </w:rPr>
            </w:pPr>
            <w:r>
              <w:rPr>
                <w:rFonts w:ascii="Times New Roman" w:hAnsi="Times New Roman"/>
                <w:color w:val="000000"/>
                <w:sz w:val="18"/>
              </w:rPr>
              <w:t>Director</w:t>
            </w:r>
          </w:p>
        </w:tc>
        <w:tc>
          <w:tcPr>
            <w:tcW w:w="146" w:type="dxa"/>
            <w:tcBorders/>
            <w:vAlign w:val="center"/>
          </w:tcPr>
          <w:p>
            <w:pPr>
              <w:pStyle w:val="TableContents"/>
              <w:bidi w:val="0"/>
              <w:spacing w:before="0" w:after="283"/>
              <w:jc w:val="left"/>
              <w:rPr/>
            </w:pPr>
            <w:r>
              <w:rPr/>
              <w:t> </w:t>
            </w:r>
          </w:p>
        </w:tc>
        <w:tc>
          <w:tcPr>
            <w:tcW w:w="1246" w:type="dxa"/>
            <w:tcBorders>
              <w:bottom w:val="single" w:sz="4" w:space="0" w:color="000000"/>
            </w:tcBorders>
            <w:tcMar>
              <w:top w:w="0" w:type="dxa"/>
              <w:left w:w="0" w:type="dxa"/>
              <w:right w:w="0" w:type="dxa"/>
            </w:tcMar>
            <w:vAlign w:val="center"/>
          </w:tcPr>
          <w:p>
            <w:pPr>
              <w:pStyle w:val="TableContents"/>
              <w:bidi w:val="0"/>
              <w:spacing w:before="75" w:after="30"/>
              <w:jc w:val="left"/>
              <w:rPr>
                <w:rFonts w:ascii="Times New Roman" w:hAnsi="Times New Roman"/>
                <w:color w:val="000000"/>
                <w:sz w:val="18"/>
              </w:rPr>
            </w:pPr>
            <w:r>
              <w:rPr>
                <w:rFonts w:ascii="Times New Roman" w:hAnsi="Times New Roman"/>
                <w:color w:val="000000"/>
                <w:sz w:val="18"/>
              </w:rPr>
              <w:t>March 19, 2024</w:t>
            </w:r>
          </w:p>
        </w:tc>
        <w:tc>
          <w:tcPr>
            <w:tcW w:w="191" w:type="dxa"/>
            <w:tcBorders/>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55" w:after="30"/>
              <w:jc w:val="left"/>
              <w:rPr>
                <w:rFonts w:ascii="Times New Roman" w:hAnsi="Times New Roman"/>
                <w:color w:val="000000"/>
                <w:sz w:val="18"/>
              </w:rPr>
            </w:pPr>
            <w:r>
              <w:rPr>
                <w:rFonts w:ascii="Times New Roman" w:hAnsi="Times New Roman"/>
                <w:color w:val="000000"/>
                <w:sz w:val="18"/>
              </w:rPr>
              <w:t>Sukumar Nagendran, M.D.</w:t>
            </w:r>
          </w:p>
        </w:tc>
        <w:tc>
          <w:tcPr>
            <w:tcW w:w="146" w:type="dxa"/>
            <w:tcBorders/>
            <w:vAlign w:val="center"/>
          </w:tcPr>
          <w:p>
            <w:pPr>
              <w:pStyle w:val="TableContents"/>
              <w:bidi w:val="0"/>
              <w:spacing w:before="0" w:after="283"/>
              <w:jc w:val="left"/>
              <w:rPr/>
            </w:pPr>
            <w:r>
              <w:rPr/>
              <w:t> </w:t>
            </w:r>
          </w:p>
        </w:tc>
        <w:tc>
          <w:tcPr>
            <w:tcW w:w="31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c>
          <w:tcPr>
            <w:tcW w:w="191" w:type="dxa"/>
            <w:tcBorders/>
          </w:tcPr>
          <w:p>
            <w:pPr>
              <w:pStyle w:val="TableContents"/>
              <w:bidi w:val="0"/>
              <w:spacing w:before="0" w:after="283"/>
              <w:jc w:val="left"/>
              <w:rPr>
                <w:sz w:val="4"/>
                <w:szCs w:val="4"/>
              </w:rPr>
            </w:pPr>
            <w:r>
              <w:rPr>
                <w:sz w:val="4"/>
                <w:szCs w:val="4"/>
              </w:rPr>
            </w:r>
          </w:p>
        </w:tc>
      </w:tr>
      <w:tr>
        <w:trPr/>
        <w:tc>
          <w:tcPr>
            <w:tcW w:w="24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c>
          <w:tcPr>
            <w:tcW w:w="191" w:type="dxa"/>
            <w:tcBorders/>
          </w:tcPr>
          <w:p>
            <w:pPr>
              <w:pStyle w:val="TableContents"/>
              <w:bidi w:val="0"/>
              <w:spacing w:before="0" w:after="283"/>
              <w:jc w:val="left"/>
              <w:rPr>
                <w:sz w:val="4"/>
                <w:szCs w:val="4"/>
              </w:rPr>
            </w:pPr>
            <w:r>
              <w:rPr>
                <w:sz w:val="4"/>
                <w:szCs w:val="4"/>
              </w:rPr>
            </w:r>
          </w:p>
        </w:tc>
      </w:tr>
      <w:tr>
        <w:trPr/>
        <w:tc>
          <w:tcPr>
            <w:tcW w:w="2431" w:type="dxa"/>
            <w:tcBorders>
              <w:bottom w:val="single" w:sz="8" w:space="0" w:color="000000"/>
            </w:tcBorders>
            <w:tcMar>
              <w:top w:w="0" w:type="dxa"/>
              <w:left w:w="0" w:type="dxa"/>
              <w:right w:w="0" w:type="dxa"/>
            </w:tcMar>
            <w:vAlign w:val="center"/>
          </w:tcPr>
          <w:p>
            <w:pPr>
              <w:pStyle w:val="TableContents"/>
              <w:bidi w:val="0"/>
              <w:spacing w:before="75" w:after="30"/>
              <w:jc w:val="left"/>
              <w:rPr>
                <w:rFonts w:ascii="Times New Roman" w:hAnsi="Times New Roman"/>
                <w:color w:val="000000"/>
                <w:sz w:val="18"/>
              </w:rPr>
            </w:pPr>
            <w:r>
              <w:rPr>
                <w:rFonts w:ascii="Times New Roman" w:hAnsi="Times New Roman"/>
                <w:color w:val="000000"/>
                <w:sz w:val="18"/>
              </w:rPr>
              <w:t>/s/ Alison Long, M.D., Ph.D.</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106"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18"/>
              </w:rPr>
            </w:pPr>
            <w:r>
              <w:rPr>
                <w:rFonts w:ascii="Times New Roman" w:hAnsi="Times New Roman"/>
                <w:color w:val="000000"/>
                <w:sz w:val="18"/>
              </w:rPr>
              <w:t>Director</w:t>
            </w:r>
          </w:p>
        </w:tc>
        <w:tc>
          <w:tcPr>
            <w:tcW w:w="146" w:type="dxa"/>
            <w:tcBorders/>
            <w:vAlign w:val="center"/>
          </w:tcPr>
          <w:p>
            <w:pPr>
              <w:pStyle w:val="TableContents"/>
              <w:bidi w:val="0"/>
              <w:spacing w:before="0" w:after="283"/>
              <w:jc w:val="left"/>
              <w:rPr/>
            </w:pPr>
            <w:r>
              <w:rPr/>
              <w:t> </w:t>
            </w:r>
          </w:p>
        </w:tc>
        <w:tc>
          <w:tcPr>
            <w:tcW w:w="1246" w:type="dxa"/>
            <w:tcBorders>
              <w:bottom w:val="single" w:sz="4" w:space="0" w:color="000000"/>
            </w:tcBorders>
            <w:tcMar>
              <w:top w:w="0" w:type="dxa"/>
              <w:left w:w="0" w:type="dxa"/>
              <w:right w:w="0" w:type="dxa"/>
            </w:tcMar>
            <w:vAlign w:val="center"/>
          </w:tcPr>
          <w:p>
            <w:pPr>
              <w:pStyle w:val="TableContents"/>
              <w:bidi w:val="0"/>
              <w:spacing w:before="75" w:after="30"/>
              <w:jc w:val="left"/>
              <w:rPr>
                <w:rFonts w:ascii="Times New Roman" w:hAnsi="Times New Roman"/>
                <w:color w:val="000000"/>
                <w:sz w:val="18"/>
              </w:rPr>
            </w:pPr>
            <w:r>
              <w:rPr>
                <w:rFonts w:ascii="Times New Roman" w:hAnsi="Times New Roman"/>
                <w:color w:val="000000"/>
                <w:sz w:val="18"/>
              </w:rPr>
              <w:t>March 19, 2024</w:t>
            </w:r>
          </w:p>
        </w:tc>
        <w:tc>
          <w:tcPr>
            <w:tcW w:w="191" w:type="dxa"/>
            <w:tcBorders/>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55" w:after="30"/>
              <w:jc w:val="left"/>
              <w:rPr>
                <w:rFonts w:ascii="Times New Roman" w:hAnsi="Times New Roman"/>
                <w:color w:val="000000"/>
                <w:sz w:val="18"/>
              </w:rPr>
            </w:pPr>
            <w:r>
              <w:rPr>
                <w:rFonts w:ascii="Times New Roman" w:hAnsi="Times New Roman"/>
                <w:color w:val="000000"/>
                <w:sz w:val="18"/>
              </w:rPr>
              <w:t>Alison Long, M.D., Ph.D.</w:t>
            </w:r>
          </w:p>
        </w:tc>
        <w:tc>
          <w:tcPr>
            <w:tcW w:w="146" w:type="dxa"/>
            <w:tcBorders/>
            <w:vAlign w:val="center"/>
          </w:tcPr>
          <w:p>
            <w:pPr>
              <w:pStyle w:val="TableContents"/>
              <w:bidi w:val="0"/>
              <w:spacing w:before="0" w:after="283"/>
              <w:jc w:val="left"/>
              <w:rPr/>
            </w:pPr>
            <w:r>
              <w:rPr/>
              <w:t> </w:t>
            </w:r>
          </w:p>
        </w:tc>
        <w:tc>
          <w:tcPr>
            <w:tcW w:w="31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c>
          <w:tcPr>
            <w:tcW w:w="191" w:type="dxa"/>
            <w:tcBorders/>
          </w:tcPr>
          <w:p>
            <w:pPr>
              <w:pStyle w:val="TableContents"/>
              <w:bidi w:val="0"/>
              <w:spacing w:before="0" w:after="283"/>
              <w:jc w:val="left"/>
              <w:rPr>
                <w:sz w:val="4"/>
                <w:szCs w:val="4"/>
              </w:rPr>
            </w:pPr>
            <w:r>
              <w:rPr>
                <w:sz w:val="4"/>
                <w:szCs w:val="4"/>
              </w:rPr>
            </w:r>
          </w:p>
        </w:tc>
      </w:tr>
      <w:tr>
        <w:trPr/>
        <w:tc>
          <w:tcPr>
            <w:tcW w:w="24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c>
          <w:tcPr>
            <w:tcW w:w="191" w:type="dxa"/>
            <w:tcBorders/>
          </w:tcPr>
          <w:p>
            <w:pPr>
              <w:pStyle w:val="TableContents"/>
              <w:bidi w:val="0"/>
              <w:spacing w:before="0" w:after="283"/>
              <w:jc w:val="left"/>
              <w:rPr>
                <w:sz w:val="4"/>
                <w:szCs w:val="4"/>
              </w:rPr>
            </w:pPr>
            <w:r>
              <w:rPr>
                <w:sz w:val="4"/>
                <w:szCs w:val="4"/>
              </w:rPr>
            </w:r>
          </w:p>
        </w:tc>
      </w:tr>
      <w:tr>
        <w:trPr/>
        <w:tc>
          <w:tcPr>
            <w:tcW w:w="2431" w:type="dxa"/>
            <w:tcBorders>
              <w:bottom w:val="single" w:sz="8" w:space="0" w:color="000000"/>
            </w:tcBorders>
            <w:tcMar>
              <w:top w:w="0" w:type="dxa"/>
              <w:left w:w="0" w:type="dxa"/>
              <w:right w:w="0" w:type="dxa"/>
            </w:tcMar>
            <w:vAlign w:val="center"/>
          </w:tcPr>
          <w:p>
            <w:pPr>
              <w:pStyle w:val="TableContents"/>
              <w:bidi w:val="0"/>
              <w:spacing w:before="75" w:after="30"/>
              <w:jc w:val="left"/>
              <w:rPr>
                <w:rFonts w:ascii="Times New Roman" w:hAnsi="Times New Roman"/>
                <w:color w:val="000000"/>
                <w:sz w:val="18"/>
              </w:rPr>
            </w:pPr>
            <w:r>
              <w:rPr>
                <w:rFonts w:ascii="Times New Roman" w:hAnsi="Times New Roman"/>
                <w:color w:val="000000"/>
                <w:sz w:val="18"/>
              </w:rPr>
              <w:t>/s/ Laura Sepp-Lorenzino, Ph.D.</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106"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18"/>
              </w:rPr>
            </w:pPr>
            <w:r>
              <w:rPr>
                <w:rFonts w:ascii="Times New Roman" w:hAnsi="Times New Roman"/>
                <w:color w:val="000000"/>
                <w:sz w:val="18"/>
              </w:rPr>
              <w:t>Director</w:t>
            </w:r>
          </w:p>
        </w:tc>
        <w:tc>
          <w:tcPr>
            <w:tcW w:w="146" w:type="dxa"/>
            <w:tcBorders/>
            <w:vAlign w:val="center"/>
          </w:tcPr>
          <w:p>
            <w:pPr>
              <w:pStyle w:val="TableContents"/>
              <w:bidi w:val="0"/>
              <w:spacing w:before="0" w:after="283"/>
              <w:jc w:val="left"/>
              <w:rPr/>
            </w:pPr>
            <w:r>
              <w:rPr/>
              <w:t> </w:t>
            </w:r>
          </w:p>
        </w:tc>
        <w:tc>
          <w:tcPr>
            <w:tcW w:w="1246" w:type="dxa"/>
            <w:tcBorders>
              <w:bottom w:val="single" w:sz="4" w:space="0" w:color="000000"/>
            </w:tcBorders>
            <w:tcMar>
              <w:top w:w="0" w:type="dxa"/>
              <w:left w:w="0" w:type="dxa"/>
              <w:right w:w="0" w:type="dxa"/>
            </w:tcMar>
            <w:vAlign w:val="center"/>
          </w:tcPr>
          <w:p>
            <w:pPr>
              <w:pStyle w:val="TableContents"/>
              <w:bidi w:val="0"/>
              <w:spacing w:before="75" w:after="30"/>
              <w:jc w:val="left"/>
              <w:rPr>
                <w:rFonts w:ascii="Times New Roman" w:hAnsi="Times New Roman"/>
                <w:color w:val="000000"/>
                <w:sz w:val="18"/>
              </w:rPr>
            </w:pPr>
            <w:r>
              <w:rPr>
                <w:rFonts w:ascii="Times New Roman" w:hAnsi="Times New Roman"/>
                <w:color w:val="000000"/>
                <w:sz w:val="18"/>
              </w:rPr>
              <w:t>March 19, 2024</w:t>
            </w:r>
          </w:p>
        </w:tc>
        <w:tc>
          <w:tcPr>
            <w:tcW w:w="191" w:type="dxa"/>
            <w:tcBorders/>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55" w:after="30"/>
              <w:jc w:val="left"/>
              <w:rPr>
                <w:rFonts w:ascii="Times New Roman" w:hAnsi="Times New Roman"/>
                <w:color w:val="000000"/>
                <w:sz w:val="18"/>
              </w:rPr>
            </w:pPr>
            <w:r>
              <w:rPr>
                <w:rFonts w:ascii="Times New Roman" w:hAnsi="Times New Roman"/>
                <w:color w:val="000000"/>
                <w:sz w:val="18"/>
              </w:rPr>
              <w:t>Laura Sepp-Lorenzino, Ph.D.</w:t>
            </w:r>
          </w:p>
        </w:tc>
        <w:tc>
          <w:tcPr>
            <w:tcW w:w="146" w:type="dxa"/>
            <w:tcBorders/>
            <w:vAlign w:val="center"/>
          </w:tcPr>
          <w:p>
            <w:pPr>
              <w:pStyle w:val="TableContents"/>
              <w:bidi w:val="0"/>
              <w:spacing w:before="0" w:after="283"/>
              <w:jc w:val="left"/>
              <w:rPr/>
            </w:pPr>
            <w:r>
              <w:rPr/>
              <w:t> </w:t>
            </w:r>
          </w:p>
        </w:tc>
        <w:tc>
          <w:tcPr>
            <w:tcW w:w="31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c>
          <w:tcPr>
            <w:tcW w:w="191" w:type="dxa"/>
            <w:tcBorders/>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Verdana;sans-serif" w:hAnsi="Verdana;sans-serif"/>
          <w:b/>
          <w:color w:val="666666"/>
          <w:sz w:val="18"/>
        </w:rPr>
      </w:pPr>
      <w:bookmarkStart w:id="34" w:name="tsha-ex23_1.htm"/>
      <w:bookmarkStart w:id="35" w:name="kstshaex23_1"/>
      <w:bookmarkEnd w:id="34"/>
      <w:bookmarkEnd w:id="35"/>
      <w:r>
        <w:rPr>
          <w:rFonts w:ascii="Verdana;sans-serif" w:hAnsi="Verdana;sans-serif"/>
          <w:b/>
          <w:color w:val="666666"/>
          <w:sz w:val="18"/>
        </w:rPr>
        <w:t>Exhibit 23.1</w:t>
      </w:r>
      <w:r>
        <w:br w:type="page"/>
      </w:r>
    </w:p>
    <w:p>
      <w:pPr>
        <w:pStyle w:val="TextBody"/>
        <w:bidi w:val="0"/>
        <w:spacing w:before="0" w:after="160"/>
        <w:jc w:val="right"/>
        <w:rPr/>
      </w:pPr>
      <w:r>
        <w:rPr/>
        <w:t> </w:t>
      </w:r>
    </w:p>
    <w:p>
      <w:pPr>
        <w:pStyle w:val="TextBody"/>
        <w:bidi w:val="0"/>
        <w:spacing w:before="0" w:after="160"/>
        <w:jc w:val="center"/>
        <w:rPr>
          <w:rFonts w:ascii="Verdana;sans-serif" w:hAnsi="Verdana;sans-serif"/>
          <w:b/>
          <w:color w:val="666666"/>
          <w:sz w:val="18"/>
        </w:rPr>
      </w:pPr>
      <w:r>
        <w:rPr>
          <w:rFonts w:ascii="Verdana;sans-serif" w:hAnsi="Verdana;sans-serif"/>
          <w:b/>
          <w:color w:val="666666"/>
          <w:sz w:val="18"/>
        </w:rPr>
        <w:t>CONSENT OF INDEPENDENT REGISTERED PUBLIC ACCOUNTING FIRM</w:t>
      </w:r>
    </w:p>
    <w:p>
      <w:pPr>
        <w:pStyle w:val="TextBody"/>
        <w:bidi w:val="0"/>
        <w:spacing w:before="0" w:after="160"/>
        <w:jc w:val="both"/>
        <w:rPr>
          <w:rFonts w:ascii="Verdana;sans-serif" w:hAnsi="Verdana;sans-serif"/>
          <w:color w:val="000000"/>
          <w:sz w:val="18"/>
        </w:rPr>
      </w:pPr>
      <w:r>
        <w:rPr>
          <w:rFonts w:ascii="Verdana;sans-serif" w:hAnsi="Verdana;sans-serif"/>
          <w:color w:val="000000"/>
          <w:sz w:val="18"/>
        </w:rPr>
        <w:t>We consent to the incorporation by reference in Registration Statement Nos. 333-260069, 333-271144 and 333-274264 on Form S-3 and Registration Statement Nos. 333-249130, 333-256013, 333-264025, 333-270915 and 333-276161 on Form S-8 of our report dated March 19, 2024, relating to the financial statements of Taysha Gene Therapies, Inc. appearing in this Annual Report on Form 10-K for the year ended December 31, 2023.</w:t>
      </w:r>
    </w:p>
    <w:p>
      <w:pPr>
        <w:pStyle w:val="TextBody"/>
        <w:bidi w:val="0"/>
        <w:spacing w:before="0" w:after="160"/>
        <w:jc w:val="both"/>
        <w:rPr>
          <w:rFonts w:ascii="Times New Roman" w:hAnsi="Times New Roman"/>
          <w:sz w:val="20"/>
        </w:rPr>
      </w:pPr>
      <w:r>
        <w:rPr>
          <w:rFonts w:ascii="Verdana;sans-serif" w:hAnsi="Verdana;sans-serif"/>
          <w:i/>
          <w:color w:val="000000"/>
          <w:sz w:val="18"/>
        </w:rPr>
        <w:t>/s/ DELOITTE &amp; TOUCHE LLP</w:t>
      </w:r>
      <w:r>
        <w:rPr>
          <w:rFonts w:ascii="Times New Roman" w:hAnsi="Times New Roman"/>
          <w:color w:val="000000"/>
          <w:sz w:val="20"/>
        </w:rPr>
        <w:t xml:space="preserve"> </w:t>
      </w:r>
    </w:p>
    <w:p>
      <w:pPr>
        <w:pStyle w:val="TextBody"/>
        <w:bidi w:val="0"/>
        <w:spacing w:before="0" w:after="160"/>
        <w:jc w:val="left"/>
        <w:rPr>
          <w:rFonts w:ascii="Verdana;sans-serif" w:hAnsi="Verdana;sans-serif"/>
          <w:color w:val="000000"/>
          <w:sz w:val="18"/>
        </w:rPr>
      </w:pPr>
      <w:r>
        <w:rPr>
          <w:rFonts w:ascii="Verdana;sans-serif" w:hAnsi="Verdana;sans-serif"/>
          <w:color w:val="000000"/>
          <w:sz w:val="18"/>
        </w:rPr>
        <w:t>Dallas, Texas</w:t>
        <w:br/>
        <w:t>March 19, 2024</w:t>
      </w:r>
    </w:p>
    <w:p>
      <w:pPr>
        <w:pStyle w:val="TextBody"/>
        <w:bidi w:val="0"/>
        <w:spacing w:before="0" w:after="16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6" w:name="tsha-ex31_1.htm"/>
      <w:bookmarkStart w:id="37" w:name="kstshaex31_1"/>
      <w:bookmarkEnd w:id="36"/>
      <w:bookmarkEnd w:id="37"/>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Sean Nolan,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Annual Report on Form 10-K of Taysha Gene Therapies,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912" w:type="dxa"/>
        <w:jc w:val="left"/>
        <w:tblInd w:w="0" w:type="dxa"/>
        <w:tblLayout w:type="fixed"/>
        <w:tblCellMar>
          <w:top w:w="28" w:type="dxa"/>
          <w:left w:w="28" w:type="dxa"/>
          <w:bottom w:w="28" w:type="dxa"/>
          <w:right w:w="28" w:type="dxa"/>
        </w:tblCellMar>
      </w:tblPr>
      <w:tblGrid>
        <w:gridCol w:w="1891"/>
        <w:gridCol w:w="109"/>
        <w:gridCol w:w="406"/>
        <w:gridCol w:w="2506"/>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19,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Sean Nolan</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Sean Nolan</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8" w:name="tsha-ex31_2.htm"/>
      <w:bookmarkStart w:id="39" w:name="kstshaex31_2"/>
      <w:bookmarkEnd w:id="38"/>
      <w:bookmarkEnd w:id="39"/>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Kamran Alam,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Taysha Gene Therapies,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7717" w:type="dxa"/>
        <w:jc w:val="left"/>
        <w:tblInd w:w="0" w:type="dxa"/>
        <w:tblLayout w:type="fixed"/>
        <w:tblCellMar>
          <w:top w:w="28" w:type="dxa"/>
          <w:left w:w="28" w:type="dxa"/>
          <w:bottom w:w="28" w:type="dxa"/>
          <w:right w:w="28" w:type="dxa"/>
        </w:tblCellMar>
      </w:tblPr>
      <w:tblGrid>
        <w:gridCol w:w="1891"/>
        <w:gridCol w:w="109"/>
        <w:gridCol w:w="406"/>
        <w:gridCol w:w="5311"/>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19,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3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Kamran Alam</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Kamran Alam</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Officer and Principal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0" w:name="tsha-ex32_1.htm"/>
      <w:bookmarkStart w:id="41" w:name="kstshaex32_1"/>
      <w:bookmarkEnd w:id="40"/>
      <w:bookmarkEnd w:id="4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 set forth in Rule 13a-14(b) of the Securities Exchange Act of 1934, as amended (the “Exchange Act”) and Section 1350 of Chapter 63 of Title 18 of the United States Code (18 U.S.C. §1350), Sean Nolan, Chief Executive Officer of Taysha Gene Therapies, Inc. (the “Company”) hereby certifies that, to the best of his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Annual Report on Form 10-K for the period ended December 31, 2023, to which this Certification is attached as Exhibit 32.1 (the “Annual Report”), fully complies with the requirements of Section 13(a) or Section 15(d) of the Exchange Act;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Annual Report fairly presents, in all material respects, the financial condition and result of operations of the Company.</w:t>
      </w:r>
    </w:p>
    <w:p>
      <w:pPr>
        <w:pStyle w:val="TextBody"/>
        <w:bidi w:val="0"/>
        <w:jc w:val="left"/>
        <w:rPr/>
      </w:pPr>
      <w:r>
        <w:rPr/>
        <w:t> </w:t>
      </w:r>
    </w:p>
    <w:tbl>
      <w:tblPr>
        <w:tblW w:w="4912" w:type="dxa"/>
        <w:jc w:val="left"/>
        <w:tblInd w:w="0" w:type="dxa"/>
        <w:tblLayout w:type="fixed"/>
        <w:tblCellMar>
          <w:top w:w="28" w:type="dxa"/>
          <w:left w:w="28" w:type="dxa"/>
          <w:bottom w:w="28" w:type="dxa"/>
          <w:right w:w="28" w:type="dxa"/>
        </w:tblCellMar>
      </w:tblPr>
      <w:tblGrid>
        <w:gridCol w:w="1891"/>
        <w:gridCol w:w="109"/>
        <w:gridCol w:w="406"/>
        <w:gridCol w:w="2506"/>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19,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Sean Nolan</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Sean Nolan</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2" w:name="tsha-ex32_2.htm"/>
      <w:bookmarkStart w:id="43" w:name="kstshaex32_2"/>
      <w:bookmarkEnd w:id="42"/>
      <w:bookmarkEnd w:id="43"/>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 set forth in Rule 13a-14(b) of the Securities Exchange Act of 1934, as amended (the “Exchange Act”) and Section 1350 of Chapter 63 of Title 18 of the United States Code (18 U.S.C. §1350), Kamran Alam, Chief Financial Officer of Taysha Gene Therapies, Inc. (the “Company”) hereby certifies that, to the best of his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Annual Report on Form 10-K for the period ended December 31, 2023, to which this Certification is attached as Exhibit 32.2 (the “Annual Report”), fully complies with the requirements of Section 13(a) or Section 15(d) of the Exchange Act;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Annual Report fairly presents, in all material respects, the financial condition and result of operations of the Company.</w:t>
      </w:r>
    </w:p>
    <w:p>
      <w:pPr>
        <w:pStyle w:val="TextBody"/>
        <w:bidi w:val="0"/>
        <w:jc w:val="left"/>
        <w:rPr/>
      </w:pPr>
      <w:r>
        <w:rPr/>
        <w:t> </w:t>
      </w:r>
    </w:p>
    <w:tbl>
      <w:tblPr>
        <w:tblW w:w="7717" w:type="dxa"/>
        <w:jc w:val="left"/>
        <w:tblInd w:w="0" w:type="dxa"/>
        <w:tblLayout w:type="fixed"/>
        <w:tblCellMar>
          <w:top w:w="28" w:type="dxa"/>
          <w:left w:w="28" w:type="dxa"/>
          <w:bottom w:w="28" w:type="dxa"/>
          <w:right w:w="28" w:type="dxa"/>
        </w:tblCellMar>
      </w:tblPr>
      <w:tblGrid>
        <w:gridCol w:w="1891"/>
        <w:gridCol w:w="109"/>
        <w:gridCol w:w="406"/>
        <w:gridCol w:w="5311"/>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19,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3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Kamran Alam</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Kamran Alam</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Officer and Principal Accounting Officer)</w:t>
            </w:r>
          </w:p>
        </w:tc>
      </w:tr>
    </w:tbl>
    <w:p>
      <w:pPr>
        <w:pStyle w:val="TextBody"/>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44" w:name="tsha-ex97_1.htm"/>
      <w:bookmarkStart w:id="45" w:name="kstshaex97_1"/>
      <w:bookmarkEnd w:id="44"/>
      <w:bookmarkEnd w:id="45"/>
      <w:r>
        <w:rPr>
          <w:rFonts w:ascii="Times New Roman" w:hAnsi="Times New Roman"/>
          <w:b/>
          <w:color w:val="000000"/>
          <w:sz w:val="22"/>
        </w:rPr>
        <w:t>Exhibit 97.1</w:t>
      </w:r>
      <w:r>
        <w:br w:type="page"/>
      </w:r>
    </w:p>
    <w:p>
      <w:pPr>
        <w:pStyle w:val="TextBody"/>
        <w:bidi w:val="0"/>
        <w:spacing w:before="80" w:after="283"/>
        <w:jc w:val="left"/>
        <w:rPr>
          <w:rFonts w:ascii="Times New Roman" w:hAnsi="Times New Roman"/>
          <w:b/>
          <w:smallCaps/>
          <w:color w:val="000000"/>
          <w:sz w:val="22"/>
        </w:rPr>
      </w:pPr>
      <w:r>
        <w:rPr>
          <w:rFonts w:ascii="Times New Roman" w:hAnsi="Times New Roman"/>
          <w:b/>
          <w:smallCaps/>
          <w:color w:val="000000"/>
          <w:sz w:val="22"/>
        </w:rPr>
        <w:t>TAYSHA GENE THERAPIES, INC. Incentive Compensation Recoupment Policy</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w:t>
      </w:r>
    </w:p>
    <w:p>
      <w:pPr>
        <w:pStyle w:val="TextBody"/>
        <w:bidi w:val="0"/>
        <w:jc w:val="left"/>
        <w:rPr>
          <w:rFonts w:ascii="Times New Roman" w:hAnsi="Times New Roman"/>
          <w:b/>
          <w:smallCaps/>
          <w:color w:val="000000"/>
          <w:sz w:val="22"/>
        </w:rPr>
      </w:pPr>
      <w:r>
        <w:rPr>
          <w:rFonts w:ascii="Times New Roman" w:hAnsi="Times New Roman"/>
          <w:b/>
          <w:smallCaps/>
          <w:color w:val="000000"/>
          <w:sz w:val="22"/>
        </w:rPr>
        <w:t>Introduction</w:t>
      </w:r>
    </w:p>
    <w:p>
      <w:pPr>
        <w:pStyle w:val="TextBody"/>
        <w:bidi w:val="0"/>
        <w:spacing w:before="219" w:after="283"/>
        <w:jc w:val="both"/>
        <w:rPr>
          <w:rFonts w:ascii="Times New Roman" w:hAnsi="Times New Roman"/>
          <w:sz w:val="20"/>
        </w:rPr>
      </w:pPr>
      <w:r>
        <w:rPr>
          <w:rFonts w:ascii="Times New Roman" w:hAnsi="Times New Roman"/>
          <w:color w:val="000000"/>
          <w:sz w:val="22"/>
        </w:rPr>
        <w:t>The Board of Directors (the “</w:t>
      </w:r>
      <w:r>
        <w:rPr>
          <w:rFonts w:ascii="Times New Roman" w:hAnsi="Times New Roman"/>
          <w:b/>
          <w:i/>
          <w:color w:val="000000"/>
          <w:sz w:val="22"/>
        </w:rPr>
        <w:t>Board</w:t>
      </w:r>
      <w:r>
        <w:rPr>
          <w:rFonts w:ascii="Times New Roman" w:hAnsi="Times New Roman"/>
          <w:color w:val="000000"/>
          <w:sz w:val="20"/>
        </w:rPr>
        <w:t>”</w:t>
      </w:r>
      <w:r>
        <w:rPr>
          <w:rFonts w:ascii="Times New Roman" w:hAnsi="Times New Roman"/>
          <w:color w:val="000000"/>
          <w:sz w:val="22"/>
        </w:rPr>
        <w:t>) of Taysha Gene Therapies, Inc., a Delaware corporation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has determined that it is in the best interests of the Company and its stockholders to adopt this Incentive Compensation Recoupment Policy (this “</w:t>
      </w:r>
      <w:r>
        <w:rPr>
          <w:rFonts w:ascii="Times New Roman" w:hAnsi="Times New Roman"/>
          <w:b/>
          <w:i/>
          <w:color w:val="000000"/>
          <w:sz w:val="22"/>
        </w:rPr>
        <w:t>Policy</w:t>
      </w:r>
      <w:r>
        <w:rPr>
          <w:rFonts w:ascii="Times New Roman" w:hAnsi="Times New Roman"/>
          <w:color w:val="000000"/>
          <w:sz w:val="20"/>
        </w:rPr>
        <w:t>”</w:t>
      </w:r>
      <w:r>
        <w:rPr>
          <w:rFonts w:ascii="Times New Roman" w:hAnsi="Times New Roman"/>
          <w:color w:val="000000"/>
          <w:sz w:val="22"/>
        </w:rPr>
        <w:t>) providing for the Company’s recoupment of Recoverable Incentive Compensation that is received by Covered Officers of the Company under certain circumstances. Certain capitalized terms used in this Policy have the meanings given to such terms in Section 3 below.</w:t>
      </w:r>
    </w:p>
    <w:p>
      <w:pPr>
        <w:pStyle w:val="TextBody"/>
        <w:bidi w:val="0"/>
        <w:spacing w:before="220" w:after="283"/>
        <w:jc w:val="both"/>
        <w:rPr>
          <w:rFonts w:ascii="Times New Roman" w:hAnsi="Times New Roman"/>
          <w:sz w:val="20"/>
        </w:rPr>
      </w:pPr>
      <w:r>
        <w:rPr>
          <w:rFonts w:ascii="Times New Roman" w:hAnsi="Times New Roman"/>
          <w:color w:val="000000"/>
          <w:sz w:val="22"/>
        </w:rPr>
        <w:t>This Policy is designed to comply with, and shall be interpreted to be consistent with, Section 10D of the Exchange Act, Rule 10D-1 promulgated thereunder (“</w:t>
      </w:r>
      <w:r>
        <w:rPr>
          <w:rFonts w:ascii="Times New Roman" w:hAnsi="Times New Roman"/>
          <w:b/>
          <w:i/>
          <w:color w:val="000000"/>
          <w:sz w:val="22"/>
        </w:rPr>
        <w:t>Rule 10D-1</w:t>
      </w:r>
      <w:r>
        <w:rPr>
          <w:rFonts w:ascii="Times New Roman" w:hAnsi="Times New Roman"/>
          <w:color w:val="000000"/>
          <w:sz w:val="20"/>
        </w:rPr>
        <w:t>”</w:t>
      </w:r>
      <w:r>
        <w:rPr>
          <w:rFonts w:ascii="Times New Roman" w:hAnsi="Times New Roman"/>
          <w:color w:val="000000"/>
          <w:sz w:val="22"/>
        </w:rPr>
        <w:t>) and Nasdaq Listing Rule 5608 (the “</w:t>
      </w:r>
      <w:r>
        <w:rPr>
          <w:rFonts w:ascii="Times New Roman" w:hAnsi="Times New Roman"/>
          <w:b/>
          <w:i/>
          <w:color w:val="000000"/>
          <w:sz w:val="22"/>
        </w:rPr>
        <w:t>Listing Standards</w:t>
      </w:r>
      <w:r>
        <w:rPr>
          <w:rFonts w:ascii="Times New Roman" w:hAnsi="Times New Roman"/>
          <w:color w:val="000000"/>
          <w:sz w:val="20"/>
        </w:rPr>
        <w:t>”</w:t>
      </w:r>
      <w:r>
        <w:rPr>
          <w:rFonts w:ascii="Times New Roman" w:hAnsi="Times New Roman"/>
          <w:color w:val="000000"/>
          <w:sz w:val="22"/>
        </w:rPr>
        <w:t>).</w:t>
      </w:r>
    </w:p>
    <w:p>
      <w:pPr>
        <w:pStyle w:val="TextBody"/>
        <w:bidi w:val="0"/>
        <w:spacing w:before="220" w:after="283"/>
        <w:jc w:val="left"/>
        <w:rPr>
          <w:rFonts w:ascii="Times New Roman" w:hAnsi="Times New Roman"/>
          <w:b/>
          <w:color w:val="000000"/>
          <w:sz w:val="22"/>
        </w:rPr>
      </w:pPr>
      <w:r>
        <w:rPr>
          <w:rFonts w:ascii="Times New Roman" w:hAnsi="Times New Roman"/>
          <w:b/>
          <w:color w:val="000000"/>
          <w:sz w:val="22"/>
        </w:rPr>
        <w:t>2.</w:t>
      </w:r>
    </w:p>
    <w:p>
      <w:pPr>
        <w:pStyle w:val="TextBody"/>
        <w:bidi w:val="0"/>
        <w:spacing w:before="220" w:after="283"/>
        <w:jc w:val="left"/>
        <w:rPr>
          <w:rFonts w:ascii="Times New Roman" w:hAnsi="Times New Roman"/>
          <w:b/>
          <w:smallCaps/>
          <w:color w:val="000000"/>
          <w:sz w:val="22"/>
        </w:rPr>
      </w:pPr>
      <w:r>
        <w:rPr>
          <w:rFonts w:ascii="Times New Roman" w:hAnsi="Times New Roman"/>
          <w:b/>
          <w:smallCaps/>
          <w:color w:val="000000"/>
          <w:sz w:val="22"/>
        </w:rPr>
        <w:t>Effective Date</w:t>
      </w:r>
    </w:p>
    <w:p>
      <w:pPr>
        <w:pStyle w:val="TextBody"/>
        <w:bidi w:val="0"/>
        <w:spacing w:before="13" w:after="283"/>
        <w:jc w:val="left"/>
        <w:rPr/>
      </w:pPr>
      <w:r>
        <w:rPr/>
        <w:t> </w:t>
      </w:r>
    </w:p>
    <w:p>
      <w:pPr>
        <w:pStyle w:val="TextBody"/>
        <w:bidi w:val="0"/>
        <w:jc w:val="both"/>
        <w:rPr>
          <w:rFonts w:ascii="Times New Roman" w:hAnsi="Times New Roman"/>
          <w:sz w:val="20"/>
        </w:rPr>
      </w:pPr>
      <w:r>
        <w:rPr>
          <w:rFonts w:ascii="Times New Roman" w:hAnsi="Times New Roman"/>
          <w:color w:val="000000"/>
          <w:sz w:val="22"/>
        </w:rPr>
        <w:t>This Policy shall apply to all Incentive Compensation that is received by a Covered Officer on or after October 2, 2023 (the “</w:t>
      </w:r>
      <w:r>
        <w:rPr>
          <w:rFonts w:ascii="Times New Roman" w:hAnsi="Times New Roman"/>
          <w:b/>
          <w:i/>
          <w:color w:val="000000"/>
          <w:sz w:val="22"/>
        </w:rPr>
        <w:t>Effective Date</w:t>
      </w:r>
      <w:r>
        <w:rPr>
          <w:rFonts w:ascii="Times New Roman" w:hAnsi="Times New Roman"/>
          <w:color w:val="000000"/>
          <w:sz w:val="20"/>
        </w:rPr>
        <w:t>”</w:t>
      </w:r>
      <w:r>
        <w:rPr>
          <w:rFonts w:ascii="Times New Roman" w:hAnsi="Times New Roman"/>
          <w:color w:val="000000"/>
          <w:sz w:val="22"/>
        </w:rPr>
        <w:t>). Incentive Compensation is deemed “</w:t>
      </w:r>
      <w:r>
        <w:rPr>
          <w:rFonts w:ascii="Times New Roman" w:hAnsi="Times New Roman"/>
          <w:b/>
          <w:i/>
          <w:color w:val="000000"/>
          <w:sz w:val="22"/>
        </w:rPr>
        <w:t>received</w:t>
      </w:r>
      <w:r>
        <w:rPr>
          <w:rFonts w:ascii="Times New Roman" w:hAnsi="Times New Roman"/>
          <w:color w:val="000000"/>
          <w:sz w:val="20"/>
        </w:rPr>
        <w:t xml:space="preserve">” </w:t>
      </w:r>
      <w:r>
        <w:rPr>
          <w:rFonts w:ascii="Times New Roman" w:hAnsi="Times New Roman"/>
          <w:color w:val="000000"/>
          <w:sz w:val="22"/>
        </w:rPr>
        <w:t>in the Company’s fiscal period in which the Financial Reporting Measure specified in the Incentive Compensation award is attained, even if the payment or grant of such Incentive Compensation occurs after the end of that period.</w:t>
      </w:r>
    </w:p>
    <w:p>
      <w:pPr>
        <w:pStyle w:val="TextBody"/>
        <w:bidi w:val="0"/>
        <w:spacing w:before="221" w:after="283"/>
        <w:jc w:val="left"/>
        <w:rPr>
          <w:rFonts w:ascii="Times New Roman" w:hAnsi="Times New Roman"/>
          <w:b/>
          <w:color w:val="000000"/>
          <w:sz w:val="22"/>
        </w:rPr>
      </w:pPr>
      <w:r>
        <w:rPr>
          <w:rFonts w:ascii="Times New Roman" w:hAnsi="Times New Roman"/>
          <w:b/>
          <w:color w:val="000000"/>
          <w:sz w:val="22"/>
        </w:rPr>
        <w:t>3.</w:t>
      </w:r>
    </w:p>
    <w:p>
      <w:pPr>
        <w:pStyle w:val="TextBody"/>
        <w:bidi w:val="0"/>
        <w:spacing w:before="221" w:after="283"/>
        <w:jc w:val="left"/>
        <w:rPr>
          <w:rFonts w:ascii="Times New Roman" w:hAnsi="Times New Roman"/>
          <w:b/>
          <w:smallCaps/>
          <w:color w:val="000000"/>
          <w:sz w:val="22"/>
        </w:rPr>
      </w:pPr>
      <w:r>
        <w:rPr>
          <w:rFonts w:ascii="Times New Roman" w:hAnsi="Times New Roman"/>
          <w:b/>
          <w:smallCaps/>
          <w:color w:val="000000"/>
          <w:sz w:val="22"/>
        </w:rPr>
        <w:t>Definitions</w:t>
      </w:r>
    </w:p>
    <w:p>
      <w:pPr>
        <w:pStyle w:val="TextBody"/>
        <w:bidi w:val="0"/>
        <w:spacing w:before="13" w:after="283"/>
        <w:jc w:val="left"/>
        <w:rPr/>
      </w:pPr>
      <w:r>
        <w:rPr/>
        <w:t> </w:t>
      </w:r>
    </w:p>
    <w:p>
      <w:pPr>
        <w:pStyle w:val="TextBody"/>
        <w:bidi w:val="0"/>
        <w:jc w:val="both"/>
        <w:rPr/>
      </w:pPr>
      <w:r>
        <w:rPr>
          <w:color w:val="000000"/>
        </w:rPr>
        <w:t>“</w:t>
      </w:r>
      <w:r>
        <w:rPr>
          <w:rFonts w:ascii="Times New Roman" w:hAnsi="Times New Roman"/>
          <w:b/>
          <w:i/>
          <w:color w:val="000000"/>
          <w:sz w:val="22"/>
        </w:rPr>
        <w:t>Accounting Restatement</w:t>
      </w:r>
      <w:r>
        <w:rPr>
          <w:rFonts w:ascii="Times New Roman" w:hAnsi="Times New Roman"/>
          <w:color w:val="000000"/>
          <w:sz w:val="20"/>
        </w:rPr>
        <w:t xml:space="preserve">” </w:t>
      </w:r>
      <w:r>
        <w:rPr>
          <w:rFonts w:ascii="Times New Roman" w:hAnsi="Times New Roman"/>
          <w:color w:val="000000"/>
          <w:sz w:val="22"/>
        </w:rPr>
        <w:t>means an accounting restatement that the Company is required to prepare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pStyle w:val="TextBody"/>
        <w:bidi w:val="0"/>
        <w:spacing w:before="219" w:after="283"/>
        <w:jc w:val="both"/>
        <w:rPr/>
      </w:pPr>
      <w:r>
        <w:rPr>
          <w:color w:val="000000"/>
        </w:rPr>
        <w:t>“</w:t>
      </w:r>
      <w:r>
        <w:rPr>
          <w:rFonts w:ascii="Times New Roman" w:hAnsi="Times New Roman"/>
          <w:b/>
          <w:i/>
          <w:color w:val="000000"/>
          <w:sz w:val="22"/>
        </w:rPr>
        <w:t>Accounting Restatement Date</w:t>
      </w:r>
      <w:r>
        <w:rPr>
          <w:rFonts w:ascii="Times New Roman" w:hAnsi="Times New Roman"/>
          <w:color w:val="000000"/>
          <w:sz w:val="20"/>
        </w:rPr>
        <w:t xml:space="preserve">” </w:t>
      </w:r>
      <w:r>
        <w:rPr>
          <w:rFonts w:ascii="Times New Roman" w:hAnsi="Times New Roman"/>
          <w:color w:val="000000"/>
          <w:sz w:val="22"/>
        </w:rPr>
        <w:t>means the earlier to occur of (a) the date that the Board, a committee of the Board authorized to take such action, or the officer or officers of the Company authorized to take such action if Board action is not required, concludes, or reasonably should have concluded, that the Company is required to prepare an Accounting Restatement, or (b) the date that a court, regulator or other legally authorized body directs the Company to prepare an Accounting Restatement.</w:t>
      </w:r>
    </w:p>
    <w:p>
      <w:pPr>
        <w:pStyle w:val="TextBody"/>
        <w:bidi w:val="0"/>
        <w:spacing w:before="221" w:after="283"/>
        <w:jc w:val="left"/>
        <w:rPr/>
      </w:pPr>
      <w:r>
        <w:rPr>
          <w:color w:val="000000"/>
        </w:rPr>
        <w:t>“</w:t>
      </w:r>
      <w:r>
        <w:rPr>
          <w:rFonts w:ascii="Times New Roman" w:hAnsi="Times New Roman"/>
          <w:b/>
          <w:i/>
          <w:color w:val="000000"/>
          <w:sz w:val="22"/>
        </w:rPr>
        <w:t>Administrator</w:t>
      </w:r>
      <w:r>
        <w:rPr>
          <w:rFonts w:ascii="Times New Roman" w:hAnsi="Times New Roman"/>
          <w:color w:val="000000"/>
          <w:sz w:val="20"/>
        </w:rPr>
        <w:t xml:space="preserve">” </w:t>
      </w:r>
      <w:r>
        <w:rPr>
          <w:rFonts w:ascii="Times New Roman" w:hAnsi="Times New Roman"/>
          <w:color w:val="000000"/>
          <w:sz w:val="22"/>
        </w:rPr>
        <w:t>means the Compensation Committee or, in the absence of such committee, the</w:t>
      </w:r>
    </w:p>
    <w:p>
      <w:pPr>
        <w:pStyle w:val="TextBody"/>
        <w:bidi w:val="0"/>
        <w:jc w:val="left"/>
        <w:rPr>
          <w:rFonts w:ascii="Times New Roman" w:hAnsi="Times New Roman"/>
          <w:color w:val="000000"/>
          <w:sz w:val="22"/>
        </w:rPr>
      </w:pPr>
      <w:r>
        <w:rPr>
          <w:rFonts w:ascii="Times New Roman" w:hAnsi="Times New Roman"/>
          <w:color w:val="000000"/>
          <w:sz w:val="22"/>
        </w:rPr>
        <w:t>Board.</w:t>
      </w:r>
    </w:p>
    <w:p>
      <w:pPr>
        <w:pStyle w:val="TextBody"/>
        <w:bidi w:val="0"/>
        <w:spacing w:before="220" w:after="283"/>
        <w:jc w:val="left"/>
        <w:rPr/>
      </w:pPr>
      <w:r>
        <w:rPr>
          <w:color w:val="000000"/>
        </w:rPr>
        <w:t>“</w:t>
      </w:r>
      <w:r>
        <w:rPr>
          <w:rFonts w:ascii="Times New Roman" w:hAnsi="Times New Roman"/>
          <w:b/>
          <w:i/>
          <w:color w:val="000000"/>
          <w:sz w:val="22"/>
        </w:rPr>
        <w:t>Code</w:t>
      </w:r>
      <w:r>
        <w:rPr>
          <w:rFonts w:ascii="Times New Roman" w:hAnsi="Times New Roman"/>
          <w:color w:val="000000"/>
          <w:sz w:val="20"/>
        </w:rPr>
        <w:t xml:space="preserve">” </w:t>
      </w:r>
      <w:r>
        <w:rPr>
          <w:rFonts w:ascii="Times New Roman" w:hAnsi="Times New Roman"/>
          <w:color w:val="000000"/>
          <w:sz w:val="22"/>
        </w:rPr>
        <w:t>means the U.S. Internal Revenue Code of 1986, as amended, and the regulations</w:t>
      </w:r>
    </w:p>
    <w:p>
      <w:pPr>
        <w:pStyle w:val="TextBody"/>
        <w:bidi w:val="0"/>
        <w:jc w:val="left"/>
        <w:rPr>
          <w:rFonts w:ascii="Times New Roman" w:hAnsi="Times New Roman"/>
          <w:color w:val="000000"/>
          <w:sz w:val="22"/>
        </w:rPr>
      </w:pPr>
      <w:r>
        <w:rPr>
          <w:rFonts w:ascii="Times New Roman" w:hAnsi="Times New Roman"/>
          <w:color w:val="000000"/>
          <w:sz w:val="22"/>
        </w:rPr>
        <w:t>promulgated thereunder.</w:t>
      </w:r>
    </w:p>
    <w:p>
      <w:pPr>
        <w:pStyle w:val="TextBody"/>
        <w:bidi w:val="0"/>
        <w:spacing w:before="220" w:after="283"/>
        <w:jc w:val="left"/>
        <w:rPr/>
      </w:pPr>
      <w:r>
        <w:rPr>
          <w:color w:val="000000"/>
        </w:rPr>
        <w:t>“</w:t>
      </w:r>
      <w:r>
        <w:rPr>
          <w:rFonts w:ascii="Times New Roman" w:hAnsi="Times New Roman"/>
          <w:b/>
          <w:i/>
          <w:color w:val="000000"/>
          <w:sz w:val="22"/>
        </w:rPr>
        <w:t>Compensation Committee</w:t>
      </w:r>
      <w:r>
        <w:rPr>
          <w:rFonts w:ascii="Times New Roman" w:hAnsi="Times New Roman"/>
          <w:color w:val="000000"/>
          <w:sz w:val="20"/>
        </w:rPr>
        <w:t xml:space="preserve">” </w:t>
      </w:r>
      <w:r>
        <w:rPr>
          <w:rFonts w:ascii="Times New Roman" w:hAnsi="Times New Roman"/>
          <w:color w:val="000000"/>
          <w:sz w:val="22"/>
        </w:rPr>
        <w:t>means the Compensation Committee of the Board. “</w:t>
      </w:r>
      <w:r>
        <w:rPr>
          <w:rFonts w:ascii="Times New Roman" w:hAnsi="Times New Roman"/>
          <w:b/>
          <w:i/>
          <w:color w:val="000000"/>
          <w:sz w:val="22"/>
        </w:rPr>
        <w:t>Covered Officer</w:t>
      </w:r>
      <w:r>
        <w:rPr>
          <w:rFonts w:ascii="Times New Roman" w:hAnsi="Times New Roman"/>
          <w:color w:val="000000"/>
          <w:sz w:val="20"/>
        </w:rPr>
        <w:t xml:space="preserve">” </w:t>
      </w:r>
      <w:r>
        <w:rPr>
          <w:rFonts w:ascii="Times New Roman" w:hAnsi="Times New Roman"/>
          <w:color w:val="000000"/>
          <w:sz w:val="22"/>
        </w:rPr>
        <w:t>means each current and former Executive Officer. “</w:t>
      </w:r>
      <w:r>
        <w:rPr>
          <w:rFonts w:ascii="Times New Roman" w:hAnsi="Times New Roman"/>
          <w:b/>
          <w:i/>
          <w:color w:val="000000"/>
          <w:sz w:val="22"/>
        </w:rPr>
        <w:t>Exchange</w:t>
      </w:r>
      <w:r>
        <w:rPr>
          <w:rFonts w:ascii="Times New Roman" w:hAnsi="Times New Roman"/>
          <w:color w:val="000000"/>
          <w:sz w:val="20"/>
        </w:rPr>
        <w:t xml:space="preserve">” </w:t>
      </w:r>
      <w:r>
        <w:rPr>
          <w:rFonts w:ascii="Times New Roman" w:hAnsi="Times New Roman"/>
          <w:color w:val="000000"/>
          <w:sz w:val="22"/>
        </w:rPr>
        <w:t>means the Nasdaq Stock Market.</w:t>
      </w:r>
    </w:p>
    <w:p>
      <w:pPr>
        <w:pStyle w:val="TextBody"/>
        <w:bidi w:val="0"/>
        <w:jc w:val="left"/>
        <w:rPr/>
      </w:pPr>
      <w:r>
        <w:rPr>
          <w:color w:val="000000"/>
        </w:rPr>
        <w:t>“</w:t>
      </w:r>
      <w:r>
        <w:rPr>
          <w:rFonts w:ascii="Times New Roman" w:hAnsi="Times New Roman"/>
          <w:b/>
          <w:i/>
          <w:color w:val="000000"/>
          <w:sz w:val="22"/>
        </w:rPr>
        <w:t>Exchange Act</w:t>
      </w:r>
      <w:r>
        <w:rPr>
          <w:rFonts w:ascii="Times New Roman" w:hAnsi="Times New Roman"/>
          <w:color w:val="000000"/>
          <w:sz w:val="20"/>
        </w:rPr>
        <w:t xml:space="preserve">” </w:t>
      </w:r>
      <w:r>
        <w:rPr>
          <w:rFonts w:ascii="Times New Roman" w:hAnsi="Times New Roman"/>
          <w:color w:val="000000"/>
          <w:sz w:val="22"/>
        </w:rPr>
        <w:t>means the U.S. Securities Exchange Act of 1934, as amended.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80" w:after="283"/>
        <w:jc w:val="both"/>
        <w:rPr/>
      </w:pPr>
      <w:r>
        <w:rPr>
          <w:color w:val="000000"/>
        </w:rPr>
        <w:t>“</w:t>
      </w:r>
      <w:r>
        <w:rPr>
          <w:rFonts w:ascii="Times New Roman" w:hAnsi="Times New Roman"/>
          <w:b/>
          <w:i/>
          <w:color w:val="000000"/>
          <w:sz w:val="22"/>
        </w:rPr>
        <w:t>Executive Officer</w:t>
      </w:r>
      <w:r>
        <w:rPr>
          <w:rFonts w:ascii="Times New Roman" w:hAnsi="Times New Roman"/>
          <w:color w:val="000000"/>
          <w:sz w:val="20"/>
        </w:rPr>
        <w:t xml:space="preserve">” </w:t>
      </w:r>
      <w:r>
        <w:rPr>
          <w:rFonts w:ascii="Times New Roman" w:hAnsi="Times New Roman"/>
          <w:color w:val="000000"/>
          <w:sz w:val="22"/>
        </w:rPr>
        <w:t>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policy-making functions for the Company. Policy-making function is not intended to include policy-making functions that are not significant. Identification of an executive officer for purposes of this Policy would include at a minimum executive officers identified pursuant to Item 401(b) of Regulation S-K promulgated under the Exchange Act.</w:t>
      </w:r>
    </w:p>
    <w:p>
      <w:pPr>
        <w:pStyle w:val="TextBody"/>
        <w:bidi w:val="0"/>
        <w:spacing w:before="219" w:after="283"/>
        <w:jc w:val="both"/>
        <w:rPr/>
      </w:pPr>
      <w:r>
        <w:rPr>
          <w:color w:val="000000"/>
        </w:rPr>
        <w:t>“</w:t>
      </w:r>
      <w:r>
        <w:rPr>
          <w:rFonts w:ascii="Times New Roman" w:hAnsi="Times New Roman"/>
          <w:b/>
          <w:i/>
          <w:color w:val="000000"/>
          <w:sz w:val="22"/>
        </w:rPr>
        <w:t>Financial Reporting Measures</w:t>
      </w:r>
      <w:r>
        <w:rPr>
          <w:rFonts w:ascii="Times New Roman" w:hAnsi="Times New Roman"/>
          <w:color w:val="000000"/>
          <w:sz w:val="20"/>
        </w:rPr>
        <w:t xml:space="preserve">” </w:t>
      </w:r>
      <w:r>
        <w:rPr>
          <w:rFonts w:ascii="Times New Roman" w:hAnsi="Times New Roman"/>
          <w:color w:val="000000"/>
          <w:sz w:val="22"/>
        </w:rPr>
        <w:t>means measures that are determined and presented in accordance with the accounting principles used in preparing the Company’s financial statements, and any measures derived wholly or in part from such measures, including Company stock price and total stockholder return (“</w:t>
      </w:r>
      <w:r>
        <w:rPr>
          <w:rFonts w:ascii="Times New Roman" w:hAnsi="Times New Roman"/>
          <w:b/>
          <w:i/>
          <w:color w:val="000000"/>
          <w:sz w:val="22"/>
        </w:rPr>
        <w:t>TSR</w:t>
      </w:r>
      <w:r>
        <w:rPr>
          <w:rFonts w:ascii="Times New Roman" w:hAnsi="Times New Roman"/>
          <w:color w:val="000000"/>
          <w:sz w:val="20"/>
        </w:rPr>
        <w:t>”</w:t>
      </w:r>
      <w:r>
        <w:rPr>
          <w:rFonts w:ascii="Times New Roman" w:hAnsi="Times New Roman"/>
          <w:color w:val="000000"/>
          <w:sz w:val="22"/>
        </w:rPr>
        <w:t>). A measure need not be presented in the Company’s financial statements or included in a filing with the SEC in order to be a Financial Reporting Measure.</w:t>
      </w:r>
    </w:p>
    <w:p>
      <w:pPr>
        <w:pStyle w:val="TextBody"/>
        <w:bidi w:val="0"/>
        <w:spacing w:before="221" w:after="283"/>
        <w:jc w:val="both"/>
        <w:rPr/>
      </w:pPr>
      <w:r>
        <w:rPr>
          <w:color w:val="000000"/>
        </w:rPr>
        <w:t>“</w:t>
      </w:r>
      <w:r>
        <w:rPr>
          <w:rFonts w:ascii="Times New Roman" w:hAnsi="Times New Roman"/>
          <w:b/>
          <w:i/>
          <w:color w:val="000000"/>
          <w:sz w:val="22"/>
        </w:rPr>
        <w:t>Incentive Compensation</w:t>
      </w:r>
      <w:r>
        <w:rPr>
          <w:rFonts w:ascii="Times New Roman" w:hAnsi="Times New Roman"/>
          <w:color w:val="000000"/>
          <w:sz w:val="20"/>
        </w:rPr>
        <w:t xml:space="preserve">” </w:t>
      </w:r>
      <w:r>
        <w:rPr>
          <w:rFonts w:ascii="Times New Roman" w:hAnsi="Times New Roman"/>
          <w:color w:val="000000"/>
          <w:sz w:val="22"/>
        </w:rPr>
        <w:t>means any compensation that is granted, earned or vested based wholly or in part upon the attainment of a Financial Reporting Measure.</w:t>
      </w:r>
    </w:p>
    <w:p>
      <w:pPr>
        <w:pStyle w:val="TextBody"/>
        <w:bidi w:val="0"/>
        <w:spacing w:before="220" w:after="283"/>
        <w:jc w:val="both"/>
        <w:rPr/>
      </w:pPr>
      <w:r>
        <w:rPr>
          <w:color w:val="000000"/>
        </w:rPr>
        <w:t>“</w:t>
      </w:r>
      <w:r>
        <w:rPr>
          <w:rFonts w:ascii="Times New Roman" w:hAnsi="Times New Roman"/>
          <w:b/>
          <w:i/>
          <w:color w:val="000000"/>
          <w:sz w:val="22"/>
        </w:rPr>
        <w:t>Lookback Period</w:t>
      </w:r>
      <w:r>
        <w:rPr>
          <w:rFonts w:ascii="Times New Roman" w:hAnsi="Times New Roman"/>
          <w:color w:val="000000"/>
          <w:sz w:val="20"/>
        </w:rPr>
        <w:t xml:space="preserve">” </w:t>
      </w:r>
      <w:r>
        <w:rPr>
          <w:rFonts w:ascii="Times New Roman" w:hAnsi="Times New Roman"/>
          <w:color w:val="000000"/>
          <w:sz w:val="22"/>
        </w:rPr>
        <w:t>means the three completed fiscal years immediately preceding the Accounting Restatement Date, as well as any transition period (resulting from a change in the Company’s fiscal year) within or immediately following those three completed fiscal years (except that a transition period of at least nine months shall count as a completed fiscal year). Notwithstanding the foregoing, the Lookback Period shall not include fiscal years completed prior to the Effective Date.</w:t>
      </w:r>
    </w:p>
    <w:p>
      <w:pPr>
        <w:pStyle w:val="TextBody"/>
        <w:bidi w:val="0"/>
        <w:spacing w:before="219" w:after="283"/>
        <w:jc w:val="both"/>
        <w:rPr/>
      </w:pPr>
      <w:r>
        <w:rPr>
          <w:color w:val="000000"/>
        </w:rPr>
        <w:t>“</w:t>
      </w:r>
      <w:r>
        <w:rPr>
          <w:rFonts w:ascii="Times New Roman" w:hAnsi="Times New Roman"/>
          <w:b/>
          <w:i/>
          <w:color w:val="000000"/>
          <w:sz w:val="22"/>
        </w:rPr>
        <w:t>Recoverable Incentive Compensation</w:t>
      </w:r>
      <w:r>
        <w:rPr>
          <w:rFonts w:ascii="Times New Roman" w:hAnsi="Times New Roman"/>
          <w:color w:val="000000"/>
          <w:sz w:val="20"/>
        </w:rPr>
        <w:t xml:space="preserve">” </w:t>
      </w:r>
      <w:r>
        <w:rPr>
          <w:rFonts w:ascii="Times New Roman" w:hAnsi="Times New Roman"/>
          <w:color w:val="000000"/>
          <w:sz w:val="22"/>
        </w:rPr>
        <w:t>means Incentive Compensation received by a Covered Officer during the Lookback Period that exceeds the amount of Incentive Compensation that would have been received had such amount been determined based on the Accounting Restatement, computed without regard to any taxes paid (</w:t>
      </w:r>
      <w:r>
        <w:rPr>
          <w:rFonts w:ascii="Times New Roman" w:hAnsi="Times New Roman"/>
          <w:i/>
          <w:color w:val="000000"/>
          <w:sz w:val="22"/>
        </w:rPr>
        <w:t>i.e.</w:t>
      </w:r>
      <w:r>
        <w:rPr>
          <w:rFonts w:ascii="Times New Roman" w:hAnsi="Times New Roman"/>
          <w:color w:val="000000"/>
          <w:sz w:val="22"/>
        </w:rPr>
        <w:t>, on a gross basis without regarding to tax withholdings and other deductions). For any compensation plans or programs that take into account Incentive Compensation, the amount of Recoverable Incentive Compensation for purposes of this Policy shall include, without limitation, the amount contributed to any notional account based on Recoverable Incentive Compensation and any earnings to date on that notional amount. For any Incentive Compensation that is based on stock price or TSR, where the Recoverable Incentive Compensation is not subject to mathematical recalculation directly from the information in an Accounting Restatement, the Administrator will determine the amount of Recoverable Incentive Compensation based on a reasonable estimate of the effect of the Accounting Restatement on the stock price or TSR upon which the Incentive Compensation was received. The Company shall maintain documentation of the determination of that reasonable estimate and provide such documentation to the Exchange in accordance with the Listing Standards.</w:t>
      </w:r>
    </w:p>
    <w:p>
      <w:pPr>
        <w:pStyle w:val="TextBody"/>
        <w:bidi w:val="0"/>
        <w:spacing w:before="220" w:after="283"/>
        <w:jc w:val="left"/>
        <w:rPr/>
      </w:pPr>
      <w:r>
        <w:rPr>
          <w:color w:val="000000"/>
        </w:rPr>
        <w:t>“</w:t>
      </w:r>
      <w:r>
        <w:rPr>
          <w:rFonts w:ascii="Times New Roman" w:hAnsi="Times New Roman"/>
          <w:b/>
          <w:i/>
          <w:color w:val="000000"/>
          <w:sz w:val="22"/>
        </w:rPr>
        <w:t>SEC</w:t>
      </w:r>
      <w:r>
        <w:rPr>
          <w:rFonts w:ascii="Times New Roman" w:hAnsi="Times New Roman"/>
          <w:color w:val="000000"/>
          <w:sz w:val="20"/>
        </w:rPr>
        <w:t xml:space="preserve">” </w:t>
      </w:r>
      <w:r>
        <w:rPr>
          <w:rFonts w:ascii="Times New Roman" w:hAnsi="Times New Roman"/>
          <w:color w:val="000000"/>
          <w:sz w:val="22"/>
        </w:rPr>
        <w:t>means the U.S. Securities and Exchange Commission.</w:t>
      </w:r>
    </w:p>
    <w:p>
      <w:pPr>
        <w:pStyle w:val="TextBody"/>
        <w:bidi w:val="0"/>
        <w:spacing w:before="220" w:after="283"/>
        <w:jc w:val="both"/>
        <w:rPr>
          <w:rFonts w:ascii="Times New Roman" w:hAnsi="Times New Roman"/>
          <w:b/>
          <w:color w:val="000000"/>
          <w:sz w:val="22"/>
        </w:rPr>
      </w:pPr>
      <w:r>
        <w:rPr>
          <w:rFonts w:ascii="Times New Roman" w:hAnsi="Times New Roman"/>
          <w:b/>
          <w:color w:val="000000"/>
          <w:sz w:val="22"/>
        </w:rPr>
        <w:t>4.</w:t>
      </w:r>
    </w:p>
    <w:p>
      <w:pPr>
        <w:pStyle w:val="TextBody"/>
        <w:bidi w:val="0"/>
        <w:spacing w:before="220" w:after="283"/>
        <w:jc w:val="both"/>
        <w:rPr/>
      </w:pPr>
      <w:r>
        <w:rPr>
          <w:rFonts w:ascii="Times New Roman" w:hAnsi="Times New Roman"/>
          <w:b/>
          <w:color w:val="000000"/>
          <w:sz w:val="22"/>
        </w:rPr>
        <w:t>R</w:t>
      </w:r>
      <w:r>
        <w:rPr>
          <w:rFonts w:ascii="Times New Roman" w:hAnsi="Times New Roman"/>
          <w:b/>
          <w:color w:val="000000"/>
          <w:sz w:val="18"/>
        </w:rPr>
        <w:t>ECOUPMENT</w:t>
      </w:r>
    </w:p>
    <w:p>
      <w:pPr>
        <w:pStyle w:val="TextBody"/>
        <w:bidi w:val="0"/>
        <w:spacing w:before="13" w:after="283"/>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(a)</w:t>
      </w:r>
    </w:p>
    <w:p>
      <w:pPr>
        <w:pStyle w:val="TextBody"/>
        <w:bidi w:val="0"/>
        <w:jc w:val="both"/>
        <w:rPr/>
      </w:pPr>
      <w:r>
        <w:rPr>
          <w:rFonts w:ascii="Times New Roman" w:hAnsi="Times New Roman"/>
          <w:b/>
          <w:color w:val="000000"/>
          <w:sz w:val="22"/>
        </w:rPr>
        <w:t xml:space="preserve">Applicability of Policy. </w:t>
      </w:r>
      <w:r>
        <w:rPr>
          <w:rFonts w:ascii="Times New Roman" w:hAnsi="Times New Roman"/>
          <w:color w:val="000000"/>
          <w:sz w:val="22"/>
        </w:rPr>
        <w:t>This Policy applies to Incentive Compensation received by a Covered Officer (i) after beginning services as an Executive Officer, (ii) who served as an Executive Officer at any time during the performance period for such Incentive Compensation, (iii) while the Company had a class of securities listed on a national securities exchange or a national securities association, and</w:t>
      </w:r>
    </w:p>
    <w:p>
      <w:pPr>
        <w:pStyle w:val="TextBody"/>
        <w:bidi w:val="0"/>
        <w:spacing w:before="1" w:after="283"/>
        <w:jc w:val="both"/>
        <w:rPr>
          <w:rFonts w:ascii="Times New Roman" w:hAnsi="Times New Roman"/>
          <w:color w:val="000000"/>
          <w:sz w:val="22"/>
        </w:rPr>
      </w:pPr>
      <w:r>
        <w:rPr>
          <w:rFonts w:ascii="Times New Roman" w:hAnsi="Times New Roman"/>
          <w:color w:val="000000"/>
          <w:sz w:val="22"/>
        </w:rPr>
        <w:t>(iv) during the Lookback Period.</w:t>
      </w:r>
    </w:p>
    <w:p>
      <w:pPr>
        <w:pStyle w:val="TextBody"/>
        <w:bidi w:val="0"/>
        <w:jc w:val="left"/>
        <w:rPr/>
      </w:pPr>
      <w:r>
        <w:rPr/>
        <w:t> </w:t>
      </w:r>
    </w:p>
    <w:p>
      <w:pPr>
        <w:pStyle w:val="TextBody"/>
        <w:bidi w:val="0"/>
        <w:spacing w:before="10" w:after="283"/>
        <w:ind w:left="60" w:right="0" w:hanging="0"/>
        <w:jc w:val="left"/>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80" w:after="283"/>
        <w:jc w:val="both"/>
        <w:rPr>
          <w:rFonts w:ascii="Times New Roman" w:hAnsi="Times New Roman"/>
          <w:b/>
          <w:color w:val="000000"/>
          <w:sz w:val="22"/>
        </w:rPr>
      </w:pPr>
      <w:r>
        <w:rPr>
          <w:rFonts w:ascii="Times New Roman" w:hAnsi="Times New Roman"/>
          <w:b/>
          <w:color w:val="000000"/>
          <w:sz w:val="22"/>
        </w:rPr>
        <w:t>(b)</w:t>
      </w:r>
    </w:p>
    <w:p>
      <w:pPr>
        <w:pStyle w:val="TextBody"/>
        <w:bidi w:val="0"/>
        <w:spacing w:before="80" w:after="283"/>
        <w:jc w:val="both"/>
        <w:rPr/>
      </w:pPr>
      <w:r>
        <w:rPr>
          <w:rFonts w:ascii="Times New Roman" w:hAnsi="Times New Roman"/>
          <w:b/>
          <w:color w:val="000000"/>
          <w:sz w:val="22"/>
        </w:rPr>
        <w:t xml:space="preserve">Recoupment Generally. </w:t>
      </w:r>
      <w:r>
        <w:rPr>
          <w:rFonts w:ascii="Times New Roman" w:hAnsi="Times New Roman"/>
          <w:color w:val="000000"/>
          <w:sz w:val="22"/>
        </w:rPr>
        <w:t>Pursuant to the provisions of this Policy, if there is an Accounting Restatement, the Company must reasonably promptly recoup the full amount of the Recoverable Incentive Compensation, unless the conditions of one or more subsections of Section 4(c) of this Policy are met and the Compensation Committee, or, if such committee does not consist solely of independent directors, a majority of the independent directors serving on the Board, has made a determination that recoupment would be impracticable. Recoupment is required regardless of whether the Covered Officer engaged in any misconduct and regardless of fault, and the Company’s obligation to recoup Recoverable Incentive Compensation is not dependent on whether or when any restated financial statements are filed.</w:t>
      </w:r>
    </w:p>
    <w:p>
      <w:pPr>
        <w:pStyle w:val="TextBody"/>
        <w:bidi w:val="0"/>
        <w:spacing w:before="219" w:after="283"/>
        <w:jc w:val="left"/>
        <w:rPr>
          <w:rFonts w:ascii="Times New Roman" w:hAnsi="Times New Roman"/>
          <w:b/>
          <w:color w:val="000000"/>
          <w:sz w:val="22"/>
        </w:rPr>
      </w:pPr>
      <w:r>
        <w:rPr>
          <w:rFonts w:ascii="Times New Roman" w:hAnsi="Times New Roman"/>
          <w:b/>
          <w:color w:val="000000"/>
          <w:sz w:val="22"/>
        </w:rPr>
        <w:t>(c)</w:t>
      </w:r>
    </w:p>
    <w:p>
      <w:pPr>
        <w:pStyle w:val="TextBody"/>
        <w:bidi w:val="0"/>
        <w:spacing w:before="219" w:after="283"/>
        <w:jc w:val="left"/>
        <w:rPr/>
      </w:pPr>
      <w:r>
        <w:rPr>
          <w:rFonts w:ascii="Times New Roman" w:hAnsi="Times New Roman"/>
          <w:b/>
          <w:color w:val="000000"/>
          <w:sz w:val="22"/>
        </w:rPr>
        <w:t xml:space="preserve">Impracticability of Recovery. </w:t>
      </w:r>
      <w:r>
        <w:rPr>
          <w:rFonts w:ascii="Times New Roman" w:hAnsi="Times New Roman"/>
          <w:color w:val="000000"/>
          <w:sz w:val="22"/>
        </w:rPr>
        <w:t>Recoupment may be determined to be impracticable if, and</w:t>
      </w:r>
    </w:p>
    <w:p>
      <w:pPr>
        <w:pStyle w:val="TextBody"/>
        <w:bidi w:val="0"/>
        <w:jc w:val="left"/>
        <w:rPr/>
      </w:pPr>
      <w:r>
        <w:rPr/>
        <w:t> </w:t>
      </w:r>
    </w:p>
    <w:p>
      <w:pPr>
        <w:pStyle w:val="TextBody"/>
        <w:bidi w:val="0"/>
        <w:jc w:val="left"/>
        <w:rPr/>
      </w:pPr>
      <w:r>
        <w:rPr/>
        <w:t> </w:t>
      </w:r>
    </w:p>
    <w:p>
      <w:pPr>
        <w:pStyle w:val="TextBody"/>
        <w:bidi w:val="0"/>
        <w:spacing w:before="10" w:after="283"/>
        <w:ind w:left="60" w:right="0" w:hanging="0"/>
        <w:jc w:val="left"/>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only if:</w:t>
      </w:r>
    </w:p>
    <w:p>
      <w:pPr>
        <w:pStyle w:val="TextBody"/>
        <w:bidi w:val="0"/>
        <w:spacing w:before="220" w:after="283"/>
        <w:jc w:val="left"/>
        <w:rPr>
          <w:rFonts w:ascii="Times New Roman" w:hAnsi="Times New Roman"/>
          <w:color w:val="000000"/>
          <w:sz w:val="22"/>
        </w:rPr>
      </w:pPr>
      <w:r>
        <w:rPr>
          <w:rFonts w:ascii="Times New Roman" w:hAnsi="Times New Roman"/>
          <w:color w:val="000000"/>
          <w:sz w:val="22"/>
        </w:rPr>
        <w:t>?</w:t>
      </w:r>
    </w:p>
    <w:p>
      <w:pPr>
        <w:pStyle w:val="TextBody"/>
        <w:bidi w:val="0"/>
        <w:jc w:val="left"/>
        <w:rPr/>
      </w:pPr>
      <w:r>
        <w:rPr/>
        <w:t> </w:t>
      </w:r>
    </w:p>
    <w:p>
      <w:pPr>
        <w:pStyle w:val="TextBody"/>
        <w:bidi w:val="0"/>
        <w:spacing w:before="10" w:after="283"/>
        <w:ind w:left="60" w:right="0" w:hanging="0"/>
        <w:jc w:val="left"/>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w:t>
      </w:r>
    </w:p>
    <w:p>
      <w:pPr>
        <w:pStyle w:val="TextBody"/>
        <w:bidi w:val="0"/>
        <w:jc w:val="both"/>
        <w:rPr>
          <w:rFonts w:ascii="Times New Roman" w:hAnsi="Times New Roman"/>
          <w:color w:val="000000"/>
          <w:sz w:val="22"/>
        </w:rPr>
      </w:pPr>
      <w:r>
        <w:rPr>
          <w:rFonts w:ascii="Times New Roman" w:hAnsi="Times New Roman"/>
          <w:color w:val="000000"/>
          <w:sz w:val="22"/>
        </w:rPr>
        <w:t>the direct expense paid to a third party to assist in enforcing this Policy would exceed the amount of the applicable Recoverable Incentive Compensation; provided that, before concluding that it would be impracticable to recover any amount of Recoverable Incentive Compensation based on expense of enforcement, the Company shall make a reasonable attempt to recover such Recoverable Incentive Compensation, document such reasonable attempt(s) to recover, and provide that documentation to the Exchange in accordance with the Listing Standards; or</w:t>
      </w:r>
    </w:p>
    <w:p>
      <w:pPr>
        <w:pStyle w:val="TextBody"/>
        <w:bidi w:val="0"/>
        <w:jc w:val="both"/>
        <w:rPr/>
      </w:pPr>
      <w:r>
        <w:rPr/>
        <w:t> </w:t>
      </w:r>
    </w:p>
    <w:p>
      <w:pPr>
        <w:pStyle w:val="TextBody"/>
        <w:bidi w:val="0"/>
        <w:jc w:val="left"/>
        <w:rPr/>
      </w:pPr>
      <w:r>
        <w:rPr/>
        <w:t> </w:t>
      </w:r>
    </w:p>
    <w:p>
      <w:pPr>
        <w:pStyle w:val="TextBody"/>
        <w:bidi w:val="0"/>
        <w:spacing w:before="10" w:after="283"/>
        <w:ind w:left="60" w:right="0" w:hanging="0"/>
        <w:jc w:val="left"/>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2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20" w:after="283"/>
        <w:jc w:val="both"/>
        <w:rPr>
          <w:rFonts w:ascii="Times New Roman" w:hAnsi="Times New Roman"/>
          <w:color w:val="000000"/>
          <w:sz w:val="22"/>
        </w:rPr>
      </w:pPr>
      <w:r>
        <w:rPr>
          <w:rFonts w:ascii="Times New Roman" w:hAnsi="Times New Roman"/>
          <w:color w:val="000000"/>
          <w:sz w:val="22"/>
        </w:rPr>
        <w:t>recoupment of the applicable Recoverable Incentive Compensation would likely cause an otherwise tax-qualified retirement plan, under which benefits are broadly available to employees of the Company, to fail to meet the requirements of Code Section 401(a)(13) or Code Section 411(a) and regulations thereunder.</w:t>
      </w:r>
    </w:p>
    <w:p>
      <w:pPr>
        <w:pStyle w:val="TextBody"/>
        <w:bidi w:val="0"/>
        <w:spacing w:before="220" w:after="283"/>
        <w:jc w:val="both"/>
        <w:rPr>
          <w:rFonts w:ascii="Times New Roman" w:hAnsi="Times New Roman"/>
          <w:b/>
          <w:color w:val="000000"/>
          <w:sz w:val="22"/>
        </w:rPr>
      </w:pPr>
      <w:r>
        <w:rPr>
          <w:rFonts w:ascii="Times New Roman" w:hAnsi="Times New Roman"/>
          <w:b/>
          <w:color w:val="000000"/>
          <w:sz w:val="22"/>
        </w:rPr>
        <w:t>(d)</w:t>
      </w:r>
    </w:p>
    <w:p>
      <w:pPr>
        <w:pStyle w:val="TextBody"/>
        <w:bidi w:val="0"/>
        <w:spacing w:before="220" w:after="283"/>
        <w:jc w:val="both"/>
        <w:rPr/>
      </w:pPr>
      <w:r>
        <w:rPr>
          <w:rFonts w:ascii="Times New Roman" w:hAnsi="Times New Roman"/>
          <w:b/>
          <w:color w:val="000000"/>
          <w:sz w:val="22"/>
        </w:rPr>
        <w:t xml:space="preserve">Sources of Recoupment. </w:t>
      </w:r>
      <w:r>
        <w:rPr>
          <w:rFonts w:ascii="Times New Roman" w:hAnsi="Times New Roman"/>
          <w:color w:val="000000"/>
          <w:sz w:val="22"/>
        </w:rPr>
        <w:t xml:space="preserve">To the extent permitted by applicable law, the Administrator shall, in its sole discretion, determine the timing and method for recouping Recoverable Incentive Compensation hereunder, provided that such recoupment is undertaken reasonably promptly. The Administrator may, in its discretion, seek recoupment from a Covered Officer from any of the following sources or a combination thereof, whether the applicable compensation was approved, awarded, granted, payable or paid to the Covered Officer prior to, on or after the Effective Date: (i) direct repayment of Recoverable Incentive Compensation previously paid to the Covered Officer; (ii) cancelling prior cash or equity-based awards (whether vested or unvested and whether paid or unpaid); (iii) cancelling or offsetting against any planned future cash or equity-based awards; (iv) forfeiture of deferred compensation, subject to compliance with Code Section 409A; and (v) any other method authorized by applicable law or contract. Subject to compliance with any applicable law, the Administrator may effectuate recoupment under this Policy from any amount otherwise payable to the Covered Officer, including amounts payable to such individual under any otherwise applicable Company plan or program, </w:t>
      </w:r>
      <w:r>
        <w:rPr>
          <w:rFonts w:ascii="Times New Roman" w:hAnsi="Times New Roman"/>
          <w:i/>
          <w:color w:val="000000"/>
          <w:sz w:val="22"/>
        </w:rPr>
        <w:t>e.g.</w:t>
      </w:r>
      <w:r>
        <w:rPr>
          <w:rFonts w:ascii="Times New Roman" w:hAnsi="Times New Roman"/>
          <w:color w:val="000000"/>
          <w:sz w:val="22"/>
        </w:rPr>
        <w:t>, base salary, bonuses or commissions and compensation previously deferred by the Covered Officer. The Administrator need not utilize the same method of recovery for all Covered Officers or with respect to all types of Recoverable Incentive Compensation.</w:t>
      </w:r>
    </w:p>
    <w:p>
      <w:pPr>
        <w:pStyle w:val="TextBody"/>
        <w:bidi w:val="0"/>
        <w:spacing w:before="220" w:after="283"/>
        <w:jc w:val="both"/>
        <w:rPr>
          <w:rFonts w:ascii="Times New Roman" w:hAnsi="Times New Roman"/>
          <w:b/>
          <w:color w:val="000000"/>
          <w:sz w:val="22"/>
        </w:rPr>
      </w:pPr>
      <w:r>
        <w:rPr>
          <w:rFonts w:ascii="Times New Roman" w:hAnsi="Times New Roman"/>
          <w:b/>
          <w:color w:val="000000"/>
          <w:sz w:val="22"/>
        </w:rPr>
        <w:t>(e)</w:t>
      </w:r>
    </w:p>
    <w:p>
      <w:pPr>
        <w:pStyle w:val="TextBody"/>
        <w:bidi w:val="0"/>
        <w:spacing w:before="220" w:after="283"/>
        <w:jc w:val="both"/>
        <w:rPr/>
      </w:pPr>
      <w:r>
        <w:rPr>
          <w:rFonts w:ascii="Times New Roman" w:hAnsi="Times New Roman"/>
          <w:b/>
          <w:color w:val="000000"/>
          <w:sz w:val="22"/>
        </w:rPr>
        <w:t xml:space="preserve">No Indemnification of Covered Officers. </w:t>
      </w:r>
      <w:r>
        <w:rPr>
          <w:rFonts w:ascii="Times New Roman" w:hAnsi="Times New Roman"/>
          <w:color w:val="000000"/>
          <w:sz w:val="22"/>
        </w:rPr>
        <w:t>Notwithstanding any indemnification agreement, applicable insurance policy or any other agreement or provision of the Company’s certificate of incorporation or bylaws to the contrary, no Covered Officer shall be entitled to indemnification or advancement of expenses in connection with any enforcement of this Policy by the Company, including paying or reimbursing such Covered Officer for insurance premiums to cover potential obligations to the Company under this Policy.</w:t>
      </w:r>
    </w:p>
    <w:p>
      <w:pPr>
        <w:pStyle w:val="TextBody"/>
        <w:bidi w:val="0"/>
        <w:spacing w:before="221" w:after="283"/>
        <w:jc w:val="both"/>
        <w:rPr>
          <w:rFonts w:ascii="Times New Roman" w:hAnsi="Times New Roman"/>
          <w:b/>
          <w:color w:val="000000"/>
          <w:sz w:val="22"/>
        </w:rPr>
      </w:pPr>
      <w:r>
        <w:rPr>
          <w:rFonts w:ascii="Times New Roman" w:hAnsi="Times New Roman"/>
          <w:b/>
          <w:color w:val="000000"/>
          <w:sz w:val="22"/>
        </w:rPr>
        <w:t>(f)</w:t>
      </w:r>
    </w:p>
    <w:p>
      <w:pPr>
        <w:pStyle w:val="TextBody"/>
        <w:bidi w:val="0"/>
        <w:spacing w:before="221" w:after="283"/>
        <w:jc w:val="both"/>
        <w:rPr/>
      </w:pPr>
      <w:r>
        <w:rPr>
          <w:rFonts w:ascii="Times New Roman" w:hAnsi="Times New Roman"/>
          <w:b/>
          <w:color w:val="000000"/>
          <w:sz w:val="22"/>
        </w:rPr>
        <w:t xml:space="preserve">Indemnification of Administrator. </w:t>
      </w:r>
      <w:r>
        <w:rPr>
          <w:rFonts w:ascii="Times New Roman" w:hAnsi="Times New Roman"/>
          <w:color w:val="000000"/>
          <w:sz w:val="22"/>
        </w:rPr>
        <w:t>Any members of the Administrator, and any other members of the Board who assist in the administration of this Policy, shall not be personally liable for any</w:t>
      </w:r>
    </w:p>
    <w:p>
      <w:pPr>
        <w:pStyle w:val="TextBody"/>
        <w:bidi w:val="0"/>
        <w:jc w:val="left"/>
        <w:rPr/>
      </w:pPr>
      <w:r>
        <w:rPr/>
        <w:t> </w:t>
      </w:r>
    </w:p>
    <w:p>
      <w:pPr>
        <w:pStyle w:val="TextBody"/>
        <w:bidi w:val="0"/>
        <w:spacing w:before="10" w:after="283"/>
        <w:ind w:left="60" w:right="0" w:hanging="0"/>
        <w:jc w:val="left"/>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action, determination or interpretation made with respect to this Policy and shall be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pStyle w:val="TextBody"/>
        <w:bidi w:val="0"/>
        <w:spacing w:before="219" w:after="283"/>
        <w:jc w:val="both"/>
        <w:rPr>
          <w:rFonts w:ascii="Times New Roman" w:hAnsi="Times New Roman"/>
          <w:b/>
          <w:color w:val="000000"/>
          <w:sz w:val="22"/>
        </w:rPr>
      </w:pPr>
      <w:r>
        <w:rPr>
          <w:rFonts w:ascii="Times New Roman" w:hAnsi="Times New Roman"/>
          <w:b/>
          <w:color w:val="000000"/>
          <w:sz w:val="22"/>
        </w:rPr>
        <w:t>(g)</w:t>
      </w:r>
    </w:p>
    <w:p>
      <w:pPr>
        <w:pStyle w:val="TextBody"/>
        <w:bidi w:val="0"/>
        <w:spacing w:before="219" w:after="283"/>
        <w:jc w:val="both"/>
        <w:rPr/>
      </w:pPr>
      <w:r>
        <w:rPr>
          <w:rFonts w:ascii="Times New Roman" w:hAnsi="Times New Roman"/>
          <w:b/>
          <w:color w:val="000000"/>
          <w:sz w:val="22"/>
        </w:rPr>
        <w:t xml:space="preserve">No “Good Reason” for Covered Officers. </w:t>
      </w:r>
      <w:r>
        <w:rPr>
          <w:rFonts w:ascii="Times New Roman" w:hAnsi="Times New Roman"/>
          <w:color w:val="000000"/>
          <w:sz w:val="22"/>
        </w:rPr>
        <w:t>Any action by the Company to recoup or any recoupment of Recoverable Incentive Compensation under this Policy from a Covered Officer shall not be deemed (i) “good reason” for resignation or to serve as a basis for a claim of constructive termination under any benefits or compensation arrangement applicable to such Covered Officer, or (ii) to constitute a breach of a contract or other arrangement to which such Covered Officer is party.</w:t>
      </w:r>
    </w:p>
    <w:p>
      <w:pPr>
        <w:pStyle w:val="TextBody"/>
        <w:bidi w:val="0"/>
        <w:spacing w:before="220" w:after="283"/>
        <w:jc w:val="left"/>
        <w:rPr>
          <w:rFonts w:ascii="Times New Roman" w:hAnsi="Times New Roman"/>
          <w:b/>
          <w:color w:val="000000"/>
          <w:sz w:val="22"/>
        </w:rPr>
      </w:pPr>
      <w:r>
        <w:rPr>
          <w:rFonts w:ascii="Times New Roman" w:hAnsi="Times New Roman"/>
          <w:b/>
          <w:color w:val="000000"/>
          <w:sz w:val="22"/>
        </w:rPr>
        <w:t>5.</w:t>
      </w:r>
    </w:p>
    <w:p>
      <w:pPr>
        <w:pStyle w:val="TextBody"/>
        <w:bidi w:val="0"/>
        <w:spacing w:before="220" w:after="283"/>
        <w:jc w:val="left"/>
        <w:rPr>
          <w:rFonts w:ascii="Times New Roman" w:hAnsi="Times New Roman"/>
          <w:b/>
          <w:smallCaps/>
          <w:color w:val="000000"/>
          <w:sz w:val="22"/>
        </w:rPr>
      </w:pPr>
      <w:r>
        <w:rPr>
          <w:rFonts w:ascii="Times New Roman" w:hAnsi="Times New Roman"/>
          <w:b/>
          <w:smallCaps/>
          <w:color w:val="000000"/>
          <w:sz w:val="22"/>
        </w:rPr>
        <w:t>Administration</w:t>
      </w:r>
    </w:p>
    <w:p>
      <w:pPr>
        <w:pStyle w:val="TextBody"/>
        <w:bidi w:val="0"/>
        <w:spacing w:before="13"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Except as specifically set forth herein, this Policy shall be administered by the Administrator. The Administrator shall have full and final authority to make any and all determinations required under this Policy. Any determination by the Administrator with respect to this Policy shall be final, conclusive and binding on all interested parties and need not be uniform with respect to each individual covered by this Policy. In carrying out the administration of this Policy, the Administrator is authorized and directed to consult with the full Board or such other committees of the Board as may be necessary or appropriate as to matters within the scope of such other committee’s responsibility and authority. Subject to applicable law, the Administrator may authorize and empower any officer or employee of the Company to take any and all actions that the Administrator, in its sole discretion, deems necessary or appropriate to carry out the purpose and intent of this Policy (other than with respect to any recovery under this Policy involving such officer or employee).</w:t>
      </w:r>
    </w:p>
    <w:p>
      <w:pPr>
        <w:pStyle w:val="TextBody"/>
        <w:bidi w:val="0"/>
        <w:spacing w:before="220" w:after="283"/>
        <w:jc w:val="left"/>
        <w:rPr>
          <w:rFonts w:ascii="Times New Roman" w:hAnsi="Times New Roman"/>
          <w:b/>
          <w:color w:val="000000"/>
          <w:sz w:val="22"/>
        </w:rPr>
      </w:pPr>
      <w:r>
        <w:rPr>
          <w:rFonts w:ascii="Times New Roman" w:hAnsi="Times New Roman"/>
          <w:b/>
          <w:color w:val="000000"/>
          <w:sz w:val="22"/>
        </w:rPr>
        <w:t>6.</w:t>
      </w:r>
    </w:p>
    <w:p>
      <w:pPr>
        <w:pStyle w:val="TextBody"/>
        <w:bidi w:val="0"/>
        <w:spacing w:before="220" w:after="283"/>
        <w:jc w:val="left"/>
        <w:rPr>
          <w:rFonts w:ascii="Times New Roman" w:hAnsi="Times New Roman"/>
          <w:b/>
          <w:smallCaps/>
          <w:color w:val="000000"/>
          <w:sz w:val="22"/>
        </w:rPr>
      </w:pPr>
      <w:r>
        <w:rPr>
          <w:rFonts w:ascii="Times New Roman" w:hAnsi="Times New Roman"/>
          <w:b/>
          <w:smallCaps/>
          <w:color w:val="000000"/>
          <w:sz w:val="22"/>
        </w:rPr>
        <w:t>Severability</w:t>
      </w:r>
    </w:p>
    <w:p>
      <w:pPr>
        <w:pStyle w:val="TextBody"/>
        <w:bidi w:val="0"/>
        <w:spacing w:before="13"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If any provision of this Policy or the application of any such provision to a Covered Officer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pStyle w:val="TextBody"/>
        <w:bidi w:val="0"/>
        <w:spacing w:before="221" w:after="283"/>
        <w:jc w:val="left"/>
        <w:rPr>
          <w:rFonts w:ascii="Times New Roman" w:hAnsi="Times New Roman"/>
          <w:b/>
          <w:color w:val="000000"/>
          <w:sz w:val="22"/>
        </w:rPr>
      </w:pPr>
      <w:r>
        <w:rPr>
          <w:rFonts w:ascii="Times New Roman" w:hAnsi="Times New Roman"/>
          <w:b/>
          <w:color w:val="000000"/>
          <w:sz w:val="22"/>
        </w:rPr>
        <w:t>7.</w:t>
      </w:r>
    </w:p>
    <w:p>
      <w:pPr>
        <w:pStyle w:val="TextBody"/>
        <w:bidi w:val="0"/>
        <w:spacing w:before="221" w:after="283"/>
        <w:jc w:val="left"/>
        <w:rPr>
          <w:rFonts w:ascii="Times New Roman" w:hAnsi="Times New Roman"/>
          <w:b/>
          <w:smallCaps/>
          <w:color w:val="000000"/>
          <w:sz w:val="22"/>
        </w:rPr>
      </w:pPr>
      <w:r>
        <w:rPr>
          <w:rFonts w:ascii="Times New Roman" w:hAnsi="Times New Roman"/>
          <w:b/>
          <w:smallCaps/>
          <w:color w:val="000000"/>
          <w:sz w:val="22"/>
        </w:rPr>
        <w:t>No Impairment of Other Remedies</w:t>
      </w:r>
    </w:p>
    <w:p>
      <w:pPr>
        <w:pStyle w:val="TextBody"/>
        <w:bidi w:val="0"/>
        <w:spacing w:before="12" w:after="283"/>
        <w:jc w:val="left"/>
        <w:rPr/>
      </w:pPr>
      <w:r>
        <w:rPr/>
        <w:t> </w:t>
      </w:r>
    </w:p>
    <w:p>
      <w:pPr>
        <w:pStyle w:val="TextBody"/>
        <w:bidi w:val="0"/>
        <w:jc w:val="both"/>
        <w:rPr>
          <w:rFonts w:ascii="Times New Roman" w:hAnsi="Times New Roman"/>
          <w:sz w:val="20"/>
        </w:rPr>
      </w:pPr>
      <w:r>
        <w:rPr>
          <w:rFonts w:ascii="Times New Roman" w:hAnsi="Times New Roman"/>
          <w:color w:val="000000"/>
          <w:sz w:val="22"/>
        </w:rPr>
        <w:t>Nothing contained in this Policy, and no recoupment or recovery as contemplated herein, shall limit any claims, damages or other legal remedies the Company or any of its affiliates may have against a Covered Officer arising out of or resulting from any actions or omissions by the Covered Officer. This Policy does not preclude the Company from taking any other action to enforce a Covered Officer’s obligations to the Company, including, without limitation, termination of employment and/or institution of civil proceedings. This Policy is in addition to the requirements of Section 304 of the Sarbanes-Oxley Act of 2002 (“</w:t>
      </w:r>
      <w:r>
        <w:rPr>
          <w:rFonts w:ascii="Times New Roman" w:hAnsi="Times New Roman"/>
          <w:b/>
          <w:color w:val="000000"/>
          <w:sz w:val="22"/>
        </w:rPr>
        <w:t>SOX 304</w:t>
      </w:r>
      <w:r>
        <w:rPr>
          <w:rFonts w:ascii="Times New Roman" w:hAnsi="Times New Roman"/>
          <w:color w:val="000000"/>
          <w:sz w:val="20"/>
        </w:rPr>
        <w:t>”</w:t>
      </w:r>
      <w:r>
        <w:rPr>
          <w:rFonts w:ascii="Times New Roman" w:hAnsi="Times New Roman"/>
          <w:color w:val="000000"/>
          <w:sz w:val="22"/>
        </w:rPr>
        <w:t>) that are applicable to the Company’s Chief Executive Officer and Chief Financial Officer and to any other compensation recoupment policy and/or similar provisions in any employment, equity plan, equity award, or other individual agreement, to which the Company is a party or which the Company has adopted or may adopt and maintain from time to time ; provided, however, that compensation recouped pursuant to this policy shall not be duplicative of compensation recouped pursuant to SOX 304 or any such compensation recoupment policy and/or similar provisions in any such employment, equity plan, equity award, or other individual agreement except as may be required by law.</w:t>
      </w:r>
    </w:p>
    <w:p>
      <w:pPr>
        <w:pStyle w:val="TextBody"/>
        <w:bidi w:val="0"/>
        <w:jc w:val="left"/>
        <w:rPr/>
      </w:pPr>
      <w:r>
        <w:rPr/>
        <w:t> </w:t>
      </w:r>
    </w:p>
    <w:p>
      <w:pPr>
        <w:pStyle w:val="TextBody"/>
        <w:bidi w:val="0"/>
        <w:spacing w:before="10" w:after="283"/>
        <w:ind w:left="60" w:right="0" w:hanging="0"/>
        <w:jc w:val="left"/>
        <w:rPr>
          <w:rFonts w:ascii="Times New Roman" w:hAnsi="Times New Roman"/>
          <w:color w:val="000000"/>
          <w:sz w:val="22"/>
        </w:rPr>
      </w:pPr>
      <w:r>
        <w:rPr>
          <w:rFonts w:ascii="Times New Roman" w:hAnsi="Times New Roman"/>
          <w:color w:val="000000"/>
          <w:sz w:val="22"/>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80" w:after="283"/>
        <w:jc w:val="left"/>
        <w:rPr>
          <w:rFonts w:ascii="Times New Roman" w:hAnsi="Times New Roman"/>
          <w:b/>
          <w:color w:val="000000"/>
          <w:sz w:val="22"/>
        </w:rPr>
      </w:pPr>
      <w:r>
        <w:rPr>
          <w:rFonts w:ascii="Times New Roman" w:hAnsi="Times New Roman"/>
          <w:b/>
          <w:color w:val="000000"/>
          <w:sz w:val="22"/>
        </w:rPr>
        <w:t>8.</w:t>
      </w:r>
    </w:p>
    <w:p>
      <w:pPr>
        <w:pStyle w:val="TextBody"/>
        <w:bidi w:val="0"/>
        <w:spacing w:before="80" w:after="283"/>
        <w:jc w:val="left"/>
        <w:rPr>
          <w:rFonts w:ascii="Times New Roman" w:hAnsi="Times New Roman"/>
          <w:b/>
          <w:smallCaps/>
          <w:color w:val="000000"/>
          <w:sz w:val="22"/>
        </w:rPr>
      </w:pPr>
      <w:r>
        <w:rPr>
          <w:rFonts w:ascii="Times New Roman" w:hAnsi="Times New Roman"/>
          <w:b/>
          <w:smallCaps/>
          <w:color w:val="000000"/>
          <w:sz w:val="22"/>
        </w:rPr>
        <w:t>Amendment; Termination</w:t>
      </w:r>
    </w:p>
    <w:p>
      <w:pPr>
        <w:pStyle w:val="TextBody"/>
        <w:bidi w:val="0"/>
        <w:spacing w:before="12"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Administrator may amend, terminate or replace this Policy or any portion of this Policy at any time and from time to time in its sole discretion. The Administrator shall amend this Policy as it deems necessary to comply with applicable law or any Listing Standard.</w:t>
      </w:r>
    </w:p>
    <w:p>
      <w:pPr>
        <w:pStyle w:val="TextBody"/>
        <w:bidi w:val="0"/>
        <w:spacing w:before="221" w:after="283"/>
        <w:jc w:val="left"/>
        <w:rPr>
          <w:rFonts w:ascii="Times New Roman" w:hAnsi="Times New Roman"/>
          <w:b/>
          <w:color w:val="000000"/>
          <w:sz w:val="22"/>
        </w:rPr>
      </w:pPr>
      <w:r>
        <w:rPr>
          <w:rFonts w:ascii="Times New Roman" w:hAnsi="Times New Roman"/>
          <w:b/>
          <w:color w:val="000000"/>
          <w:sz w:val="22"/>
        </w:rPr>
        <w:t>9.</w:t>
      </w:r>
    </w:p>
    <w:p>
      <w:pPr>
        <w:pStyle w:val="TextBody"/>
        <w:bidi w:val="0"/>
        <w:spacing w:before="221" w:after="283"/>
        <w:jc w:val="left"/>
        <w:rPr>
          <w:rFonts w:ascii="Times New Roman" w:hAnsi="Times New Roman"/>
          <w:b/>
          <w:smallCaps/>
          <w:color w:val="000000"/>
          <w:sz w:val="22"/>
        </w:rPr>
      </w:pPr>
      <w:r>
        <w:rPr>
          <w:rFonts w:ascii="Times New Roman" w:hAnsi="Times New Roman"/>
          <w:b/>
          <w:smallCaps/>
          <w:color w:val="000000"/>
          <w:sz w:val="22"/>
        </w:rPr>
        <w:t>Successors</w:t>
      </w:r>
    </w:p>
    <w:p>
      <w:pPr>
        <w:pStyle w:val="TextBody"/>
        <w:bidi w:val="0"/>
        <w:spacing w:before="12"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This Policy shall be binding and enforceable against all Covered Officers and, to the extent required by Rule 10D-1 and/or the applicable Listing Standards, their beneficiaries, heirs, executors, administrators or other legal representatives.</w:t>
      </w:r>
    </w:p>
    <w:p>
      <w:pPr>
        <w:pStyle w:val="TextBody"/>
        <w:bidi w:val="0"/>
        <w:spacing w:before="221" w:after="283"/>
        <w:jc w:val="left"/>
        <w:rPr>
          <w:rFonts w:ascii="Times New Roman" w:hAnsi="Times New Roman"/>
          <w:b/>
          <w:color w:val="000000"/>
          <w:sz w:val="22"/>
        </w:rPr>
      </w:pPr>
      <w:r>
        <w:rPr>
          <w:rFonts w:ascii="Times New Roman" w:hAnsi="Times New Roman"/>
          <w:b/>
          <w:color w:val="000000"/>
          <w:sz w:val="22"/>
        </w:rPr>
        <w:t>10.</w:t>
      </w:r>
    </w:p>
    <w:p>
      <w:pPr>
        <w:pStyle w:val="TextBody"/>
        <w:bidi w:val="0"/>
        <w:spacing w:before="221" w:after="283"/>
        <w:jc w:val="left"/>
        <w:rPr>
          <w:rFonts w:ascii="Times New Roman" w:hAnsi="Times New Roman"/>
          <w:b/>
          <w:smallCaps/>
          <w:color w:val="000000"/>
          <w:sz w:val="22"/>
        </w:rPr>
      </w:pPr>
      <w:r>
        <w:rPr>
          <w:rFonts w:ascii="Times New Roman" w:hAnsi="Times New Roman"/>
          <w:b/>
          <w:smallCaps/>
          <w:color w:val="000000"/>
          <w:sz w:val="22"/>
        </w:rPr>
        <w:t>Required Filings</w:t>
      </w:r>
    </w:p>
    <w:p>
      <w:pPr>
        <w:pStyle w:val="TextBody"/>
        <w:bidi w:val="0"/>
        <w:spacing w:before="12" w:after="283"/>
        <w:jc w:val="left"/>
        <w:rPr/>
      </w:pPr>
      <w:r>
        <w:rPr/>
        <w:t> </w:t>
      </w:r>
    </w:p>
    <w:p>
      <w:pPr>
        <w:pStyle w:val="TextBody"/>
        <w:bidi w:val="0"/>
        <w:spacing w:before="1" w:after="283"/>
        <w:jc w:val="both"/>
        <w:rPr>
          <w:rFonts w:ascii="Times New Roman" w:hAnsi="Times New Roman"/>
          <w:color w:val="000000"/>
          <w:sz w:val="22"/>
        </w:rPr>
      </w:pPr>
      <w:r>
        <w:rPr>
          <w:rFonts w:ascii="Times New Roman" w:hAnsi="Times New Roman"/>
          <w:color w:val="000000"/>
          <w:sz w:val="22"/>
        </w:rPr>
        <w:t>The Company shall make any disclosures and filings with respect to this Policy that are required by law, including as required by the SEC.</w:t>
      </w:r>
    </w:p>
    <w:p>
      <w:pPr>
        <w:pStyle w:val="TextBody"/>
        <w:bidi w:val="0"/>
        <w:spacing w:before="220" w:after="283"/>
        <w:jc w:val="center"/>
        <w:rPr>
          <w:rFonts w:ascii="Times New Roman" w:hAnsi="Times New Roman"/>
          <w:color w:val="000000"/>
          <w:sz w:val="22"/>
        </w:rPr>
      </w:pPr>
      <w:r>
        <w:rPr>
          <w:rFonts w:ascii="Times New Roman" w:hAnsi="Times New Roman"/>
          <w:color w:val="000000"/>
          <w:sz w:val="22"/>
        </w:rPr>
        <w:t>* * * * *</w:t>
      </w:r>
    </w:p>
    <w:p>
      <w:pPr>
        <w:pStyle w:val="TextBody"/>
        <w:bidi w:val="0"/>
        <w:jc w:val="left"/>
        <w:rPr/>
      </w:pPr>
      <w:r>
        <w:rPr/>
        <w:t> </w:t>
      </w:r>
    </w:p>
    <w:p>
      <w:pPr>
        <w:pStyle w:val="TextBody"/>
        <w:bidi w:val="0"/>
        <w:spacing w:before="10" w:after="283"/>
        <w:ind w:left="60" w:right="0" w:hanging="0"/>
        <w:jc w:val="left"/>
        <w:rPr>
          <w:rFonts w:ascii="Times New Roman" w:hAnsi="Times New Roman"/>
          <w:color w:val="000000"/>
          <w:sz w:val="22"/>
        </w:rPr>
      </w:pPr>
      <w:r>
        <w:rPr>
          <w:rFonts w:ascii="Times New Roman" w:hAnsi="Times New Roman"/>
          <w:color w:val="000000"/>
          <w:sz w:val="22"/>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80" w:after="283"/>
        <w:jc w:val="left"/>
        <w:rPr>
          <w:rFonts w:ascii="Times New Roman" w:hAnsi="Times New Roman"/>
          <w:b/>
          <w:smallCaps/>
          <w:color w:val="000000"/>
          <w:sz w:val="22"/>
        </w:rPr>
      </w:pPr>
      <w:r>
        <w:rPr>
          <w:rFonts w:ascii="Times New Roman" w:hAnsi="Times New Roman"/>
          <w:b/>
          <w:smallCaps/>
          <w:color w:val="000000"/>
          <w:sz w:val="22"/>
        </w:rPr>
        <w:t>TAYSHA GENE THERAPIES, INC. Incentive Compensation Recoupment Policy</w:t>
      </w:r>
    </w:p>
    <w:p>
      <w:pPr>
        <w:pStyle w:val="TextBody"/>
        <w:bidi w:val="0"/>
        <w:jc w:val="left"/>
        <w:rPr>
          <w:rFonts w:ascii="Times New Roman" w:hAnsi="Times New Roman"/>
          <w:b/>
          <w:smallCaps/>
          <w:color w:val="000000"/>
          <w:sz w:val="22"/>
        </w:rPr>
      </w:pPr>
      <w:r>
        <w:rPr>
          <w:rFonts w:ascii="Times New Roman" w:hAnsi="Times New Roman"/>
          <w:b/>
          <w:smallCaps/>
          <w:color w:val="000000"/>
          <w:sz w:val="22"/>
        </w:rPr>
        <w:t>Form of Executive Acknowledgment</w:t>
      </w:r>
    </w:p>
    <w:p>
      <w:pPr>
        <w:pStyle w:val="TextBody"/>
        <w:bidi w:val="0"/>
        <w:jc w:val="left"/>
        <w:rPr/>
      </w:pPr>
      <w:r>
        <w:rPr/>
        <w:t> </w:t>
      </w:r>
    </w:p>
    <w:p>
      <w:pPr>
        <w:pStyle w:val="TextBody"/>
        <w:bidi w:val="0"/>
        <w:jc w:val="left"/>
        <w:rPr/>
      </w:pPr>
      <w:r>
        <w:rPr/>
        <w:t> </w:t>
      </w:r>
    </w:p>
    <w:p>
      <w:pPr>
        <w:pStyle w:val="TextBody"/>
        <w:bidi w:val="0"/>
        <w:spacing w:before="71" w:after="283"/>
        <w:jc w:val="left"/>
        <w:rPr/>
      </w:pPr>
      <w:r>
        <w:rPr/>
        <w:t> </w:t>
      </w:r>
    </w:p>
    <w:p>
      <w:pPr>
        <w:pStyle w:val="TextBody"/>
        <w:bidi w:val="0"/>
        <w:jc w:val="both"/>
        <w:rPr>
          <w:rFonts w:ascii="Times New Roman" w:hAnsi="Times New Roman"/>
          <w:sz w:val="20"/>
        </w:rPr>
      </w:pPr>
      <w:r>
        <w:rPr>
          <w:rFonts w:ascii="Times New Roman" w:hAnsi="Times New Roman"/>
          <w:color w:val="000000"/>
          <w:sz w:val="22"/>
        </w:rPr>
        <w:t>I, the undersigned, agree and acknowledge that I am bound by, and subject to, the Taysha Gene Therapies, Inc. Incentive Compensation Recoupment Policy, as may be amended, restated, supplemented or otherwise modified from time to time (the “</w:t>
      </w:r>
      <w:r>
        <w:rPr>
          <w:rFonts w:ascii="Times New Roman" w:hAnsi="Times New Roman"/>
          <w:b/>
          <w:i/>
          <w:color w:val="000000"/>
          <w:sz w:val="22"/>
        </w:rPr>
        <w:t>Policy</w:t>
      </w:r>
      <w:r>
        <w:rPr>
          <w:rFonts w:ascii="Times New Roman" w:hAnsi="Times New Roman"/>
          <w:color w:val="000000"/>
          <w:sz w:val="20"/>
        </w:rPr>
        <w:t>”</w:t>
      </w:r>
      <w:r>
        <w:rPr>
          <w:rFonts w:ascii="Times New Roman" w:hAnsi="Times New Roman"/>
          <w:color w:val="000000"/>
          <w:sz w:val="22"/>
        </w:rPr>
        <w:t>). In the event of any inconsistency between the Policy and the terms of any employment agreement, offer letter or other individual agreement with Taysha Gene Therapies, Inc.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to which I am a party, or the terms of any compensation plan, program or agreement, whether or not written, under which any compensation has been granted, awarded, earned or paid to me, the terms of the Policy shall govern.</w:t>
      </w:r>
    </w:p>
    <w:p>
      <w:pPr>
        <w:pStyle w:val="TextBody"/>
        <w:bidi w:val="0"/>
        <w:spacing w:before="220" w:after="283"/>
        <w:jc w:val="both"/>
        <w:rPr>
          <w:rFonts w:ascii="Times New Roman" w:hAnsi="Times New Roman"/>
          <w:color w:val="000000"/>
          <w:sz w:val="22"/>
        </w:rPr>
      </w:pPr>
      <w:r>
        <w:rPr>
          <w:rFonts w:ascii="Times New Roman" w:hAnsi="Times New Roman"/>
          <w:color w:val="000000"/>
          <w:sz w:val="22"/>
        </w:rPr>
        <w:t>In the event that the Administrator (as defined in the Policy) determines that any compensation granted, awarded, earned or paid to me must be forfeited or reimbursed to the Company pursuant to the Policy, I will promptly take any action necessary to effectuate such forfeiture and/or reimbursement. I further agree and acknowledge that I am not entitled to indemnification, and hereby waive any right to advancement of expenses, in connection with any enforcement of the Policy by the Company.</w:t>
      </w:r>
    </w:p>
    <w:p>
      <w:pPr>
        <w:pStyle w:val="TextBody"/>
        <w:bidi w:val="0"/>
        <w:jc w:val="left"/>
        <w:rPr/>
      </w:pPr>
      <w:r>
        <w:rPr/>
        <w:t> </w:t>
      </w:r>
    </w:p>
    <w:p>
      <w:pPr>
        <w:pStyle w:val="TextBody"/>
        <w:bidi w:val="0"/>
        <w:spacing w:before="187" w:after="283"/>
        <w:jc w:val="left"/>
        <w:rPr/>
      </w:pPr>
      <w:r>
        <w:rPr/>
        <w:t> </w:t>
      </w:r>
    </w:p>
    <w:p>
      <w:pPr>
        <w:pStyle w:val="TextBody"/>
        <w:bidi w:val="0"/>
        <w:spacing w:before="1" w:after="283"/>
        <w:jc w:val="both"/>
        <w:rPr>
          <w:rFonts w:ascii="Times New Roman" w:hAnsi="Times New Roman"/>
          <w:b/>
          <w:color w:val="000000"/>
          <w:sz w:val="22"/>
        </w:rPr>
      </w:pPr>
      <w:r>
        <w:rPr>
          <w:rFonts w:ascii="Times New Roman" w:hAnsi="Times New Roman"/>
          <w:b/>
          <w:color w:val="000000"/>
          <w:sz w:val="22"/>
        </w:rPr>
        <w:t>Agreed and Acknowledged:</w:t>
      </w:r>
    </w:p>
    <w:p>
      <w:pPr>
        <w:pStyle w:val="TextBody"/>
        <w:bidi w:val="0"/>
        <w:jc w:val="left"/>
        <w:rPr/>
      </w:pPr>
      <w:r>
        <w:rPr/>
        <w:t> </w:t>
      </w:r>
    </w:p>
    <w:p>
      <w:pPr>
        <w:pStyle w:val="TextBody"/>
        <w:bidi w:val="0"/>
        <w:jc w:val="left"/>
        <w:rPr/>
      </w:pPr>
      <w:r>
        <w:rPr/>
        <w:t> </w:t>
      </w:r>
    </w:p>
    <w:p>
      <w:pPr>
        <w:pStyle w:val="TextBody"/>
        <w:bidi w:val="0"/>
        <w:spacing w:before="208" w:after="283"/>
        <w:jc w:val="left"/>
        <w:rPr/>
      </w:pPr>
      <w:r>
        <w:rPr/>
        <w:t> </w:t>
      </w:r>
    </w:p>
    <w:p>
      <w:pPr>
        <w:pStyle w:val="TextBody"/>
        <w:bidi w:val="0"/>
        <w:spacing w:before="234" w:after="283"/>
        <w:jc w:val="both"/>
        <w:rPr>
          <w:rFonts w:ascii="Times New Roman" w:hAnsi="Times New Roman"/>
          <w:color w:val="000000"/>
          <w:sz w:val="22"/>
        </w:rPr>
      </w:pPr>
      <w:r>
        <w:rPr>
          <w:rFonts w:ascii="Times New Roman" w:hAnsi="Times New Roman"/>
          <w:color w:val="000000"/>
          <w:sz w:val="22"/>
        </w:rPr>
        <w:t xml:space="preserve">Name: Title: Date: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Verdan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hyperlink" Target="https://www.sec.gov/Archives/edgar/data/1806310/000119312520257858/d78879dex31.htm" TargetMode="External"/><Relationship Id="rId11" Type="http://schemas.openxmlformats.org/officeDocument/2006/relationships/hyperlink" Target="https://www.sec.gov/Archives/edgar/data/1806310/000119312520247565/d938924dex34.htm" TargetMode="External"/><Relationship Id="rId12" Type="http://schemas.openxmlformats.org/officeDocument/2006/relationships/hyperlink" Target="https://www.sec.gov/Archives/edgar/data/1806310/000119312523277914/d941656dex31.htm" TargetMode="External"/><Relationship Id="rId13" Type="http://schemas.openxmlformats.org/officeDocument/2006/relationships/hyperlink" Target="https://www.sec.gov/Archives/edgar/data/1806310/000119312520238197/d938924dex41.htm" TargetMode="External"/><Relationship Id="rId14" Type="http://schemas.openxmlformats.org/officeDocument/2006/relationships/hyperlink" Target="https://www.sec.gov/Archives/edgar/data/0001806310/000156459021010433/tsha-ex42_791.htm" TargetMode="External"/><Relationship Id="rId15" Type="http://schemas.openxmlformats.org/officeDocument/2006/relationships/hyperlink" Target="https://www.sec.gov/Archives/edgar/data/1806310/000119312523211456/d497848dex41.htm" TargetMode="External"/><Relationship Id="rId16" Type="http://schemas.openxmlformats.org/officeDocument/2006/relationships/hyperlink" Target="https://www.sec.gov/Archives/edgar/data/1806310/000119312523092350/d407595dex45.htm" TargetMode="External"/><Relationship Id="rId17" Type="http://schemas.openxmlformats.org/officeDocument/2006/relationships/hyperlink" Target="https://www.sec.gov/Archives/edgar/data/1806310/000119312520238197/d938924dex101.htm" TargetMode="External"/><Relationship Id="rId18" Type="http://schemas.openxmlformats.org/officeDocument/2006/relationships/hyperlink" Target="https://www.sec.gov/Archives/edgar/data/1806310/000119312520238197/d938924dex102.htm" TargetMode="External"/><Relationship Id="rId19" Type="http://schemas.openxmlformats.org/officeDocument/2006/relationships/hyperlink" Target="https://www.sec.gov/Archives/edgar/data/1806310/000119312520238197/d938924dex103.htm" TargetMode="External"/><Relationship Id="rId20" Type="http://schemas.openxmlformats.org/officeDocument/2006/relationships/hyperlink" Target="https://www.sec.gov/Archives/edgar/data/1806310/000119312520238197/d938924dex104.htm" TargetMode="External"/><Relationship Id="rId21" Type="http://schemas.openxmlformats.org/officeDocument/2006/relationships/hyperlink" Target="https://www.sec.gov/Archives/edgar/data/0001806310/000156459021010433/tsha-ex105_792.htm" TargetMode="External"/><Relationship Id="rId22" Type="http://schemas.openxmlformats.org/officeDocument/2006/relationships/hyperlink" Target="https://www.sec.gov/Archives/edgar/data/1806310/000119312520247565/d938924dex105.htm" TargetMode="External"/><Relationship Id="rId23" Type="http://schemas.openxmlformats.org/officeDocument/2006/relationships/hyperlink" Target="https://www.sec.gov/Archives/edgar/data/1806310/000119312520247565/d938924dex106.htm" TargetMode="External"/><Relationship Id="rId24" Type="http://schemas.openxmlformats.org/officeDocument/2006/relationships/hyperlink" Target="https://www.sec.gov/Archives/edgar/data/1806310/000119312520247565/d938924dex107.htm" TargetMode="External"/><Relationship Id="rId25" Type="http://schemas.openxmlformats.org/officeDocument/2006/relationships/hyperlink" Target="https://www.sec.gov/Archives/edgar/data/1806310/000119312520247565/d938924dex108.htm" TargetMode="External"/><Relationship Id="rId26" Type="http://schemas.openxmlformats.org/officeDocument/2006/relationships/hyperlink" Target="https://www.sec.gov/Archives/edgar/data/1806310/000095017023042089/tsha-ex10_1.htm" TargetMode="External"/><Relationship Id="rId27" Type="http://schemas.openxmlformats.org/officeDocument/2006/relationships/hyperlink" Target="https://www.sec.gov/Archives/edgar/data/1806310/000119312520247565/d938924dex1011.htm" TargetMode="External"/><Relationship Id="rId28" Type="http://schemas.openxmlformats.org/officeDocument/2006/relationships/hyperlink" Target="https://www.sec.gov/Archives/edgar/data/0001806310/000156459021010433/tsha-ex1013_851.htm" TargetMode="External"/><Relationship Id="rId29" Type="http://schemas.openxmlformats.org/officeDocument/2006/relationships/hyperlink" Target="https://www.sec.gov/Archives/edgar/data/0001806310/000156459021010433/tsha-ex1015_1051.htm" TargetMode="External"/><Relationship Id="rId30" Type="http://schemas.openxmlformats.org/officeDocument/2006/relationships/hyperlink" Target="https://www.sec.gov/Archives/edgar/data/0001806310/000156459021044462/tsha-ex101_249.htm" TargetMode="External"/><Relationship Id="rId31" Type="http://schemas.openxmlformats.org/officeDocument/2006/relationships/hyperlink" Target="https://www.sec.gov/Archives/edgar/data/1806310/000156459022012782/tsha-ex1018_1303.htm" TargetMode="External"/><Relationship Id="rId32" Type="http://schemas.openxmlformats.org/officeDocument/2006/relationships/hyperlink" Target="https://www.sec.gov/Archives/edgar/data/1806310/000119312521292221/d250700dex12.htm" TargetMode="External"/><Relationship Id="rId33" Type="http://schemas.openxmlformats.org/officeDocument/2006/relationships/hyperlink" Target="https://www.sec.gov/Archives/edgar/data/1806310/000156459022012782/tsha-ex1019_1587.htm" TargetMode="External"/><Relationship Id="rId34" Type="http://schemas.openxmlformats.org/officeDocument/2006/relationships/hyperlink" Target="https://www.sec.gov/Archives/edgar/data/1806310/000119312522273298/d395338dex101.htm" TargetMode="External"/><Relationship Id="rId35" Type="http://schemas.openxmlformats.org/officeDocument/2006/relationships/hyperlink" Target="https://www.sec.gov/Archives/edgar/data/1806310/000119312522273298/d395338dex102.htm" TargetMode="External"/><Relationship Id="rId36" Type="http://schemas.openxmlformats.org/officeDocument/2006/relationships/hyperlink" Target="https://www.sec.gov/Archives/edgar/data/1806310/000119312522273298/d395338dex103.htm" TargetMode="External"/><Relationship Id="rId37" Type="http://schemas.openxmlformats.org/officeDocument/2006/relationships/hyperlink" Target="https://www.sec.gov/Archives/edgar/data/1806310/000095017023010343/tsha-ex10_23.htm" TargetMode="External"/><Relationship Id="rId38" Type="http://schemas.openxmlformats.org/officeDocument/2006/relationships/hyperlink" Target="https://www.sec.gov/Archives/edgar/data/1806310/000095017023010343/tsha-ex10_24.htm" TargetMode="External"/><Relationship Id="rId39" Type="http://schemas.openxmlformats.org/officeDocument/2006/relationships/hyperlink" Target="https://www.sec.gov/Archives/edgar/data/1806310/000095017023063734/tsha-ex10_2.htm" TargetMode="External"/><Relationship Id="rId40" Type="http://schemas.openxmlformats.org/officeDocument/2006/relationships/hyperlink" Target="https://www.sec.gov/Archives/edgar/data/1806310/000119312523299942/d574908dex101.htm" TargetMode="External"/><Relationship Id="rId41" Type="http://schemas.openxmlformats.org/officeDocument/2006/relationships/hyperlink" Target="https://www.sec.gov/Archives/edgar/data/1806310/000119312523299942/d574908dex102.htm" TargetMode="External"/><Relationship Id="rId42" Type="http://schemas.openxmlformats.org/officeDocument/2006/relationships/hyperlink" Target="https://www.sec.gov/Archives/edgar/data/1806310/000119312523299942/d574908dex103.htm" TargetMode="External"/><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108463</Words>
  <Characters>603361</Characters>
  <CharactersWithSpaces>711170</CharactersWithSpaces>
  <Paragraphs>6371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