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13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color w:val="auto"/>
        </w:rPr>
        <w:t>Taysha Gene Therapies, Inc.</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Delaware</w:t>
      </w:r>
    </w:p>
    <w:p>
      <w:pPr>
        <w:spacing w:after="0" w:line="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color w:val="auto"/>
        </w:rPr>
        <w:t>84-3199512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61" w:lineRule="exact"/>
        <w:rPr>
          <w:sz w:val="24"/>
          <w:szCs w:val="24"/>
          <w:color w:val="auto"/>
        </w:rPr>
      </w:pPr>
    </w:p>
    <w:p>
      <w:pPr>
        <w:sectPr>
          <w:pgSz w:w="11900" w:h="16838" w:orient="portrait"/>
          <w:cols w:equalWidth="0" w:num="2">
            <w:col w:w="7560" w:space="340"/>
            <w:col w:w="3340"/>
          </w:cols>
          <w:pgMar w:left="320" w:top="1133" w:right="339" w:bottom="1440" w:gutter="0" w:footer="0" w:header="0"/>
          <w:type w:val="continuous"/>
        </w:sectPr>
      </w:pPr>
    </w:p>
    <w:tbl>
      <w:tblPr>
        <w:tblLayout w:type="fixed"/>
        <w:tblInd w:w="1680" w:type="dxa"/>
        <w:tblCellMar>
          <w:top w:w="0" w:type="dxa"/>
          <w:left w:w="0" w:type="dxa"/>
          <w:bottom w:w="0" w:type="dxa"/>
          <w:right w:w="0" w:type="dxa"/>
        </w:tblCellMar>
      </w:tblPr>
      <w:tr>
        <w:trPr>
          <w:trHeight w:val="210"/>
        </w:trPr>
        <w:tc>
          <w:tcPr>
            <w:tcW w:w="4360" w:type="dxa"/>
            <w:vAlign w:val="bottom"/>
          </w:tcPr>
          <w:p>
            <w:pPr>
              <w:jc w:val="center"/>
              <w:ind w:right="2002"/>
              <w:spacing w:after="0"/>
              <w:rPr>
                <w:sz w:val="20"/>
                <w:szCs w:val="20"/>
                <w:color w:val="auto"/>
              </w:rPr>
            </w:pPr>
            <w:r>
              <w:rPr>
                <w:rFonts w:ascii="Times New Roman" w:cs="Times New Roman" w:eastAsia="Times New Roman" w:hAnsi="Times New Roman"/>
                <w:sz w:val="16"/>
                <w:szCs w:val="16"/>
                <w:color w:val="auto"/>
              </w:rPr>
              <w:t>3000 Pegasus Park Dr. Ste 1430</w:t>
            </w:r>
          </w:p>
        </w:tc>
        <w:tc>
          <w:tcPr>
            <w:tcW w:w="2700" w:type="dxa"/>
            <w:vAlign w:val="bottom"/>
          </w:tcPr>
          <w:p>
            <w:pPr>
              <w:spacing w:after="0"/>
              <w:rPr>
                <w:sz w:val="18"/>
                <w:szCs w:val="18"/>
                <w:color w:val="auto"/>
              </w:rPr>
            </w:pPr>
          </w:p>
        </w:tc>
      </w:tr>
      <w:tr>
        <w:trPr>
          <w:trHeight w:val="213"/>
        </w:trPr>
        <w:tc>
          <w:tcPr>
            <w:tcW w:w="4360" w:type="dxa"/>
            <w:vAlign w:val="bottom"/>
          </w:tcPr>
          <w:p>
            <w:pPr>
              <w:jc w:val="center"/>
              <w:ind w:right="2042"/>
              <w:spacing w:after="0"/>
              <w:rPr>
                <w:sz w:val="20"/>
                <w:szCs w:val="20"/>
                <w:color w:val="auto"/>
              </w:rPr>
            </w:pPr>
            <w:r>
              <w:rPr>
                <w:rFonts w:ascii="Times New Roman" w:cs="Times New Roman" w:eastAsia="Times New Roman" w:hAnsi="Times New Roman"/>
                <w:sz w:val="16"/>
                <w:szCs w:val="16"/>
                <w:color w:val="auto"/>
              </w:rPr>
              <w:t>Dallas, Texas</w:t>
            </w:r>
          </w:p>
        </w:tc>
        <w:tc>
          <w:tcPr>
            <w:tcW w:w="27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75247</w:t>
            </w:r>
          </w:p>
        </w:tc>
      </w:tr>
      <w:tr>
        <w:trPr>
          <w:trHeight w:val="188"/>
        </w:trPr>
        <w:tc>
          <w:tcPr>
            <w:tcW w:w="4360" w:type="dxa"/>
            <w:vAlign w:val="bottom"/>
          </w:tcPr>
          <w:p>
            <w:pPr>
              <w:jc w:val="center"/>
              <w:ind w:right="200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00" w:type="dxa"/>
            <w:vAlign w:val="bottom"/>
          </w:tcPr>
          <w:p>
            <w:pPr>
              <w:jc w:val="center"/>
              <w:ind w:left="20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(214) 612-0000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Trading</w:t>
            </w:r>
          </w:p>
        </w:tc>
        <w:tc>
          <w:tcPr>
            <w:tcW w:w="920" w:type="dxa"/>
            <w:vAlign w:val="bottom"/>
            <w:gridSpan w:val="2"/>
            <w:vMerge w:val="restart"/>
          </w:tcPr>
          <w:p>
            <w:pPr>
              <w:spacing w:after="0"/>
              <w:rPr>
                <w:sz w:val="18"/>
                <w:szCs w:val="18"/>
                <w:color w:val="auto"/>
              </w:rPr>
            </w:pPr>
          </w:p>
        </w:tc>
        <w:tc>
          <w:tcPr>
            <w:tcW w:w="6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580" w:type="dxa"/>
            <w:vAlign w:val="bottom"/>
            <w:gridSpan w:val="2"/>
            <w:vMerge w:val="restart"/>
          </w:tcPr>
          <w:p>
            <w:pPr>
              <w:jc w:val="center"/>
              <w:ind w:right="8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color w:val="auto"/>
              </w:rPr>
              <w:t>Symbol(s)</w:t>
            </w:r>
          </w:p>
        </w:tc>
        <w:tc>
          <w:tcPr>
            <w:tcW w:w="3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828"/>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49"/>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2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4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the definitions of “large accelerated filer,” “accelerated filer,” “smaller reporting company,” and </w:t>
      </w:r>
      <w:r>
        <w:rPr>
          <w:rFonts w:ascii="Times New Roman" w:cs="Times New Roman" w:eastAsia="Times New Roman" w:hAnsi="Times New Roman"/>
          <w:sz w:val="16"/>
          <w:szCs w:val="16"/>
          <w:color w:val="auto"/>
        </w:rPr>
        <w:t>“emerging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4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 w:lineRule="exact"/>
        <w:rPr>
          <w:sz w:val="24"/>
          <w:szCs w:val="24"/>
          <w:color w:val="auto"/>
        </w:rPr>
      </w:pPr>
    </w:p>
    <w:p>
      <w:pPr>
        <w:ind w:right="48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749"/>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right="40" w:firstLine="216"/>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64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760"/>
        <w:spacing w:after="0" w:line="161" w:lineRule="exact"/>
        <w:tabs>
          <w:tab w:leader="none" w:pos="7460" w:val="left"/>
          <w:tab w:leader="none" w:pos="80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2024, the aggregate market value of the common stock of the registrant held by non-affiliates was: $370.7 million.</w:t>
      </w:r>
    </w:p>
    <w:p>
      <w:pPr>
        <w:spacing w:after="0" w:line="4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February 26, 2025, the registrant had 205,001,632 shares of common stock, $0.00001 par value per share, outstanding.</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120" w:firstLine="74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are incorporated herein by reference in Part III of this Annual Report on Form 10-K. The Proxy Statement will be filed with the Securities and Exchange Commission within 120 days after the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3"/>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0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1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1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4" w:lineRule="exact"/>
        <w:rPr>
          <w:sz w:val="20"/>
          <w:szCs w:val="20"/>
          <w:color w:val="auto"/>
        </w:rPr>
      </w:pPr>
    </w:p>
    <w:p>
      <w:pPr>
        <w:jc w:val="both"/>
        <w:ind w:left="1140" w:right="220" w:hanging="383"/>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and Clinical Trial Agreement submissions, initiation of clinical trials and timing of expected clinical results for TSHA-102 for Rett syndrome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17"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and strategy, including the scalability and commercial viability of our manufacturing methods and processes;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TSHA-102 or any other current or future product candidate that we advance;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litigation and our expectations regarding the outcome of lawsuits and other claims against us and any regulatory or legal proceedings;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 w:name="page4"/>
    <w:bookmarkEnd w:id="3"/>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8"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162" w:lineRule="exact"/>
        <w:rPr>
          <w:sz w:val="20"/>
          <w:szCs w:val="20"/>
          <w:color w:val="auto"/>
        </w:rPr>
      </w:pPr>
    </w:p>
    <w:p>
      <w:pPr>
        <w:jc w:val="both"/>
        <w:ind w:right="640" w:firstLine="749"/>
        <w:spacing w:after="0" w:line="236" w:lineRule="auto"/>
        <w:rPr>
          <w:sz w:val="20"/>
          <w:szCs w:val="20"/>
          <w:color w:val="auto"/>
        </w:rPr>
      </w:pPr>
      <w:r>
        <w:rPr>
          <w:rFonts w:ascii="Times New Roman" w:cs="Times New Roman" w:eastAsia="Times New Roman" w:hAnsi="Times New Roman"/>
          <w:sz w:val="18"/>
          <w:szCs w:val="18"/>
          <w:color w:val="auto"/>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99" w:lineRule="exact"/>
        <w:rPr>
          <w:sz w:val="20"/>
          <w:szCs w:val="20"/>
          <w:color w:val="auto"/>
        </w:rPr>
      </w:pPr>
    </w:p>
    <w:p>
      <w:pPr>
        <w:jc w:val="both"/>
        <w:ind w:right="62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“Taysha,” the “Company,” “we,” “us,” and “our” refer to Taysha Gene Therapies, Inc. together with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evaluating TSHA-102 in the REVEAL Phase 1/2 adolescent and adult trial, which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We are also evaluating TSHA-102 in the REVEAL Phase 1/2 pediatric trial, which is an open-label, randomized, dose-escalation and dose-expansion study evaluating the safety and preliminary efficacy of TSHA-102 as a single lumbar intrathecal administration in pediatric females with Rett syndrome due to MECP2 loss-of-function mutation. The trial is taking place in the United States, Canada and the United Kingdom.</w:t>
      </w:r>
    </w:p>
    <w:p>
      <w:pPr>
        <w:spacing w:after="0" w:line="194"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18"/>
          <w:szCs w:val="18"/>
          <w:color w:val="auto"/>
        </w:rPr>
        <w:t>We have completed dosing of the 10 patients in Part A of both REVEAL trials, which includes six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As of the February 17, 2025 data cutoff, TSHA-102 was generally well tolerated, with no treatment-related serious adverse events, or SAEs, or dose-limiting toxicities, or DLTs, in the 10 patients dosed in Part A of the REVEAL trials. We believe this maturing dataset continues to support advancement toward the Part B registrational trial. We expect to report safety and efficacy data from cohort two of each of the REVEAL trials (high dose; n=3 for each trial) and an update on safety and efficacy data from cohort one of each of the REVEAL trials (low dose; n=2 for each trial), as well as an update on the anticipated pivotal trial design for TSHA-102, in the first half of 2025.</w:t>
      </w:r>
    </w:p>
    <w:p>
      <w:pPr>
        <w:spacing w:after="0" w:line="19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We also received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following the FDA’s review of available safety and efficacy data from the first three patients with Rett syndrome dosed with the low dose of TSHA-102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across the REVEAL Phase 1/2 adolescent and adult trial and the REVEAL Phase 1/2 pediatric trial.</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57150</wp:posOffset>
            </wp:positionV>
            <wp:extent cx="6009005" cy="1397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900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TSHA-102 for Rett Syndrome</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TSHA-102 is a self-complementary intrathecally delivered AAV9 gene transfer therapy in clinical evaluation for Rett syndrome, a rare progressive neurodevelopmental disorder caused by mutations in the X-linked MECP2 gene encoding methyl CpG-binding protein 2, or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or miRNA, profiling and genome mining to create miRNA-Responsive Auto-Regulatory Element, or miRARE, our novel miRNA target panel. The miRARE element includes binding sites for endogenous miRNA, which are responsive to MeCP2 levels to prevent overexpression. By utilizing the miRARE technology, TSHA-102 is designed to mediate levels of MeCP2 in the CNS on a cell-by-cell basis to address risks associated with under- and over-expression. By increasing MECP2 levels in MECP2 deficient cells and maintaining healthy levels of MECP2 output of healthy cells, TSHA-102 has demonstrated the ability to produce and maintain safe transgene expression levels in the CNS.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Currently, there are no approved disease-modifying therapies that treat the genetic root cause of Rett syndrome, and there is a significant unmet medical need.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i w:val="1"/>
          <w:iCs w:val="1"/>
          <w:color w:val="auto"/>
        </w:rPr>
        <w:t>Phase 1/2 REVEAL Clinical Trials</w:t>
      </w:r>
    </w:p>
    <w:p>
      <w:pPr>
        <w:spacing w:after="0" w:line="11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currently have two Phase 1/2 clinical trials ongoing for TSHA-102: an adolescent/adult study in the United States and Canada and a pediatric study in the United States, Canada and the United Kingdom, each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45720</wp:posOffset>
            </wp:positionV>
            <wp:extent cx="5426075" cy="2366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607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IT – Intrathecal; MTD – Maximum Tolerated Dose; MAD – Maximum Administered Dose.</w:t>
      </w:r>
    </w:p>
    <w:p>
      <w:pPr>
        <w:spacing w:after="0" w:line="200" w:lineRule="exact"/>
        <w:rPr>
          <w:sz w:val="20"/>
          <w:szCs w:val="20"/>
          <w:color w:val="auto"/>
        </w:rPr>
      </w:pPr>
    </w:p>
    <w:p>
      <w:pPr>
        <w:spacing w:after="0" w:line="233"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maximum tolerated dose or maximum administered dose established in Part A will be administered during dose expansion in Part B, which is the pivotal phase of the trials. Data from Part A is being assessed by regulatory agencies and the IDMC to determine key elements of Part B of the study, including efficacy endpoints, study duration and the MTD or MAD.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Efficacy endpoints for each trial include patient assessments performed by clinicians, including the use of the Clinical Global Impressions Scale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Improvement, or CGI-I, the Clinical Global Impressions Scale – Severity, or CGI-S, Rett Syndrome Hand Function Scale, or RSHFS, and Revised Motor Behavior Assessment, or R-MBA. Additional efficacy endpoints also include patient assessments by caregivers using Parental Global Impressions Improvement, or PGI-I, Seizure Diaries and other clinical assessment scales. Based on FDA feedback from our ongoing discussions, we intend to focus on objective measures that clinically capture functional gains in Part B of the trials; accordingly, the Rett Syndrome Behavior Questionnaire, or RSBQ, will not be included as a primary or secondary endpoint in Part B of the REVEAL trials, and we continue to advance discussions on the development plan for Part B as part of our conversations with the FDA.</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Overview of Part A of the REVEAL Trials</w:t>
      </w:r>
    </w:p>
    <w:p>
      <w:pPr>
        <w:spacing w:after="0" w:line="126" w:lineRule="exact"/>
        <w:rPr>
          <w:sz w:val="20"/>
          <w:szCs w:val="20"/>
          <w:color w:val="auto"/>
        </w:rPr>
      </w:pPr>
    </w:p>
    <w:p>
      <w:pPr>
        <w:ind w:right="40" w:firstLine="749"/>
        <w:spacing w:after="0" w:line="224" w:lineRule="auto"/>
        <w:rPr>
          <w:sz w:val="20"/>
          <w:szCs w:val="20"/>
          <w:color w:val="auto"/>
        </w:rPr>
      </w:pPr>
      <w:r>
        <w:rPr>
          <w:rFonts w:ascii="Times New Roman" w:cs="Times New Roman" w:eastAsia="Times New Roman" w:hAnsi="Times New Roman"/>
          <w:sz w:val="18"/>
          <w:szCs w:val="18"/>
          <w:color w:val="auto"/>
        </w:rPr>
        <w:t>We have completed dosing of the 10 patients in Part A of both REVEAL trials, which includes six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As of the February 17, 2025 data cutoff, TSHA-102 was generally well tolerated, with no treatment-related SAEs or DLTs in the 10 patients dosed in Part A of the REVEAL trials. We believe this maturing dataset continues to support advancement toward the pivotal Part B trial.</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June 2024 Clinical Update: Low-Dose Cohorts</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June 2024, we announced positive longer-term clinical data from the ongoing REVEAL Phase 1/2 adolescent and adult trial and preliminary clinical data from the ongoing REVEAL Phase 1/2 pediatric trial. In the adolescent and adult trial, we reported that both patients showed sustained and new clinical improvements and functional gains across multiple domains relative to baseline. In the pediatric trial, we reported data from both patients that showed initial clinical improvements and functional gains across multiple domains relative to baseline.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Adolescent and Adult Trial (n=2, low dose cohort)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TSHA-102 was generally well-tolerated in this cohort, with no treatment-related SAEs or DLTs as of the February 17, 2025 data cut.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color w:val="auto"/>
        </w:rPr>
        <w:t>The baseline characteristics of the two patients in the low-dose cohort of the adolescent and adult trial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154305</wp:posOffset>
            </wp:positionV>
            <wp:extent cx="5734685" cy="211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3468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the two adult patients with different clinical severity and genetic mutations, we observed improvements and functional gains as early as four weeks post-treatment across multiple domains, including motor skills, communication/socialization, autonomic function and seizures, that persisted and strengthened over time through week 52 (patient one) and week 25 (patient two) following completion of the steroid taper,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263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Clinical observations made by the Principal Investigator are based on post-treatment assessments, pre-treatment observations, baseline assessments, pre-screening visits and patient’s medical history. Video evidence was also obtained. Subject to change as the trial progresses.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*Seizure data for adult patient two is based on Seizure Diary and caregiver reports as of week 36 post-TSHA-102.</w:t>
      </w: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8" w:name="page9"/>
    <w:bookmarkEnd w:id="8"/>
    <w:p>
      <w:pPr>
        <w:ind w:firstLine="749"/>
        <w:spacing w:after="0" w:line="266" w:lineRule="auto"/>
        <w:rPr>
          <w:sz w:val="20"/>
          <w:szCs w:val="20"/>
          <w:color w:val="auto"/>
        </w:rPr>
      </w:pPr>
      <w:r>
        <w:rPr>
          <w:rFonts w:ascii="Times New Roman" w:cs="Times New Roman" w:eastAsia="Times New Roman" w:hAnsi="Times New Roman"/>
          <w:sz w:val="18"/>
          <w:szCs w:val="18"/>
          <w:color w:val="auto"/>
        </w:rPr>
        <w:t>Further, we observed improvements across multiple efficacy measures as early as four weeks post-treatment, with sustained and new improvements across multiple efficacy measures at week 52 (patient one) and week 25 (patient two) following completion of the steroid taper,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3094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Pediatric Trial (n=2, low dose cohort)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TSHA-102 was generally well-tolerated in this cohort, with no treatment-related SAEs or DLTs as of the February 17, 2025 data cutoff.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baseline characteristics of the two patients in the low-dose cohort of the pediatric trial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85725</wp:posOffset>
            </wp:positionV>
            <wp:extent cx="5923280" cy="2160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2328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01" w:right="599" w:bottom="1440" w:gutter="0" w:footer="0" w:header="0"/>
        </w:sectPr>
      </w:pPr>
    </w:p>
    <w:bookmarkStart w:id="9" w:name="page10"/>
    <w:bookmarkEnd w:id="9"/>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 the two pediatric patients with different clinical severity and genetic mutations, we observed improvements and functional gains as early as four weeks post-treatment across multiple domains, including motor skills, communication/socialization, autonomic function and seizures, through week 12 (patient one) and week 8 (patient two)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123190</wp:posOffset>
            </wp:positionV>
            <wp:extent cx="6052185" cy="2606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218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3"/>
          <w:szCs w:val="13"/>
          <w:color w:val="auto"/>
        </w:rPr>
        <w:t>Clinical observations made by the Principal Investigator are based on post-treatment assessments, pre-treatment observations, baseline assessments, pre-screening visits and patient’s medical history. Video evidence was also obtained. Subject to change as the trial progresses.</w:t>
      </w:r>
    </w:p>
    <w:p>
      <w:pPr>
        <w:spacing w:after="0" w:line="187"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Further, we observed improvements across multiple efficacy measures as early as four weeks post-treatment, with sustained and new improvements across multiple efficacy measures week 12 (patient one) and week 8 (patient two)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114300</wp:posOffset>
            </wp:positionV>
            <wp:extent cx="6172200" cy="2726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Clinical Development Plan for TSHA-102</w:t>
      </w:r>
    </w:p>
    <w:p>
      <w:pPr>
        <w:spacing w:after="0" w:line="11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completed dosing of the 10 patients in Part A of the REVEAL trials. We believe this maturing dataset continues to support advancement toward the pivotal Part B trial. We are in ongoing discussions with the FDA, including as part of our RMAT designation, with respect to the regulatory pathway for TSHA-102. We expect to report safety and efficacy data from cohort two of each of the REVEAL trials (high dose; n=6) and an update on safety and efficacy data from cohort one of each of the REVEAL trials (low dose; n=4), as well as an update on the anticipated pivotal trial design for TSHA-102, in the first half of 2025.</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10" w:name="page11"/>
    <w:bookmarkEnd w:id="10"/>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completed a CMC-focused Type D with the FDA in the fourth quarter of 2024. The FDA endorsed our intended Good Manufacturing Practice, or GMP, commercial manufacturing process, proposed analytical methods, and corresponding qualification and validation plans, including key mechanism of action potency release assays. We also established analytical comparability between the clinical product and the product derived from the final commercial manufacturing process, and received FDA permission to use the GMP product in future clinical studies of TSHA-102.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Deprioritized Programs</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have previously deprioritized the evaluation of our 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TSHA-118 for CLN1 Disease</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18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8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spacing w:after="0" w:line="174"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18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Clinical trial material has been manufactured and released and is now ready for use in a clinical trial setting. We provided investigational clinical trial material for TSHA-118 in CLN1 to support an individual-patient investigator-initiated IND request from RUSH University Medical Center for the treatment of a patient with CLN1 disease.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TSHA-105 is a gene replacement therapy in development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480"/>
        <w:spacing w:after="0" w:line="282" w:lineRule="auto"/>
        <w:rPr>
          <w:sz w:val="20"/>
          <w:szCs w:val="20"/>
          <w:color w:val="auto"/>
        </w:rPr>
      </w:pPr>
      <w:r>
        <w:rPr>
          <w:rFonts w:ascii="Times New Roman" w:cs="Times New Roman" w:eastAsia="Times New Roman" w:hAnsi="Times New Roman"/>
          <w:sz w:val="18"/>
          <w:szCs w:val="18"/>
          <w:color w:val="auto"/>
        </w:rPr>
        <w:t>SLC13A5 deficiency, and treatment is largely to address symptoms. The estimated prevalence of SLC13A5 deficiency is 1,900 patients in the United States and European Union.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TSHA-105 is constructed from a codon-optimized human SLC13A5 gene packaged in a self-complementary AAV9 capsid.</w:t>
      </w:r>
    </w:p>
    <w:p>
      <w:pPr>
        <w:spacing w:after="0" w:line="225"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color w:val="auto"/>
        </w:rPr>
        <w:t>We have a pipeline of early-stage gene therapy programs targeting CNS diseases that we may progress in the future or advance through potential partnerships.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TSHA-113 for Tauopathies</w:t>
      </w:r>
    </w:p>
    <w:p>
      <w:pPr>
        <w:spacing w:after="0" w:line="11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Alzheimer’s disease affects an estimated 6.2 million Americans and 7.8 million Europeans.</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the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TSHA-106 for Angelman syndrome</w:t>
      </w:r>
    </w:p>
    <w:p>
      <w:pPr>
        <w:spacing w:after="0" w:line="11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 in mice.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an estimated 55,000 patients with Angelman syndrome in the United States and Europe.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TSHA-114 for Fragile X Syndrome</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w:t>
      </w:r>
    </w:p>
    <w:p>
      <w:pPr>
        <w:spacing w:after="0" w:line="18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results from the study support continued development. Ongoing and future work is focused on optimal dose and route of administration determination for IND enabling studies.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an estimated 75,000 patients with Fragile X syndrome in the United States and Europe.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we transferred rights to specific indications back to UT Southwestern.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75"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December 2021 our CTA filing for TSHA-118 for the treatment of CLN1 disease was approved by Health Canada and therefore triggered a regulatory milestone payment in connection with the Abeona CLN1 Agreement. We recorded $3.0 million within research and development expenses in the consolidated statements of operations for the year ended December 31, 2021. The milestone fee was paid in January 2022 and has been classified as an investing outflow in the consolidated statements of cash flows for the year ended December 31, 2022. No additional milestone payments were made or triggered during the years ended December 31, 2023 and 2024.</w:t>
      </w:r>
    </w:p>
    <w:p>
      <w:pPr>
        <w:spacing w:after="0" w:line="183"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consolidated statements of operations for the year ended December 31, 2022. This milestone fee was paid in July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consolidated statements of operations for the year ended December 31, 2023. This milestone fee was paid in August 2023 and has been classified as an investing cash outflow in the consolidated statements of cash flows for the year ended December 31, 2023. No additional milestone payments were made or triggered in connection with this agreement during the years ended December 31, 2023 and 2024.</w:t>
      </w:r>
    </w:p>
    <w:p>
      <w:pPr>
        <w:spacing w:after="0" w:line="192"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Audentes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 Astellas Gene Therapy), or Astellas.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In January 2024, the Company initiated the return of the FDA Investigational New Drug application and transfer of the investigational clinical trial material for TSHA-120 in GAN to NINDS, enabling an opportunity for continued clinical evaluation of TSHA-120 in GAN after the Company discontinued development of TSHA-120 in GAN in September 2023. In January 2024, we gave notice of termination of the GAN License Agreement, and such termination became effective in July 2024 when all licensed rights under the GAN License Agreement reverted to HHF.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160"/>
        <w:spacing w:after="0" w:line="266" w:lineRule="auto"/>
        <w:rPr>
          <w:sz w:val="20"/>
          <w:szCs w:val="20"/>
          <w:color w:val="auto"/>
        </w:rPr>
      </w:pPr>
      <w:r>
        <w:rPr>
          <w:rFonts w:ascii="Times New Roman" w:cs="Times New Roman" w:eastAsia="Times New Roman" w:hAnsi="Times New Roman"/>
          <w:sz w:val="18"/>
          <w:szCs w:val="18"/>
          <w:color w:val="auto"/>
        </w:rPr>
        <w:t>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As of February 24, 2024, we in-license five U.S. patents, 14 foreign patents, 54 pending foreign patent applications and 13 pending United States utility patent applications. Our policy is to file patent applications to protect technology, inventions and improvements to inventions that may be commercially important to the development of our business. Patent applications and patents directed to specific product candidates are summarized below:</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w:t>
      </w:r>
    </w:p>
    <w:p>
      <w:pPr>
        <w:spacing w:after="0" w:line="11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five pending patent applications worldwide directed to a minigene encoding MECP2 packaged into an AAV vector, and methods of using that vector to treat Rett syndrome. Any patents based on these applications, if issued, are expected to expire in 2040, without taking into account any possible patent term adjustment, regulatory extensions, or terminal disclaimers, and assuming payment of all annuity and/or maintenance fees. We also in-license from The Board of Regents of The University of Texas System one issued U.S. patent with claims to an AAV vector comprising a MecP2 transgene and a regulatory region, as well as methods of using the same to treat Rett Syndrome. The issued U.S. Patent will expire on October 27, 2041, assuming all maintenance fees are timely paid.</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also in-license from the University of Edinburgh and the University of Glasgow 10 pending patent applications worldwide directed to MECP2 expression cassettes for gene therapy. Any patents based on these applications, if issued, are expected to expire in 2038, without taking into account any possible patent term adjustment, regulatory extensions, or terminal disclaimers, and assuming payment of all annuity and/or maintenance fees. We also in-license from the University of Edinburgh and the University of Glasgow two Japanese patents, one Australian patent, one Korean patent and one U.S. patent, each with claims to a MECP2 expression cassette and vector comprising the same, as well as their use for treating Rett Syndrome. The Japanese, Australian and Korean patents will expire in 2038 assuming all maintenance fees are timely paid. The U.S. patent expires on October 11, 2040, assuming all maintenance fess are timely paid.</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also in-license from the University of North Carolina at Chapel Hill 10 pending patent applications worldwide directed to feedback-enabled synthetic genes that inhibit MECP2 expression and use of these synthetic genes for treating Rett Syndrome. Any patents based on these applications, if issued, are expected to expire in 2039, without taking into account any possible patent term adjustment, regulatory extensions, or terminal disclaimers, and assuming payment of all annuity and/or maintenance fees. We also in-license from the University of North Carolina at Chapel Hill one Chinese patent with claims to feedback-enabled synthetic genes that inhibit MECP2 expression and use of these synthetic genes for treating Rett Syndrome. This patent will expire in 2039, assuming payment of all annuity and/or maintenance fees.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TSHA-118</w:t>
      </w:r>
    </w:p>
    <w:p>
      <w:pPr>
        <w:spacing w:after="0" w:line="11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in-license certain patent rights directed to a palmitoyl-protein thioesterase 1-encoding transgene packaged into an AAV vector, and methods of using that vector to treat CLN1 disease (one of the forms of Batten disease). Specifically, pursuant to our license agreement with Abeona Therapeutics, Inc. we have in-licensed seven pending patent applications worldwide assigned to Abeona Therapeutics, Inc and University of North Carolina at Chapel Hill. Any patents based on these applications, if issued, are expected to expire in 2040, without taking into account any possible patent term adjustment, regulatory extensions, or terminal disclaimers, and assuming payment of all annuity and/or maintenance fees.</w:t>
      </w:r>
    </w:p>
    <w:p>
      <w:pPr>
        <w:spacing w:after="0" w:line="18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pursuant to the Abeona CLN1 agreement, we have sublicensed five pending patent applications worldwide assigned to the University of North Carolina at Chapel Hill. Any patents based on these patent applications, if issued, are expected to expire in 2037, without taking into account any possible patent term adjustment, regulatory extensions, or terminal disclaimers, and assuming payment of all annuity and/or maintenance fees. We have also licensed one Korean patent, one Israeli patent, one Indian patent and one Australian patent with claims to a CLN1 expression cassettes and vector comprising the same, which will expire in 2038 assuming all maintenance fees are timely paid. We have also licensed one U.S. patent with claims to a CLN1 expression cassettes and vector comprising the same, which will expire on January 12, 2039 assuming all maintenance fees are timely paid.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University of North Carolina at Chapel Hill four pending patent applications worldwide directed to SLC13A5-encoding transgene packaged in an AAV vector and methods of using that vector to treat SLC13A5 deficiency. Any patents based on these applications, if issued, are expected to expire in 2041, without taking into account any possible patent term adjustment, regulatory extensions, or terminal disclaimers, and assuming payment of all annuity and/or maintenance fees.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also in-license from The Board of Regents of The University of Texas System six pending patent applications worldwide directed to SLC13A5-encoding transgene packaged in an AAV vector and methods of using that vector to treat SLC13A5 deficiency. Any patents based on these applications, if issued, are expected to expire in 2042, without taking into account any possible patent term adjustment, regulatory extensions, or terminal disclaimers, and assuming payment of all annuity and/or maintenance fees.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TSHA-106</w:t>
      </w:r>
    </w:p>
    <w:p>
      <w:pPr>
        <w:spacing w:after="0" w:line="11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two pending patent applications worldwide directed to RNA interference (RNAi) constructs targeting UBE3A and methods of using these constructs for the treatment of Angelman Syndrome. Any patents based on these applications, if issued, are expected to expire in 2042, without taking into account any possible patent term adjustment, regulatory extensions, or terminal disclaimers, and assuming payment of all annuity and/or maintenance fees.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also in-license from the University of North Carolina at Chapel Hill 8 pending patent applications worldwide directed to UBE3A-encoding transgene packaged in an AAV vector and methods of using that vector to Angelman Syndrome. Any patents based on these applications, if issued, are expected to expire in 2040, without taking into account any possible patent term adjustment, regulatory extensions, or terminal disclaimers, and assuming payment of all annuity and/or maintenance fees. We have also licensed one Chinese patent and one Japanese patent with claims to UBE3A-encoding transgene packaged in an AAV vector and methods of using that vector to Angelman Syndrome, which will expire in 2040 assuming all maintenance fees are timely paid.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TSHA-113</w:t>
      </w:r>
    </w:p>
    <w:p>
      <w:pPr>
        <w:spacing w:after="0" w:line="11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five pending patent applications worldwide directed to RNA interference (RNAi) constructs targeting MAPT and methods of using these constructs for the treatment of Tauopathies. Any patents based on these applications, if issued, are expected to expire in 2042, without taking into account any possible patent term adjustment, regulatory extensions, or terminal disclaimers, and assuming payment of all annuity and/or maintenance fees.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Fragile X Syndrome</w:t>
      </w:r>
    </w:p>
    <w:p>
      <w:pPr>
        <w:spacing w:after="0" w:line="11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three pending patent application worldwide directed to FMR1-encoding transgene packaged in an AAV vector and methods of using that vector to treat disorders associated with aberrant FMR1 expression (such as Fragile X Syndrome). Any patents based on these applications, if issued, are expected to expire in 2043, without taking into account any possible patent term adjustment, regulatory extensions, or terminal disclaimers, and assuming payment of all annuity and/or maintenance fees.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Adult Polyglucosan Body Disease and LaFora Disease</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one pending U.S. patent application directed to RNA interference (RNAi) constructs targeting GYS1 and methods of using these constructs for the treatment of LaFora Disease and Adult Polyglucosan Body Disease. Any patents based on this application, if issued, is expected to expire in 2042, without taking into account any possible patent term adjustment, regulatory extensions, or terminal disclaimers, and assuming payment of all annuity and/or maintenance fees.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 candidates may be marketed in the United States generally involves the following:</w:t>
      </w:r>
    </w:p>
    <w:p>
      <w:pPr>
        <w:spacing w:after="0" w:line="117" w:lineRule="exact"/>
        <w:rPr>
          <w:sz w:val="20"/>
          <w:szCs w:val="20"/>
          <w:color w:val="auto"/>
        </w:rPr>
      </w:pPr>
    </w:p>
    <w:p>
      <w:pPr>
        <w:ind w:left="1140" w:right="1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good laboratory practice, or GLP, regulations;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biological product candidate for its intended purpose;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a BLA to permit commercial marketing of the product for particular indications for use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or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80"/>
        <w:spacing w:after="0" w:line="258" w:lineRule="auto"/>
        <w:rPr>
          <w:sz w:val="20"/>
          <w:szCs w:val="20"/>
          <w:color w:val="auto"/>
        </w:rPr>
      </w:pPr>
      <w:r>
        <w:rPr>
          <w:rFonts w:ascii="Times New Roman" w:cs="Times New Roman" w:eastAsia="Times New Roman" w:hAnsi="Times New Roman"/>
          <w:sz w:val="18"/>
          <w:szCs w:val="18"/>
          <w:color w:val="auto"/>
        </w:rPr>
        <w:t>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8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For purposes of BLA approval of a product candidate, human clinical trials are typically conducted in three sequential phases that may overlap or be combined:</w:t>
      </w:r>
    </w:p>
    <w:p>
      <w:pPr>
        <w:spacing w:after="0" w:line="54" w:lineRule="exact"/>
        <w:rPr>
          <w:sz w:val="20"/>
          <w:szCs w:val="20"/>
          <w:color w:val="auto"/>
        </w:rPr>
      </w:pPr>
    </w:p>
    <w:p>
      <w:pPr>
        <w:ind w:left="1140" w:right="20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gene therapies, the investigational product is initially introduced into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to evaluate the preliminary efficacy, optimal dosages and dosing schedule and to identify possible adverse side effects and safety risks.</w:t>
      </w:r>
    </w:p>
    <w:p>
      <w:pPr>
        <w:spacing w:after="0" w:line="53"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21"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18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0"/>
        <w:spacing w:after="0" w:line="258" w:lineRule="auto"/>
        <w:rPr>
          <w:sz w:val="20"/>
          <w:szCs w:val="20"/>
          <w:color w:val="auto"/>
        </w:rPr>
      </w:pPr>
      <w:r>
        <w:rPr>
          <w:rFonts w:ascii="Times New Roman" w:cs="Times New Roman" w:eastAsia="Times New Roman" w:hAnsi="Times New Roman"/>
          <w:sz w:val="18"/>
          <w:szCs w:val="18"/>
          <w:color w:val="auto"/>
        </w:rPr>
        <w:t>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 regenerative medicine advanced therapy, or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1" w:name="page22"/>
    <w:bookmarkEnd w:id="21"/>
    <w:p>
      <w:pPr>
        <w:ind w:right="20"/>
        <w:spacing w:after="0" w:line="256" w:lineRule="auto"/>
        <w:rPr>
          <w:sz w:val="20"/>
          <w:szCs w:val="20"/>
          <w:color w:val="auto"/>
        </w:rPr>
      </w:pPr>
      <w:r>
        <w:rPr>
          <w:rFonts w:ascii="Times New Roman" w:cs="Times New Roman" w:eastAsia="Times New Roman" w:hAnsi="Times New Roman"/>
          <w:sz w:val="18"/>
          <w:szCs w:val="18"/>
          <w:color w:val="auto"/>
        </w:rPr>
        <w:t>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December 20, 2024, with the potential for PRVs to be granted until September 30,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3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560"/>
        <w:spacing w:after="0" w:line="282" w:lineRule="auto"/>
        <w:rPr>
          <w:sz w:val="20"/>
          <w:szCs w:val="20"/>
          <w:color w:val="auto"/>
        </w:rPr>
      </w:pPr>
      <w:r>
        <w:rPr>
          <w:rFonts w:ascii="Times New Roman" w:cs="Times New Roman" w:eastAsia="Times New Roman" w:hAnsi="Times New Roman"/>
          <w:sz w:val="18"/>
          <w:szCs w:val="18"/>
          <w:color w:val="auto"/>
        </w:rPr>
        <w:t>circumstances. The FDA does not regulate the behavior of physicians in their choice of treatments. The FDA does, however, restrict manufacturer’s communications on the subject of off-label use of their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litigation. As a result, the ultimate impact of the BPCIA is subject to significant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Regulation of medicinal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European Union</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are subject to significant regulatory controls. In the European Union, clinical trials are governed by the Clinical Trials Regulation (EU) No 536/2014, or CTR, which entered into application on January 31, 2022 repealing and replacing the former Clinical Trials Directive 2001/20, or CTD.</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t>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all cases, clinical trials must be conducted in accordance with GCP and the applicable regulatory requirements and the ethical principles that have their origin in the Declaration of Helsinki. Medicines used in clinical trials, including ATMPs, must be manufactured in accordance with the guidelines on cGMP and in a GMP licensed facility, which can be subject to GMP inspections.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Review and approval process</w:t>
      </w:r>
    </w:p>
    <w:p>
      <w:pPr>
        <w:spacing w:after="0" w:line="11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In the European Union, medicinal products can only be commercialized after a related marketing authorization, or MA, has been granted. To obtain an MA for a product in the European Union, an applicant must submit a Marketing Authorization Application, or MAA, either under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European Union.</w:t>
      </w:r>
    </w:p>
    <w:p>
      <w:pPr>
        <w:spacing w:after="0" w:line="183"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throughout the EEA (which is comprised of the 27 EU Member States plus Norway, Iceland and Liechtenstein).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or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240"/>
        <w:spacing w:after="0" w:line="261" w:lineRule="auto"/>
        <w:rPr>
          <w:sz w:val="20"/>
          <w:szCs w:val="20"/>
          <w:color w:val="auto"/>
        </w:rPr>
      </w:pPr>
      <w:r>
        <w:rPr>
          <w:rFonts w:ascii="Times New Roman" w:cs="Times New Roman" w:eastAsia="Times New Roman" w:hAnsi="Times New Roman"/>
          <w:sz w:val="18"/>
          <w:szCs w:val="18"/>
          <w:color w:val="auto"/>
        </w:rPr>
        <w:t>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European Union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European Union,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Therapy Medicinal Products in the European Union</w:t>
      </w:r>
    </w:p>
    <w:p>
      <w:pPr>
        <w:spacing w:after="0" w:line="11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Advanced Therapy Medicinal Products, or ATMPs, include gene therapy products as well as somatic cell therapy products and tissue engineered products. The grant of marketing authorization in the European Union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The European Commission grants or refuses marketing authorization in light of the opinion delivered by the EMA.</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Products made from substances of human origin must also comply with Regulation (EU) 2024/1938 on standards of quality and safety for substances of human origin intended for human application. This Regulation describes the conditions and quality requirements which must be applied when sourcing the substances of human origin intended for manufacturing of such medicinal products and removed divergences between EU Member States that were present under the (now repealed) Directive (EC) No. 2004/23.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the European Union, Regulation (EC) No 1901/2006 provides that all MAAs for new medicinal products have to include the results of trials conducted in the pediatric population, in compliance with a pediatric investigation plan, or PIP, agreed with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Regulation in the European Union</w:t>
      </w:r>
    </w:p>
    <w:p>
      <w:pPr>
        <w:spacing w:after="0" w:line="11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manufacturing and placing on the EU market of medicinal products. The manufacturing of medicinal products in the European Union requires a manufacturing authorization and import of medicinal products into the European Union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European Union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The European Union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European Union until 10 years have elapsed from the initial MA of the reference product in the European Union.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chemical/biological entity, and products may not qualify for data exclusivity.</w:t>
      </w:r>
    </w:p>
    <w:p>
      <w:pPr>
        <w:spacing w:after="0" w:line="194" w:lineRule="exact"/>
        <w:rPr>
          <w:sz w:val="20"/>
          <w:szCs w:val="20"/>
          <w:color w:val="auto"/>
        </w:rPr>
      </w:pPr>
    </w:p>
    <w:p>
      <w:pPr>
        <w:ind w:right="20" w:firstLine="849"/>
        <w:spacing w:after="0" w:line="261" w:lineRule="auto"/>
        <w:rPr>
          <w:sz w:val="20"/>
          <w:szCs w:val="20"/>
          <w:color w:val="auto"/>
        </w:rPr>
      </w:pPr>
      <w:r>
        <w:rPr>
          <w:rFonts w:ascii="Times New Roman" w:cs="Times New Roman" w:eastAsia="Times New Roman" w:hAnsi="Times New Roman"/>
          <w:sz w:val="18"/>
          <w:szCs w:val="18"/>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in the European Union</w:t>
      </w:r>
    </w:p>
    <w:p>
      <w:pPr>
        <w:spacing w:after="0" w:line="119" w:lineRule="exact"/>
        <w:rPr>
          <w:sz w:val="20"/>
          <w:szCs w:val="20"/>
          <w:color w:val="auto"/>
        </w:rPr>
      </w:pPr>
    </w:p>
    <w:p>
      <w:pPr>
        <w:ind w:right="160" w:firstLine="849"/>
        <w:spacing w:after="0" w:line="255" w:lineRule="auto"/>
        <w:rPr>
          <w:sz w:val="20"/>
          <w:szCs w:val="20"/>
          <w:color w:val="auto"/>
        </w:rPr>
      </w:pPr>
      <w:r>
        <w:rPr>
          <w:rFonts w:ascii="Times New Roman" w:cs="Times New Roman" w:eastAsia="Times New Roman" w:hAnsi="Times New Roman"/>
          <w:sz w:val="18"/>
          <w:szCs w:val="18"/>
          <w:color w:val="auto"/>
        </w:rPr>
        <w:t>In the European Union,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w:t>
      </w:r>
    </w:p>
    <w:p>
      <w:pPr>
        <w:spacing w:after="0" w:line="18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Post-authorization Requirements</w:t>
      </w:r>
    </w:p>
    <w:p>
      <w:pPr>
        <w:spacing w:after="0" w:line="11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European Union,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European Union, the advertising and promotion of medicinal products are subject to both European Union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European Union.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t>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or CMS, information related to payments or other transfers of value made to physicians (currently defined to include doctors, dentists, optometrists, podiatrists and chiropractors), other health 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and foreign laws which require pharmaceutical companies to comply with the pharmaceutical industry’s voluntary compliance guidelines and the relevant compliance guidance promulgated by the government, state, local and foreign laws which require pharmaceutical companies to report information related to payments and other transfers of value to physicians and other healthcare providers or marketing expenditures, state and foreign laws which require the reporting of information related to drug pricing, state, local and foreign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8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study that compares the cost effectiveness of any product candidates we may develop to other available therapies. The conduct of such a clinical study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This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on August 16, 2022, the Inflation Reduction Act of 2022, or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second Trump administration will impact the ACA and our business.</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2032 unless additional action is taken by Congress.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IRA, among other things, (i) directs the U.S. Department of Health and Human Services, or HHS, to negotiate the price of certain high-expenditure, single-source biologics that have been on the market for at least 11 years covered under Medicare, or the Medicare Drug Price Negotiation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3" w:lineRule="exact"/>
        <w:rPr>
          <w:sz w:val="20"/>
          <w:szCs w:val="20"/>
          <w:color w:val="auto"/>
        </w:rPr>
      </w:pPr>
    </w:p>
    <w:p>
      <w:pPr>
        <w:jc w:val="both"/>
        <w:ind w:right="260" w:firstLine="794"/>
        <w:spacing w:after="0" w:line="261"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Regulation, was adopted. The HTA Regulation is intended to boost cooperation among EU Member States in assessing health technologies, including new medicinal products, and providing the basis for cooperation at EU level for joint clinical assessments in these areas. The HTA Regulation entered into application on January 12, 2025 through a phased implementation and is intended to harmonize the clinical benefit assessment of HTA across the European Union.</w:t>
      </w:r>
    </w:p>
    <w:p>
      <w:pPr>
        <w:spacing w:after="0" w:line="180"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Additional state, federal and foreign healthcare reform measures may be adopted in the future. At the state level, legislatures have increasingly passed legislation and implemented regulations designed to control pharmaceutical product pricing, including price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right="320"/>
        <w:spacing w:after="0" w:line="282" w:lineRule="auto"/>
        <w:rPr>
          <w:sz w:val="20"/>
          <w:szCs w:val="20"/>
          <w:color w:val="auto"/>
        </w:rPr>
      </w:pPr>
      <w:r>
        <w:rPr>
          <w:rFonts w:ascii="Times New Roman" w:cs="Times New Roman" w:eastAsia="Times New Roman" w:hAnsi="Times New Roman"/>
          <w:sz w:val="18"/>
          <w:szCs w:val="18"/>
          <w:color w:val="auto"/>
        </w:rPr>
        <w:t>or patient reimbursement constraints, discounts, restrictions on certain product access and marketing cost disclosure and transparency measures, and, in some cases, designed to encourage importation from other countries and bulk purchasing.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process personal or sensitive data. Accordingly, we are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Telephone Consumer Protection Act of 1991, the Controlling the Assault of Non-Solicited Pornography And Marketing Act of 2003, the California Consumer Privacy Act of 2018, or the CCPA, the Canadian Personal Information Protection and Electronic Documents Act, Canada’s Anti-Spam Legislation, the European Union’s General Data Protection Regulation 2016/679, or the EU GDPR, the EU GDPR as it forms part of UK law by virtue of section 3 of the European Union (Withdrawal) Act 2018, or the UK GDPR, and the ePrivacy Directive. Several states within the United States have enacted or proposed data privacy laws.</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w:t>
      </w:r>
    </w:p>
    <w:p>
      <w:pPr>
        <w:spacing w:after="0" w:line="18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General Risks” for additional information about the laws and regulations to which we may become subject and about the risks to our business associated with such laws and regulation.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340" w:firstLine="636"/>
        <w:spacing w:after="0" w:line="282" w:lineRule="auto"/>
        <w:rPr>
          <w:sz w:val="20"/>
          <w:szCs w:val="20"/>
          <w:color w:val="auto"/>
        </w:rPr>
      </w:pPr>
      <w:r>
        <w:rPr>
          <w:rFonts w:ascii="Times New Roman" w:cs="Times New Roman" w:eastAsia="Times New Roman" w:hAnsi="Times New Roman"/>
          <w:sz w:val="18"/>
          <w:szCs w:val="18"/>
          <w:color w:val="auto"/>
        </w:rPr>
        <w:t>Our human capital is integral to helping us achieve our mission of eradicating monogenic diseases of the CNS. We have built a culture of high performance based on our core values:</w:t>
      </w:r>
    </w:p>
    <w:p>
      <w:pPr>
        <w:spacing w:after="0" w:line="54"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cutting-edge technologies and medicines;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ally to the rare disease community;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Uncovering never-before-seen scientific discoveries;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true sense for the term “partnership”;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uncharted territory.</w:t>
      </w:r>
    </w:p>
    <w:p>
      <w:pPr>
        <w:spacing w:after="0" w:line="22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6" w:lineRule="exact"/>
        <w:rPr>
          <w:sz w:val="20"/>
          <w:szCs w:val="20"/>
          <w:color w:val="auto"/>
        </w:rPr>
      </w:pPr>
    </w:p>
    <w:p>
      <w:pPr>
        <w:jc w:val="both"/>
        <w:ind w:right="100" w:firstLine="749"/>
        <w:spacing w:after="0" w:line="312" w:lineRule="auto"/>
        <w:rPr>
          <w:sz w:val="20"/>
          <w:szCs w:val="20"/>
          <w:color w:val="auto"/>
        </w:rPr>
      </w:pPr>
      <w:r>
        <w:rPr>
          <w:rFonts w:ascii="Times New Roman" w:cs="Times New Roman" w:eastAsia="Times New Roman" w:hAnsi="Times New Roman"/>
          <w:sz w:val="17"/>
          <w:szCs w:val="17"/>
          <w:color w:val="auto"/>
        </w:rPr>
        <w:t>As of December 31, 2024, we had 73 employees, all of whom were full-time. All of our employees are located in the United States. None of our employees are represented by a labor union or covered by a collective bargaining agreement. We consider our relationship with our employees to be good.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Texas in September 2019. In February 2020, we converted to a Delaware corporation. Our principal executive offices are located at 3000 Pegasus Park Drive Ste 1430, Dallas, Texas 75247 and our telephone number is (214) 612-0000.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0"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4" w:lineRule="exact"/>
        <w:rPr>
          <w:sz w:val="20"/>
          <w:szCs w:val="20"/>
          <w:color w:val="auto"/>
        </w:rPr>
      </w:pPr>
    </w:p>
    <w:p>
      <w:pPr>
        <w:ind w:left="1140" w:right="3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3"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jc w:val="both"/>
        <w:ind w:left="1140" w:right="60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novel gene therapy product candidates, which makes it difficult to predict the time, cost and potential success of product candidate development.</w:t>
      </w:r>
    </w:p>
    <w:p>
      <w:pPr>
        <w:spacing w:after="0" w:line="53"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the European Commission and comparable foreign authorities are lengthy, time consuming and inherently unpredictable. If we are not able to obtain required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completed testing of any product candidates in clinical trials. Success in preclinical studies or earlier clinical trials may not be indicative of results in future clinical trials.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or our next-generation platform technologies.</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3"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67"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1" w:lineRule="exact"/>
        <w:rPr>
          <w:rFonts w:ascii="Times New Roman" w:cs="Times New Roman" w:eastAsia="Times New Roman" w:hAnsi="Times New Roman"/>
          <w:sz w:val="18"/>
          <w:szCs w:val="18"/>
          <w:color w:val="auto"/>
        </w:rPr>
      </w:pPr>
    </w:p>
    <w:p>
      <w:pPr>
        <w:ind w:left="1140" w:right="38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ind w:left="1140" w:right="20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from time to time which seek material damages.</w:t>
      </w:r>
    </w:p>
    <w:p>
      <w:pPr>
        <w:spacing w:after="0" w:line="117"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loan agreement contains restrictions that potentially limit our flexibility in operating our business, and we may be required to make a prepayment or repay our outstanding indebtedness earlier than we expect.</w:t>
      </w:r>
    </w:p>
    <w:p>
      <w:pPr>
        <w:spacing w:after="0" w:line="53"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Our net losses were $89.3 million and $111.6 million for the years ended December 31, 2024 and 2023, respectively. As of December 31, 2024, we had an accumulated deficit of $602.3 million. We have financed our operations with $671.0 million in gross proceeds from equity financings, including from pre-IPO private placements of convertible preferred stock, our initial public offering, or the IPO, and subsequent sales of common stock in public and private securities offerings, from our previous loan agreement with Silicon Valley Bank and our current loan agreement with Trinity Capital and from the option agreement dated October 21, 2022, or the Option Agreement, with Audentes Therapeutics, Inc. (d/b/a Astellas Gene Therapy), or Astellas, and the securities purchase agreement dated October 21, 2022, or the Securities Purchase Agreement (and together with the Option Agreement, the Astellas Transactions), with Astellas. We have no products approved for commercialization and have never generated any revenue from product sales.</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8"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In 2023, we generated revenue from the Astellas Transactions; however, 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8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primarily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$139.0 million. We believe that our existing cash and cash equivalents will be sufficient to fund our operating expenses and capital requirements into the fourth quarter of 2026.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75" w:lineRule="exact"/>
        <w:rPr>
          <w:sz w:val="20"/>
          <w:szCs w:val="20"/>
          <w:color w:val="auto"/>
        </w:rPr>
      </w:pPr>
    </w:p>
    <w:p>
      <w:pPr>
        <w:ind w:left="1140" w:right="3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Trinity Capital;</w:t>
      </w:r>
    </w:p>
    <w:p>
      <w:pPr>
        <w:spacing w:after="0" w:line="53"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5" w:name="page36"/>
    <w:bookmarkEnd w:id="35"/>
    <w:p>
      <w:pPr>
        <w:ind w:left="1140" w:right="60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94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including to conduct our ongoing and planned clinical trials of our product candidates.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including fluctuations in inflation rates and concerns of a recession in the United States or other major markets, potential tariffs and disruptions to and volatility in the credit and financial markets in the United States and worldwide. Weakness and volatility in the capital markets and the economy in general could also increase our costs of borrowing. If we are unable to raise sufficient additional capital, we could be forced to curtail our planned operations and the pursuit of our growth strategy.</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contains restrictions that potentially limit our flexibility in operating our business. In addition, we may be required to make a prepayment or repay our outstanding indebtedness earlier than we expect under our Trinity Term Loan Agreement if we are unable to satisfy certain conditions.</w:t>
      </w:r>
    </w:p>
    <w:p>
      <w:pPr>
        <w:spacing w:after="0" w:line="6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November 13, 2023, we entered into a Loan and Security Agreement, or the Trinity Term Loan Agreement, with the lenders party thereto from time to time, or the Trinity Lenders, and Trinity Capital Inc., as administrative agent and collateral agent for the Trinity Lenders, or Trinity, which provides for term loans of up to $40.0 million in the aggregate available in a single tranche. The Trinity Term Loan Agreement contains various covenants that limit our ability to engage in specified types of transactions. These covenants limit our ability to, among other things:</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3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Trinity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Trinity Term Loan Agreement. In the case of a continuing event of default under the Trinity Term Loan Agreement, the Trinity Lenders could elect to declare all amounts outstanding to be immediately due and payable, proceed against the collateral in which we granted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right="320"/>
        <w:spacing w:after="0" w:line="282" w:lineRule="auto"/>
        <w:rPr>
          <w:sz w:val="20"/>
          <w:szCs w:val="20"/>
          <w:color w:val="auto"/>
        </w:rPr>
      </w:pPr>
      <w:r>
        <w:rPr>
          <w:rFonts w:ascii="Times New Roman" w:cs="Times New Roman" w:eastAsia="Times New Roman" w:hAnsi="Times New Roman"/>
          <w:sz w:val="18"/>
          <w:szCs w:val="18"/>
          <w:color w:val="auto"/>
        </w:rPr>
        <w:t>Trinity Lenders a security interest under the Trinity Term Loan Agreement, or otherwise exercise the rights of a secured creditor. Amounts outstanding under the Trinity Term Loan Agreement are secured by all of our existing and future assets, including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closing, we drew the full $40.0 million.</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grant others rights to develop and market product candidates that we would otherwise prefer to develop and market ourselves. Our business, financial condition, and results of operations could be materially adversely affected as a result.</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potential tariffs and other concerns regarding international trade relations, political turmoil, natural catastrophes, outbreaks of contagious diseases, warfare and terrorist attacks on the United States, Europe, the Asia Pacific region or elsewhere, such as the conflict in the Middle East,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is currently our lead product candidate and there is no guarantee that we will be able to successfully develop and commercialize TSHA-102.</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currently focused on the potential development of our lead product candidate, TSHA-102. We are still developing TSHA-102 and it cannot be marketed or sold in the United States or in foreign markets until regulatory approval has been obtained from the FDA or applicable foreign regulatory agencies.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7" w:name="page38"/>
    <w:bookmarkEnd w:id="37"/>
    <w:p>
      <w:pPr>
        <w:ind w:right="160"/>
        <w:spacing w:after="0" w:line="261" w:lineRule="auto"/>
        <w:rPr>
          <w:sz w:val="20"/>
          <w:szCs w:val="20"/>
          <w:color w:val="auto"/>
        </w:rPr>
      </w:pPr>
      <w:r>
        <w:rPr>
          <w:rFonts w:ascii="Times New Roman" w:cs="Times New Roman" w:eastAsia="Times New Roman" w:hAnsi="Times New Roman"/>
          <w:sz w:val="18"/>
          <w:szCs w:val="18"/>
          <w:color w:val="auto"/>
        </w:rPr>
        <w:t>TSHA-102 or that TSHA-102 will achieve market acceptance sufficient to generate profits. If we are unable to successfully develop 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 as TSHA-102 is currently our sole product candidate in clinical development.</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All of our product candidates are still in clinical or preclinical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TSHA-102 or any other product candidates that we develop or otherwise may acquire will depend on several factors, including:</w:t>
      </w:r>
    </w:p>
    <w:p>
      <w:pPr>
        <w:spacing w:after="0" w:line="68" w:lineRule="exact"/>
        <w:rPr>
          <w:sz w:val="20"/>
          <w:szCs w:val="20"/>
          <w:color w:val="auto"/>
        </w:rPr>
      </w:pPr>
    </w:p>
    <w:p>
      <w:pPr>
        <w:ind w:left="1140" w:right="1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from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and comparable foreign regulatory authorities’ current good clinical practices, or GCPs, and current Good Laboratory Practices;</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TSHA-102 or any other product candidates;</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TSHA-102 or any other product candidates we develop on a commercial scale;</w:t>
      </w:r>
    </w:p>
    <w:p>
      <w:pPr>
        <w:spacing w:after="0" w:line="11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 and complying effectively with other procedures;</w:t>
      </w:r>
    </w:p>
    <w:p>
      <w:pPr>
        <w:spacing w:after="0" w:line="117"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5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the European Union or other European countries and no gene transfer therapy products that utilize an intrathecal method of administration have been approved. There have been a limited number of clinical trials of gene transduction technologies.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Similar considerations apply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legislation and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9" w:name="page40"/>
    <w:bookmarkEnd w:id="39"/>
    <w:p>
      <w:pPr>
        <w:ind w:firstLine="749"/>
        <w:spacing w:after="0" w:line="252"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the European Union, and other regulatory authorities to revise the requirements for approval of any product candidates we may develop or limit the use of products utilizing gene regulation technologies, either of which could harm our business. In addition, the clinical trial requirements of the FDA, the European Union, national competent authorities of EU Member States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the European Commission or other regulatory authorities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the European Commission or other regulatory authorities. Regulatory authorities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authority may not be indicative of what other regulatory authorities may require for approval.</w:t>
      </w:r>
    </w:p>
    <w:p>
      <w:pPr>
        <w:spacing w:after="0" w:line="195"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and regulatory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TSHA-102 for the treatment of Rett syndrome, where the very small patient population makes it difficult or impossible to conduct two traditional, adequate and well-controlled studies, and therefore the FDA or comparable foreign regulatory authorities are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66"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 including our natural history studies;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and positive Ethics Committee opinions at each trial site;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 requirements,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225"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4" w:lineRule="exact"/>
        <w:rPr>
          <w:sz w:val="20"/>
          <w:szCs w:val="20"/>
          <w:color w:val="auto"/>
        </w:rPr>
      </w:pPr>
    </w:p>
    <w:p>
      <w:pPr>
        <w:ind w:left="1140" w:right="40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40" w:right="420" w:hanging="383"/>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ind w:left="1140" w:right="4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Strategies, or REMS, or comparable foreign strategies;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the Data Safety Monitoring Board for such trial or by the FDA, the competent authorities of EU Member States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competent authorities of EU Member States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European Commission and comparable foreign authorities are lengthy, time consuming and inherently unpredictable. If we are not able to obtain required regulatory approval for our product candidates, our business will be substantially harmed.</w:t>
      </w:r>
    </w:p>
    <w:p>
      <w:pPr>
        <w:spacing w:after="0" w:line="13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European Commission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auto"/>
        </w:rPr>
        <w:t>nor any current or future collaborator is permitted to market any drug product candidates in the United States until we receive regulatory approval of a BLA from the FDA, and we cannot market it in the European Union until we receive approval for a MAA from the European Commission,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authorities,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or comparable foreign regulatory authorities may also require us to conduct additional preclinical studies or clinical trials for our product candidates either prior to or after approval, or it may object to elements of our clinical development programs.</w:t>
      </w:r>
    </w:p>
    <w:p>
      <w:pPr>
        <w:spacing w:after="0" w:line="18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TSHA-102 and any future product candidates in a timely manner.</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TSHA-102 or any future product candidates, the FDA, European Commission or the applicable foreign regulatory authority may grant approval or other marketing authorization contingent on the performance of costly additional clinical trials, including post-marketing clinical trials. The FDA, European Commission or the applicable foreign regulatory authority also may approve or authorize for marketing a product candidate for a more limited indication or patient population than we originally request, and the FDA, European Commission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the FDA, EU and related regulatory authorities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may not be indicative of results in future clinical trials.</w:t>
      </w:r>
    </w:p>
    <w:p>
      <w:pPr>
        <w:spacing w:after="0" w:line="51" w:lineRule="exact"/>
        <w:rPr>
          <w:sz w:val="20"/>
          <w:szCs w:val="20"/>
          <w:color w:val="auto"/>
        </w:rPr>
      </w:pPr>
    </w:p>
    <w:p>
      <w:pPr>
        <w:jc w:val="both"/>
        <w:ind w:right="140" w:firstLine="749"/>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Our Phase 1/2 clinical trials of TSHA-102 involve small patient populations.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88"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June 2024, we announced initial clinical data from the first two pediatric patients and interim clinical data from the first two adult patients treated in the Phase 1/2 REVEAL trials of TSHA-102. However, those observations may not endure or be repeated in subsequently dosed patients or any age or disease severity, including patients receiving higher doses of TSHA-102 in either the adolescent/adult or pediatric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top-line data that we report differ from actual results, or if others, including regulatory authorities, disagree with the conclusions reached, our ability to obtain approval for and commercialize any of our product candidates, our business, operating results, prospects or financial condition may be harmed.</w:t>
      </w:r>
    </w:p>
    <w:p>
      <w:pPr>
        <w:spacing w:after="0" w:line="2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6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Further, the patients evaluated in our clinical trials are often seriously ill. Any side effects or patient deaths could affect the development of our product candidates, even if deemed to not be drug related.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189"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DRG. If our vectors demonstrate a similar effect in other programs, we may decide or be required to perform additional preclinical studies or to halt or delay further clinical development of our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comparable foreign regulatory authorities, or an IRB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62" w:lineRule="exact"/>
        <w:rPr>
          <w:sz w:val="20"/>
          <w:szCs w:val="20"/>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vary or suspend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 or comparable foreign strategies;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authority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conducted pivotal clinical trials, and may be unable to do so for any product candidates we may develop, including TSHA-102</w:t>
      </w:r>
      <w:r>
        <w:rPr>
          <w:rFonts w:ascii="Times New Roman" w:cs="Times New Roman" w:eastAsia="Times New Roman" w:hAnsi="Times New Roman"/>
          <w:sz w:val="18"/>
          <w:szCs w:val="18"/>
          <w:color w:val="0F4761"/>
        </w:rPr>
        <w:t>.</w:t>
      </w:r>
    </w:p>
    <w:p>
      <w:pPr>
        <w:spacing w:after="0" w:line="5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and comparable foreign regulatory approval to market our product candidates. Carrying out later-stage clinical trials and the submission of a successful BLA and comparable foreign application is a complicated process. As an organization, we have initiated Phase 1/2 clinical trials, have not previously conducted any later stage or pivotal clinical trials, but have limited experience in preparing, submitting and prosecuting regulatory filings and have not previously submitted a BLA or comparable foreign application for any product candidate. In addition, we have had limited interactions with the FDA and comparable foreign regulatory authorities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or comparable foreign application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6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the estimated addressable patient population with typical Rett syndrome caused by a pathogenic/likely pathogenic MECP2 mutation is between 15,000 and 20,000 patients in the United States, European Union and United Kingdom,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92"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2"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AAV9-based gene therapy approaches and intrathecal delivery systems;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public health crises, such as pandemics or similar outbreaks, including difficulties in initiating clinical sites, enrolling and retaining participants, diversion of healthcare resources away from clinical trials, travel or quarantine policies that may be implemented, and other factors;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in our clinical trials.</w:t>
      </w:r>
    </w:p>
    <w:p>
      <w:pPr>
        <w:spacing w:after="0" w:line="26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6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6" w:name="page47"/>
    <w:bookmarkEnd w:id="46"/>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18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In the European Union,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w:t>
      </w:r>
    </w:p>
    <w:p>
      <w:pPr>
        <w:spacing w:after="0" w:line="18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 Orphan medicinal product designation does not convey any advantage in, or shorten the duration of, the regulatory review and approval process. We have obtained orphan drug designation from the FDA for TSHA-102 for the treatment of Rett syndrome and TSHA-105 for the treatment of SLC13A5 deficiency. In addition, TSHA-118 has received orphan drug designation for the treatment of CLN1 disease from the FDA and EMA.</w:t>
      </w:r>
    </w:p>
    <w:p>
      <w:pPr>
        <w:spacing w:after="0" w:line="19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TSHA-102 for the treatment of Rett syndrome. However, a marketing application for TSHA-102, if approved, may not meet the eligibility criteria for a PRV or the rare pediatric disease designation program may sunset before FDA is able to consider us for a voucher.</w:t>
      </w:r>
    </w:p>
    <w:p>
      <w:pPr>
        <w:spacing w:after="0" w:line="6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have received rare pediatric disease designation for TSHA-102 for the treatment of Rett syndrome.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20"/>
        <w:spacing w:after="0" w:line="282" w:lineRule="auto"/>
        <w:rPr>
          <w:sz w:val="20"/>
          <w:szCs w:val="20"/>
          <w:color w:val="auto"/>
        </w:rPr>
      </w:pPr>
      <w:r>
        <w:rPr>
          <w:rFonts w:ascii="Times New Roman" w:cs="Times New Roman" w:eastAsia="Times New Roman" w:hAnsi="Times New Roman"/>
          <w:sz w:val="18"/>
          <w:szCs w:val="18"/>
          <w:color w:val="auto"/>
        </w:rPr>
        <w:t>pediatric disease PRV in our original BLA for TSHA-102, and any other candidates for which we submit a marketing application. The FDA may determine that such BLA, if approved, does not meet the eligibility criteria for a PRV, including for the following reasons:</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Rett syndrome no longer meets the definition of a rare pediatric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not deemed eligible for priority review;</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approved for a different adult indication than the rare pediatric disease for which TSHA-102 is designated.</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authority for the FDA to award rare pediatric disease PRVs for drugs that have received rare pediatric disease designation currently expires on September 30, 2026. Absent any extension through federal legislation, if the BLA for TSHA-102 is not approved prior to September 30, 2026 for any reason, regardless of whether it meets the criteria for a rare pediatric disease PRV, it will not be eligible for a PRVs.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TSHA-102 (Rett syndrome). As a result, we may forego or delay pursuit of opportunities with other product candidates, including TSHA-101 (GM2 gangliosidosis), TSHA-103 (SLC6A1), TSHA-105 (SLC13A5 deficiency), TSHA-118 (CLN1 disease), and TSHA-121 (CLN7) or for other indications for these product candidates that later prove to have greater commercial potential. Our resource allocation decisions, for example, our strategic prioritization in March 2022,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our Phase 1/2 adolescent and adult trial of TSHA-102 in Canada and our Phase 1/2 pediatric trial of TSHA-102 in the United Kingdom and Canada and plan to conduct in the future additional clinical trials for our product candidates outside the United States, and the FDA and similar foreign regulatory authorities may not accept data from such trials.</w:t>
      </w:r>
    </w:p>
    <w:p>
      <w:pPr>
        <w:spacing w:after="0" w:line="6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conducting our Phase 1/2 adolescent and adult clinical trial of TSHA-102 in Canada and our Phase 1/2 pediatric clinical trial of TSHA-102 in the United Kingdom and Canada and may in the future choose to conduct additional clinical trials outside the United States, including in the United Kingdom, European Union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Our business model is centered on developing therapies for patients with rare, monogenic central nervous system, or CNS, disorders by establishing focused selection criteria to select, develop and advance product candidates that we believe will have a high probability of technical and regulatory success through development into commercialization. We may not be able to continue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20"/>
        <w:spacing w:after="0" w:line="256" w:lineRule="auto"/>
        <w:rPr>
          <w:sz w:val="20"/>
          <w:szCs w:val="20"/>
          <w:color w:val="auto"/>
        </w:rPr>
      </w:pPr>
      <w:r>
        <w:rPr>
          <w:rFonts w:ascii="Times New Roman" w:cs="Times New Roman" w:eastAsia="Times New Roman" w:hAnsi="Times New Roman"/>
          <w:sz w:val="18"/>
          <w:szCs w:val="18"/>
          <w:color w:val="auto"/>
        </w:rPr>
        <w:t>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5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IND/CTA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7" w:lineRule="exact"/>
        <w:rPr>
          <w:sz w:val="20"/>
          <w:szCs w:val="20"/>
          <w:color w:val="auto"/>
        </w:rPr>
      </w:pPr>
    </w:p>
    <w:p>
      <w:pPr>
        <w:ind w:right="20" w:firstLine="849"/>
        <w:spacing w:after="0" w:line="261" w:lineRule="auto"/>
        <w:rPr>
          <w:sz w:val="20"/>
          <w:szCs w:val="20"/>
          <w:color w:val="auto"/>
        </w:rPr>
      </w:pPr>
      <w:r>
        <w:rPr>
          <w:rFonts w:ascii="Times New Roman" w:cs="Times New Roman" w:eastAsia="Times New Roman" w:hAnsi="Times New Roman"/>
          <w:sz w:val="18"/>
          <w:szCs w:val="18"/>
          <w:color w:val="231F20"/>
        </w:rPr>
        <w:t>The United Kingdom’s, withdrawal from the European Union on January 31, 2020, commonly referred to as Brexit, has changed the regulatory relationship between the United Kingdom and the European Union. The Medicines and Healthcare products Regulatory Agency, or MHRA, is now the United Kingdom’s standalone regulator for medicinal products and medical devices. Great Britain (England, Scotland and Wales) is now a third country to the European Union. Northern Ireland will, with regard to EU regulations, continue to follow the EU regulatory rules for now.</w:t>
      </w:r>
    </w:p>
    <w:p>
      <w:pPr>
        <w:spacing w:after="0" w:line="180" w:lineRule="exact"/>
        <w:rPr>
          <w:sz w:val="20"/>
          <w:szCs w:val="20"/>
          <w:color w:val="auto"/>
        </w:rPr>
      </w:pPr>
    </w:p>
    <w:p>
      <w:pPr>
        <w:ind w:right="140" w:firstLine="849"/>
        <w:spacing w:after="0" w:line="255" w:lineRule="auto"/>
        <w:rPr>
          <w:sz w:val="20"/>
          <w:szCs w:val="20"/>
          <w:color w:val="auto"/>
        </w:rPr>
      </w:pPr>
      <w:r>
        <w:rPr>
          <w:rFonts w:ascii="Times New Roman" w:cs="Times New Roman" w:eastAsia="Times New Roman" w:hAnsi="Times New Roman"/>
          <w:sz w:val="18"/>
          <w:szCs w:val="18"/>
          <w:color w:val="auto"/>
        </w:rPr>
        <w:t xml:space="preserve">The UK regulatory framework in relation to clinical trials is governed by the </w:t>
      </w:r>
      <w:r>
        <w:rPr>
          <w:rFonts w:ascii="Times New Roman" w:cs="Times New Roman" w:eastAsia="Times New Roman" w:hAnsi="Times New Roman"/>
          <w:sz w:val="18"/>
          <w:szCs w:val="18"/>
          <w:color w:val="040C28"/>
        </w:rPr>
        <w:t>Medicines for Human Use (Clinical Trials) Regulations 2004,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0C28"/>
        </w:rPr>
        <w:t xml:space="preserve">amended, which is </w:t>
      </w:r>
      <w:r>
        <w:rPr>
          <w:rFonts w:ascii="Times New Roman" w:cs="Times New Roman" w:eastAsia="Times New Roman" w:hAnsi="Times New Roman"/>
          <w:sz w:val="18"/>
          <w:szCs w:val="18"/>
          <w:color w:val="000000"/>
        </w:rPr>
        <w:t>derived from the CTD, as implemented into the UK national law through secondary legislation. On January 17, 2022, the MHRA</w:t>
      </w:r>
      <w:r>
        <w:rPr>
          <w:rFonts w:ascii="Times New Roman" w:cs="Times New Roman" w:eastAsia="Times New Roman" w:hAnsi="Times New Roman"/>
          <w:sz w:val="18"/>
          <w:szCs w:val="18"/>
          <w:color w:val="040C28"/>
        </w:rPr>
        <w:t xml:space="preserve"> </w:t>
      </w:r>
      <w:r>
        <w:rPr>
          <w:rFonts w:ascii="Times New Roman" w:cs="Times New Roman" w:eastAsia="Times New Roman" w:hAnsi="Times New Roman"/>
          <w:sz w:val="18"/>
          <w:szCs w:val="18"/>
          <w:color w:val="000000"/>
        </w:rPr>
        <w:t>launched an eight-week consultation on reframing the UK legislation for clinical trials. The UK Government published its response to the consultation on March 21, 2023 confirming that it would bring forward changes to the legislation. These resulting legislative amendments will, if implemented in their current form, bring the UK into closer alignment with the CTR.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89" w:lineRule="exact"/>
        <w:rPr>
          <w:sz w:val="20"/>
          <w:szCs w:val="20"/>
          <w:color w:val="auto"/>
        </w:rPr>
      </w:pPr>
    </w:p>
    <w:p>
      <w:pPr>
        <w:ind w:right="100" w:firstLine="849"/>
        <w:spacing w:after="0" w:line="256" w:lineRule="auto"/>
        <w:rPr>
          <w:sz w:val="20"/>
          <w:szCs w:val="20"/>
          <w:color w:val="auto"/>
        </w:rPr>
      </w:pP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000000"/>
        </w:rPr>
        <w:t>ll existing EU marketing authorizations for centrally authorized products were automatically converted or grandfathered into UK marketing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authorizations, effective in the United Kingdom only, free of charge on January 1, 2021, unless the marketing authorization holder opted-out of this possibility. Northern Ireland remained within the scope of EU authorizations in relation to centrally authorized medicinal products until January 1, 2025. However, on January 1, 2025, a new arrangement as part of the so-called “Windsor Framework” came into effect and reintegrated Northern Ireland under the regulatory authority of the MHRA with respect to medicinal products. The Windsor Framework removes EU licensing processes and EU labelling and serialization requirements in relation to Northern Ireland and introduces a UK-wide licensing process for medicines</w:t>
      </w:r>
      <w:r>
        <w:rPr>
          <w:rFonts w:ascii="Times New Roman" w:cs="Times New Roman" w:eastAsia="Times New Roman" w:hAnsi="Times New Roman"/>
          <w:sz w:val="18"/>
          <w:szCs w:val="18"/>
          <w:color w:val="0B0C0C"/>
        </w:rPr>
        <w:t>.</w:t>
      </w:r>
    </w:p>
    <w:p>
      <w:pPr>
        <w:spacing w:after="0" w:line="187" w:lineRule="exact"/>
        <w:rPr>
          <w:sz w:val="20"/>
          <w:szCs w:val="20"/>
          <w:color w:val="auto"/>
        </w:rPr>
      </w:pPr>
    </w:p>
    <w:p>
      <w:pPr>
        <w:ind w:right="100" w:firstLine="849"/>
        <w:spacing w:after="0" w:line="255"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European Economic Area, or EEA, countries. A positive opinion from the EMA and CHMP, or a positive end of procedure outcome from the mutual recognition or decentralized procedures are considered to be authorizations for the purposes of the IRP.</w:t>
      </w:r>
    </w:p>
    <w:p>
      <w:pPr>
        <w:spacing w:after="0" w:line="189" w:lineRule="exact"/>
        <w:rPr>
          <w:sz w:val="20"/>
          <w:szCs w:val="20"/>
          <w:color w:val="auto"/>
        </w:rPr>
      </w:pPr>
    </w:p>
    <w:p>
      <w:pPr>
        <w:ind w:right="20" w:firstLine="853"/>
        <w:spacing w:after="0" w:line="266"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United Kingdom. Instead, the MHRA reviews applications for orphan designation in parallel to the corresponding marketing authorization application. The criteria are essentially the same as those in the European Union, but have been tailored for the market. This includes the criterion that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40"/>
        <w:spacing w:after="0" w:line="266" w:lineRule="auto"/>
        <w:rPr>
          <w:sz w:val="20"/>
          <w:szCs w:val="20"/>
          <w:color w:val="auto"/>
        </w:rPr>
      </w:pPr>
      <w:r>
        <w:rPr>
          <w:rFonts w:ascii="Times New Roman" w:cs="Times New Roman" w:eastAsia="Times New Roman" w:hAnsi="Times New Roman"/>
          <w:sz w:val="18"/>
          <w:szCs w:val="18"/>
          <w:color w:val="auto"/>
        </w:rPr>
        <w:t>prevalence of the condition in the United Kingdom, rather than the European Union,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76"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materially impacted and could continue to further impact, the regulatory regime with respect to the development, manufacture, importation, approval and commercialization of our product candidates in the United Kingdom or the European Union. Any delay in obtaining, or an inability to obtain, any marketing approvals, as a result of Brexit or otherwise, would limit our ability to generate revenue and achieve and sustain profitability. In addition, while the Trade and Cooperation Agreement provides for the tariff-free trade of medicinal products between the United Kingdom and the European Union there are additional non-tariff costs to such trade which did not exist prior to Brexit. Furthermore, Brexit has reduced trade between the European Union and the United Kingdom and there are frequent delays in the transit of goods between the European Union and the United Kingdom. The ongoing impact of Brexit may force us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1"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162" w:lineRule="exact"/>
        <w:rPr>
          <w:sz w:val="20"/>
          <w:szCs w:val="20"/>
          <w:color w:val="auto"/>
        </w:rPr>
      </w:pPr>
    </w:p>
    <w:p>
      <w:pPr>
        <w:ind w:right="120" w:firstLine="849"/>
        <w:spacing w:after="0" w:line="256" w:lineRule="auto"/>
        <w:rPr>
          <w:sz w:val="20"/>
          <w:szCs w:val="20"/>
          <w:color w:val="auto"/>
        </w:rPr>
      </w:pPr>
      <w:r>
        <w:rPr>
          <w:rFonts w:ascii="Times New Roman" w:cs="Times New Roman" w:eastAsia="Times New Roman" w:hAnsi="Times New Roman"/>
          <w:sz w:val="18"/>
          <w:szCs w:val="18"/>
          <w:color w:val="auto"/>
        </w:rPr>
        <w:t>We currently rely on third-party contract manufacturing organizations, or CMOs, including Catalent, to manufacture our product candidates. We expect to rely on CMOs for our manufacturing needs for the foreseeable future. To date, our manufacturing partners have met our manufacturing requirements and quality standards for our program materials, and we expect that these organizations, primarily Catalent, will be capable of providing sufficient quantities of our program materials to meet anticipated clinical trial scale demands. While we believe that there are alternative sources of supply for our program materials that can satisfy our clinical and commercial requirements, identifying and establishing relationships with such sources, if necessary, would result in delays and additional costs, both of which could be significant.</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competent authorities of EU Member States or foreign regulatory authorities. If we or our manufacturers were to fail to comply with the FDA, European Union or other regulatory authority requirements, it could result in sanctions being imposed on us, including clinical holds, fines, injunctions, civil penalties, delays, suspension, variation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for AAV9 are subject to significant regulation with respect to manufacturing our products. The third-party manufacturing facilities on which we rely may have limited capacity or fail to meet the applicable stringent regulatory requirements.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19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our manufacturing facilities or those of our third-party contractors, including periodic unannounced inspections by the FDA, competent authorities of EU Member States or other comparable foreign regulatory authorities, to monitor and ensure compliance with cGMP.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or comparable foreign regulatory authority can impose regulatory sanctions including, among other things, shutdown of the third-party vendor or invalidation of drug product lots or processes, fines, injunctions, civil penalties, delays, refusal to approve a pending application for a new drug product or biologic product, or revocation, suspension or variation of a pre-existing approval,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 Additionally, if supply from one approved manufacturer is interrupted, there could be a significant disruption in commercial supply. An alternative manufacturer would need to be qualified through a BLA and/or MAA supplement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9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5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or comparable foreign regulatory requirements.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 or comparable foreign strategy;</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TSHA-102 and any other product candidates, once approved;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TSHA-102,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TSHA-102 or any other product candidate that may receive regulatory approval, we may not be successful in commercializing those product candidates if and when they are approved.</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TSHA-102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17"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left="1140" w:right="6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180"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Trofinetide was approved by the FDA in March 2023 for the treatment of Rett Syndrome. We are aware that our competitors are developing product candidates for the treatment of diseases that our product candidates will target. With respect to TSHA-102, we are aware that Neurogene has a clinical stage gene therapy program for the treatment of Rett syndrome.</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8"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225"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products may face competition sooner than anticipated.</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TSHA-102 for the treatment of Rett syndrome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9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The European Union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9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European Union and the United Kingdom may continue to propose and implement cost-containing measures to keep healthcare costs down, particularly due to the financial strain that the COVID-19 pandemic has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can be no assurance that TSHA-102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in foreign countries where our products are sold will not adversely affect our ability to sell our product candidates profitably, if they are approved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8"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14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collaboration with UT Southwestern is critical to our business. We entered into the UT Southwestern Agreement with UT Southwestern to discover and develop certain AAV vector-based therapeutics, and the product candidates developed under such collaboration currently represent all of our pipeline and discovery programs. We currently rely on UT Southwestern for much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 authorities.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194"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term of the research funding portion of the UT Southwestern Agreement, under which we have the ability to acquire exclusive rights to additional gene therapy products for rare, monogenic CNS indications, has been extended to expand research funding pursuant to sponsored research agreements on a program-by-program basis.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91"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51" w:lineRule="exact"/>
        <w:rPr>
          <w:sz w:val="20"/>
          <w:szCs w:val="20"/>
          <w:color w:val="auto"/>
        </w:rPr>
      </w:pPr>
    </w:p>
    <w:p>
      <w:pPr>
        <w:ind w:right="340" w:firstLine="749"/>
        <w:spacing w:after="0" w:line="253" w:lineRule="auto"/>
        <w:rPr>
          <w:sz w:val="20"/>
          <w:szCs w:val="20"/>
          <w:color w:val="auto"/>
        </w:rPr>
      </w:pPr>
      <w:r>
        <w:rPr>
          <w:rFonts w:ascii="Times New Roman" w:cs="Times New Roman" w:eastAsia="Times New Roman" w:hAnsi="Times New Roman"/>
          <w:sz w:val="18"/>
          <w:szCs w:val="18"/>
          <w:color w:val="auto"/>
        </w:rPr>
        <w:t>We have engaged CROs for our ongoing and planned clinical trials for TSHA-102.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health epidemics, including due to travel restrictions, quarantine policies, heightened exposure of CRO staff who are healthcare providers to health epidemics or prioritization of resources toward a health epidemic.</w:t>
      </w:r>
    </w:p>
    <w:p>
      <w:pPr>
        <w:spacing w:after="0" w:line="194"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European Commission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and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and may ultimately lead to the denial of marketing approval of TSHA-102 or any other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right="10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40" w:right="520" w:hanging="383"/>
        <w:spacing w:after="0" w:line="312"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1" w:lineRule="exact"/>
        <w:rPr>
          <w:rFonts w:ascii="Times New Roman" w:cs="Times New Roman" w:eastAsia="Times New Roman" w:hAnsi="Times New Roman"/>
          <w:sz w:val="17"/>
          <w:szCs w:val="17"/>
          <w:color w:val="auto"/>
        </w:rPr>
      </w:pPr>
    </w:p>
    <w:p>
      <w:pPr>
        <w:ind w:left="1140" w:right="3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140" w:right="40" w:hanging="383"/>
        <w:spacing w:after="0" w:line="26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9" w:name="page60"/>
    <w:bookmarkEnd w:id="59"/>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51"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6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5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for the development of our product candidates, in particular the UT Southwestern Agreement and our license agreement with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9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51"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included a number of significant changes to U.S.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time-consuming and unsuccessful.</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80"/>
        <w:spacing w:after="0" w:line="256" w:lineRule="auto"/>
        <w:rPr>
          <w:sz w:val="20"/>
          <w:szCs w:val="20"/>
          <w:color w:val="auto"/>
        </w:rPr>
      </w:pPr>
      <w:r>
        <w:rPr>
          <w:rFonts w:ascii="Times New Roman" w:cs="Times New Roman" w:eastAsia="Times New Roman" w:hAnsi="Times New Roman"/>
          <w:sz w:val="18"/>
          <w:szCs w:val="18"/>
          <w:color w:val="auto"/>
        </w:rPr>
        <w:t>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TSHA-102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80"/>
        <w:spacing w:after="0" w:line="261" w:lineRule="auto"/>
        <w:rPr>
          <w:sz w:val="20"/>
          <w:szCs w:val="20"/>
          <w:color w:val="auto"/>
        </w:rPr>
      </w:pPr>
      <w:r>
        <w:rPr>
          <w:rFonts w:ascii="Times New Roman" w:cs="Times New Roman" w:eastAsia="Times New Roman" w:hAnsi="Times New Roman"/>
          <w:sz w:val="18"/>
          <w:szCs w:val="18"/>
          <w:color w:val="auto"/>
        </w:rPr>
        <w:t>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0"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40"/>
        <w:spacing w:after="0" w:line="254" w:lineRule="auto"/>
        <w:rPr>
          <w:sz w:val="20"/>
          <w:szCs w:val="20"/>
          <w:color w:val="auto"/>
        </w:rPr>
      </w:pPr>
      <w:r>
        <w:rPr>
          <w:rFonts w:ascii="Times New Roman" w:cs="Times New Roman" w:eastAsia="Times New Roman" w:hAnsi="Times New Roman"/>
          <w:sz w:val="18"/>
          <w:szCs w:val="18"/>
          <w:color w:val="auto"/>
        </w:rPr>
        <w:t>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84"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40" w:right="2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our current or future patents;</w:t>
      </w:r>
    </w:p>
    <w:p>
      <w:pPr>
        <w:spacing w:after="0" w:line="5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issued or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state and foreign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3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state and foreign fraud and abuse laws and other healthcare laws, including, without limitation in the United States,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the states and foreign countries in which we conduct or may conduct our business. The laws that will affect our operations include, but are not limited to:</w:t>
      </w:r>
    </w:p>
    <w:p>
      <w:pPr>
        <w:spacing w:after="0" w:line="84" w:lineRule="exact"/>
        <w:rPr>
          <w:sz w:val="20"/>
          <w:szCs w:val="20"/>
          <w:color w:val="auto"/>
        </w:rPr>
      </w:pPr>
    </w:p>
    <w:p>
      <w:pPr>
        <w:ind w:left="1140" w:hanging="383"/>
        <w:spacing w:after="0" w:line="253"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Patient Protection and Affordable Care Act, as amended by the Health Care and Education Reconciliation Act, or collectively,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81" w:lineRule="exact"/>
        <w:rPr>
          <w:rFonts w:ascii="Times New Roman" w:cs="Times New Roman" w:eastAsia="Times New Roman" w:hAnsi="Times New Roman"/>
          <w:sz w:val="18"/>
          <w:szCs w:val="18"/>
          <w:color w:val="auto"/>
        </w:rPr>
      </w:pPr>
    </w:p>
    <w:p>
      <w:pPr>
        <w:ind w:left="1140" w:right="80" w:hanging="383"/>
        <w:spacing w:after="0" w:line="271" w:lineRule="auto"/>
        <w:tabs>
          <w:tab w:leader="none" w:pos="11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65" w:lineRule="exact"/>
        <w:rPr>
          <w:rFonts w:ascii="Times New Roman" w:cs="Times New Roman" w:eastAsia="Times New Roman" w:hAnsi="Times New Roman"/>
          <w:sz w:val="17"/>
          <w:szCs w:val="17"/>
          <w:color w:val="auto"/>
        </w:rPr>
      </w:pPr>
    </w:p>
    <w:p>
      <w:pPr>
        <w:ind w:left="1140" w:right="140" w:hanging="383"/>
        <w:spacing w:after="0" w:line="25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140" w:right="40" w:hanging="383"/>
        <w:spacing w:after="0" w:line="25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1140" w:right="60"/>
        <w:spacing w:after="0" w:line="261" w:lineRule="auto"/>
        <w:rPr>
          <w:sz w:val="20"/>
          <w:szCs w:val="20"/>
          <w:color w:val="auto"/>
        </w:rPr>
      </w:pPr>
      <w:r>
        <w:rPr>
          <w:rFonts w:ascii="Times New Roman" w:cs="Times New Roman" w:eastAsia="Times New Roman" w:hAnsi="Times New Roman"/>
          <w:sz w:val="18"/>
          <w:szCs w:val="18"/>
          <w:color w:val="auto"/>
        </w:rPr>
        <w:t>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72" w:lineRule="exact"/>
        <w:rPr>
          <w:sz w:val="20"/>
          <w:szCs w:val="20"/>
          <w:color w:val="auto"/>
        </w:rPr>
      </w:pPr>
    </w:p>
    <w:p>
      <w:pPr>
        <w:ind w:left="1140" w:hanging="383"/>
        <w:spacing w:after="0" w:line="256"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140" w:right="120" w:hanging="383"/>
        <w:spacing w:after="0" w:line="255"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and foreign laws that require manufacturers to report information related to payments and other transfers of value to physicians and other healthcare providers, marketing expenditures or drug pricing; state and foreign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80"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or comparable foreign programs,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TSHA-102 or any future product candidates, they will remain subject to ongoing regulatory oversight.</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approval for TSHA-102,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TSHA-102, or any future product candidates may also be subject to a REMS, comparable foreign strategies,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400"/>
        <w:spacing w:after="0" w:line="282" w:lineRule="auto"/>
        <w:rPr>
          <w:sz w:val="20"/>
          <w:szCs w:val="20"/>
          <w:color w:val="auto"/>
        </w:rPr>
      </w:pPr>
      <w:r>
        <w:rPr>
          <w:rFonts w:ascii="Times New Roman" w:cs="Times New Roman" w:eastAsia="Times New Roman" w:hAnsi="Times New Roman"/>
          <w:sz w:val="18"/>
          <w:szCs w:val="18"/>
          <w:color w:val="auto"/>
        </w:rPr>
        <w:t>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6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or comparable foreign approval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8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TSHA-102 or any future product candidates, a regulatory authority may:</w:t>
      </w:r>
    </w:p>
    <w:p>
      <w:pPr>
        <w:spacing w:after="0" w:line="54"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withdraw regulatory approval;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TSHA-102 or any future product candidates and harm our business, financial condition, results of operations and prospects.</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6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European Commission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8"/>
          <w:szCs w:val="18"/>
          <w:color w:val="auto"/>
        </w:rPr>
        <w:t>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U.S. pharmaceutical industry.</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including efforts to repeal or replace certain aspects of the ACA. For example, on August 16, 2022, the Inflation Reduction Act of 2022, or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second Trump administration will impact the ACA and our business.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These laws may result in additional reductions in Medicare and other healthcare funding, which could have an adverse effect on customers for our product candidates, if approved, and, accordingly, our financial operations.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w:t>
      </w:r>
    </w:p>
    <w:p>
      <w:pPr>
        <w:spacing w:after="0" w:line="18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IRA, among other things, (i) directs HHS to negotiate the price of certain high-expenditure, single-source biologics that have been on the market for at least 11 years covered under Medicare, or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spacing w:after="0" w:line="75"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2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European Union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continued to apply on a transitional basis until January 31, 2025, by which date all ongoing trials under the Clinical Trials Directive became subject to the provisions of the CTR and all new trials since January 31, 2023 have been subject to the CTR. Compliance with the CTR requirements by us and our third-party service providers, such as CROs, may impact our developments plans.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decrease in data and market exclusivity opportunities for our product candidates in the European Union and make them open to generic or biosimilar competition earlier than is currently the case with a related reduction in reimbursement status.</w:t>
      </w:r>
    </w:p>
    <w:p>
      <w:pPr>
        <w:spacing w:after="0" w:line="18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our development plans may be impacted.</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TSHA-102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60"/>
        <w:spacing w:after="0" w:line="312" w:lineRule="auto"/>
        <w:rPr>
          <w:sz w:val="20"/>
          <w:szCs w:val="20"/>
          <w:color w:val="auto"/>
        </w:rPr>
      </w:pPr>
      <w:r>
        <w:rPr>
          <w:rFonts w:ascii="Times New Roman" w:cs="Times New Roman" w:eastAsia="Times New Roman" w:hAnsi="Times New Roman"/>
          <w:sz w:val="17"/>
          <w:szCs w:val="17"/>
          <w:color w:val="auto"/>
        </w:rPr>
        <w:t>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4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9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p>
    <w:p>
      <w:pPr>
        <w:spacing w:after="0" w:line="67" w:lineRule="exact"/>
        <w:rPr>
          <w:sz w:val="20"/>
          <w:szCs w:val="20"/>
          <w:color w:val="auto"/>
        </w:rPr>
      </w:pPr>
    </w:p>
    <w:p>
      <w:pPr>
        <w:ind w:right="160" w:firstLine="749"/>
        <w:spacing w:after="0" w:line="252" w:lineRule="auto"/>
        <w:rPr>
          <w:sz w:val="20"/>
          <w:szCs w:val="20"/>
          <w:color w:val="auto"/>
        </w:rPr>
      </w:pPr>
      <w:r>
        <w:rPr>
          <w:rFonts w:ascii="Times New Roman" w:cs="Times New Roman" w:eastAsia="Times New Roman" w:hAnsi="Times New Roman"/>
          <w:sz w:val="18"/>
          <w:szCs w:val="18"/>
          <w:color w:val="auto"/>
        </w:rPr>
        <w:t>We are subject to legal proceedings and claims from time to time that may seek material damages or otherwise may have a material adverse effect on our business. For example, in January 2024 and April 2024, we were named a nominal defendant in stockholder derivative lawsuits asserting claims against certain of our current and former directors, among others, in the Court of Chancery of the State of Delaware. These lawsuits, which have since been consolidated, seek unspecified monetary damages, disgorgement of profits, and reasonable costs and expenses, including attorneys’ fees, and other relief. See “Item 3-Legal Proceedings” and “Part II, Item 8, Note 13-Commitments and Contingencies” in this Annual Report for more information. Due to the inherent uncertainties in legal proceedings, we cannot accurately predict the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 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 proceedings, as well as a 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 and recent changes to our team might harm future operating results.</w:t>
      </w:r>
    </w:p>
    <w:p>
      <w:pPr>
        <w:spacing w:after="0" w:line="51"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March 2022, as part of our strategic prioritization initiatives to improve operating efficiency, we reduced our headcount by approximately 35%, and throughout 2022 and early 2023 we further reduced headcount, including the separations of our former Chief Executive Officer, Chief Medical Officer and Chief Development Officer. These reductions resulted in a year-over-year reduction in headcount of 63% at December 31, 2022 as compared to December 31, 2021. As of December 31, 2023, we had 52 employees. As a result of our headcount reductions, we have engaged various outside consultants, principally in the areas of clinical development and clinical operations. Although we believe these employee transitions are in the best interest of our company and our stockholders, these transitions may result in the loss of personnel with deep institutional or technical knowledge. Further, the transition could potentially disrupt our operations and relationships with employees, suppliers and partners and due to added costs, operational inefficiencies, decreased employee morale and productivity and increased turnover. In addition, our competitors may seek to use these transitions and the related potential disruptions to gain a competitive advantage over us. Furthermore, these changes increase our dependency on the other members of our leadership team and clinical and preclinical operations teams that remain with us, who are not contractually obligated to remain employed with us and may leave at any time. Any such departure could be particularly disruptive and, to the extent we experience additional turnover, competition for top talent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 and financial condition may be adversely affected.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firstLine="749"/>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Further, we may experience employee turnover, consistent with high numbers of employee resignations across the broader American economy, that would have an adverse impact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we are unable to continue to attract and retain high quality personnel, motivate existing employees or maintain our corporate culture in a hybrid or remote work environment, particularly if we experience increased turnover, our ability to pursue our growth strategy will be limited.</w:t>
      </w:r>
    </w:p>
    <w:p>
      <w:pPr>
        <w:spacing w:after="0" w:line="2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or comparable foreign regulations, including those laws requiring the reporting of true, complete and accurate information to the FDA or comparable foreign regulatory authority,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Specifically, from September 24, 2020, the date our stock began trading on Nasdaq, through February 25, 2025 our stock price fluctuated from a low of $0.50 to a high of $33.35 per share. As a result of this volatility, investors may not be able to sell their common stock at or above the price paid for the shares. The market price for our common stock may be influenced by many factors, including:</w:t>
      </w:r>
    </w:p>
    <w:p>
      <w:pPr>
        <w:spacing w:after="0" w:line="75"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unfavorable preclinical results;</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clinical trials of TSHA-102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TSHA-102 or any other product candidate we may develop, and any adverse development or perceived adverse development with respect to the applicable regulatory authority’s review of such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8"/>
          <w:szCs w:val="18"/>
          <w:color w:val="auto"/>
        </w:rPr>
        <w:t>filings, including without limitation the FDA’s issuance of a “refusal to file” letter or a request for additional information;</w:t>
      </w:r>
    </w:p>
    <w:p>
      <w:pPr>
        <w:spacing w:after="0" w:line="117"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comply with the terms of the Trinity Term Loan Agreement;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TSHA-102 or any other product candidate;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0" w:lineRule="exact"/>
        <w:rPr>
          <w:sz w:val="20"/>
          <w:szCs w:val="20"/>
          <w:color w:val="auto"/>
        </w:rPr>
      </w:pPr>
    </w:p>
    <w:p>
      <w:pPr>
        <w:spacing w:after="0" w:line="20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potentially worsening economic conditions, inflation and other adverse effects or developments,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74" w:name="page75"/>
    <w:bookmarkEnd w:id="74"/>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9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in the case of our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spacing w:after="0" w:line="280"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 2/3% vote and only for cause;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33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principal stockholders may prevent new investors from influencing significant corporate decisions.</w:t>
      </w:r>
    </w:p>
    <w:p>
      <w:pPr>
        <w:spacing w:after="0" w:line="5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current beneficial owners of 5% or more of our common stock and their respective affiliates beneficially own a large percentage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76"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51"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68"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162" w:lineRule="exact"/>
        <w:rPr>
          <w:sz w:val="20"/>
          <w:szCs w:val="20"/>
          <w:color w:val="auto"/>
        </w:rPr>
      </w:pPr>
    </w:p>
    <w:p>
      <w:pPr>
        <w:ind w:firstLine="849"/>
        <w:spacing w:after="0" w:line="258"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expect that our eligibility to qualify as an “emerging growth company” will end on December 31, 2025, the last day of our fiscal year following the fifth anniversary of the date of our initial public offering.</w:t>
      </w:r>
    </w:p>
    <w:p>
      <w:pPr>
        <w:spacing w:after="0" w:line="183"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our cash and cash equivalents.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76" w:name="page77"/>
    <w:bookmarkEnd w:id="76"/>
    <w:p>
      <w:pPr>
        <w:ind w:right="60"/>
        <w:spacing w:after="0" w:line="282" w:lineRule="auto"/>
        <w:rPr>
          <w:sz w:val="20"/>
          <w:szCs w:val="20"/>
          <w:color w:val="auto"/>
        </w:rPr>
      </w:pPr>
      <w:r>
        <w:rPr>
          <w:rFonts w:ascii="Times New Roman" w:cs="Times New Roman" w:eastAsia="Times New Roman" w:hAnsi="Times New Roman"/>
          <w:sz w:val="18"/>
          <w:szCs w:val="18"/>
          <w:color w:val="auto"/>
        </w:rPr>
        <w:t>of our business. In addition, the terms of the Trinity Term Loan Agreement restricts our ability to pay dividends. As a result, capital appreciation, if any, of our common stock will be your sole source of gain for the foreseeable future. Investors seeking cash dividends should not purchase our common stock.</w:t>
      </w:r>
    </w:p>
    <w:p>
      <w:pPr>
        <w:spacing w:after="0" w:line="26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right="58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restated certificate or our amended and restated bylaws;</w:t>
      </w:r>
    </w:p>
    <w:p>
      <w:pPr>
        <w:spacing w:after="0" w:line="53"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Delaware General Corporation Law confers jurisdiction on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number of unreserved, authorized shares.</w:t>
      </w:r>
    </w:p>
    <w:p>
      <w:pPr>
        <w:spacing w:after="0" w:line="121" w:lineRule="exact"/>
        <w:rPr>
          <w:sz w:val="20"/>
          <w:szCs w:val="20"/>
          <w:color w:val="auto"/>
        </w:rPr>
      </w:pPr>
    </w:p>
    <w:p>
      <w:pPr>
        <w:ind w:firstLine="849"/>
        <w:spacing w:after="0" w:line="256" w:lineRule="auto"/>
        <w:rPr>
          <w:sz w:val="20"/>
          <w:szCs w:val="20"/>
          <w:color w:val="auto"/>
        </w:rPr>
      </w:pPr>
      <w:r>
        <w:rPr>
          <w:rFonts w:ascii="Times New Roman" w:cs="Times New Roman" w:eastAsia="Times New Roman" w:hAnsi="Times New Roman"/>
          <w:sz w:val="18"/>
          <w:szCs w:val="18"/>
          <w:color w:val="auto"/>
        </w:rPr>
        <w:t>If we seek equity financing we may need to use a significant percentage of our unreserved authorized shares of common stock in such an offering, and would therefore need stockholder approval to implement an increase in our authorized shares of common stock or a reverse stock split in order to issue additional shares of common stock in the future. Our amended and restated certificate of incorporation and the Delaware General Corporation Law currently require the approval of not less than a majority of votes cast by the stockholders entitled to vote on the matter in order to approve an increase in our authorized shares of common stock or a reverse stock split. There are no assurances that stockholder approval will be obtained, in which event we will be unable to raise additional capital through the issuance of shares of common stock to fund our future operations.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litigation (including class claims) and mass arbitration demands; fines and penalties; disruptions of our business operations; reputational harm; loss of revenue or profits; and other adverse business consequences.</w:t>
      </w:r>
    </w:p>
    <w:p>
      <w:pPr>
        <w:spacing w:after="0" w:line="15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use, generate, transfer, disclose, make accessible, protect, secure, dispose of, transmit, and share (collectively, Process) personal data and sensitive information, and other information necessary to operate our business, for legal and marketing purposes, and for other business-related purposes, such as information we collect about patients and healthcare providers in connection with clinical trials in the U.S. and abroad, proprietary and confidential business data, trade secrets, and intellectual property.</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data Processing activities subject us to numerous data privacy and security obligations, such as various federal, state, local, and foreign laws, regulations, and guidance industry standards, external and internal data privacy and security policies, contractual requirements, and other obligations relating to data privacy and security. The number and scope of which is changing, subject to differing applications and interpretations, and which may be inconsistent among jurisdictions, or in conflict with other rules, laws or Data Protection Obligations (as defined below).</w:t>
      </w:r>
    </w:p>
    <w:p>
      <w:pPr>
        <w:spacing w:after="0" w:line="180" w:lineRule="exact"/>
        <w:rPr>
          <w:sz w:val="20"/>
          <w:szCs w:val="20"/>
          <w:color w:val="auto"/>
        </w:rPr>
      </w:pPr>
    </w:p>
    <w:p>
      <w:pPr>
        <w:jc w:val="both"/>
        <w:ind w:right="74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the HIPAA, as amended by HITECH, imposes specific requirements relating to the privacy, security, and transmission of individually identifiable health information.</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Numerous U.S. states have enacted comprehensive data privacy and security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collectively, the CCPA, applies to personal data of consumers, business representatives, and employees who are California residents, and requires businesses to provide specific disclosure in privacy notices and honor requests of California residents certain rights. The CCPA allows for up to $7,988 per intentional violation and allows private litigants affected by certain data breaches to recover significant statutory damages. The CCPA and other comprehensive U.S. state privacy laws exempt some data Processed in the context of clinical trials, these developments further complicate compliance efforts, and increase legal risk and compliance costs for us and the third parties with whom we work.</w:t>
      </w:r>
    </w:p>
    <w:p>
      <w:pPr>
        <w:spacing w:after="0" w:line="19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Our operations may be subject to increased scrutiny or attention from foreign data privacy and security authorities. Our clinical trial programs and research collaborations outside the United States may implicate foreign data privacy and security laws, including in Canada, the United Kingdom and Europe. The European Union’s General Data Protection Regulation, or EU GDPR, the United Kingdom’s General Data Protection Regulation, or UK GDPR, and Canada’s Personal Information Protection and Electronic Documents and various related provincial laws, as well as Canada’s Anti-Spam Legislation, may apply to our operations. The EU GDPR, and the UK GDPR, impose strict requirements for Processing the personal data of individuals located, respectively, within the EEA, and the United Kingdom.</w:t>
      </w:r>
    </w:p>
    <w:p>
      <w:pPr>
        <w:spacing w:after="0" w:line="18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Under the GDPR, companies may face temporary or definitive bans on data Processing and other corrective actions, as well as fines of up to 20 million Euros under the EU GDPR, 17.5 million pounds sterling under the UK GDPR or, in each case, 4% of the annual global revenue, whichever is greater. Further, the law allows for private litigation related to Processing of personal data brought by classes of data subjects or consumer protection groups authorized by law to represent their interests.</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Certain jurisdictions, including Europe and the United Kingdom, have enacted data localization laws and cross-border personal data transfers laws. For example, absent appropriate safeguards or other circumstances, the EU GDPR and UK GDPR generally restricts the transfer of personal data to countries outside of the EEA and United Kingdom respectively, such as the United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right="220"/>
        <w:spacing w:after="0" w:line="282" w:lineRule="auto"/>
        <w:rPr>
          <w:sz w:val="20"/>
          <w:szCs w:val="20"/>
          <w:color w:val="auto"/>
        </w:rPr>
      </w:pPr>
      <w:r>
        <w:rPr>
          <w:rFonts w:ascii="Times New Roman" w:cs="Times New Roman" w:eastAsia="Times New Roman" w:hAnsi="Times New Roman"/>
          <w:sz w:val="18"/>
          <w:szCs w:val="18"/>
          <w:color w:val="auto"/>
        </w:rPr>
        <w:t>States. Other jurisdictions have enacted or are considering similar cross-border personal data transfer laws and local personal data residency laws, any of which could increase the cost and complexity of doing business.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United Kingdom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United Kingdom or other jurisdictions to the United States, or if the requirements for a legally-compliant transfer are too onerous, we may face significant adverse consequences, including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Processing or transferring personal data from Europe or elsewhere.</w:t>
      </w:r>
    </w:p>
    <w:p>
      <w:pPr>
        <w:spacing w:after="0" w:line="18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Inability to import personal data to the United States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also subject to the terms of our data privacy and security policies, representations, certifications, standards, publications and frameworks, and contractual obligations to third parties related to data privacy, security and the Processing of personal data (collectively, “Data Protection Obligations”), including without limitation, operating rules and standards imposed by industry organizations. Data privacy and security issues worldwide are, and are likely to remain, uncertain for the foreseeable future. We strive to comply with applicable data privacy and security laws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privacy and security laws and Data Protection Obligations.</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publish privacy policies, whitepapers,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laws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data or to operate in certain jurisdictions; cause a material adverse impact to business operations or financial results; result in imprisonment of company officials; and otherwise result in other material harm to our business.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With applicable data privacy and security laws,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litigation; fines and penalties; disruptions to our operations such as our clinical trials; claims that we breached our data privacy and security laws; reputational harm; a loss of customers or sales; and other adverse consequences.</w:t>
      </w:r>
    </w:p>
    <w:p>
      <w:pPr>
        <w:spacing w:after="0" w:line="5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information, including personal data (including health-related data), intellectual property, trade secrets, and proprietary business information owned or controlled by ourselves or other parties.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third parties to help us operate critical business systems and to Process sensitive information in a variety of context, including, without limitation, cloud-based infrastructure, data center facilities, encryption and authentication technology, employee email, and other functions. We also share sensitive information with third parties in conjunction with our business. Our ability to monitor these third parties’ information security practices is limited, and these third parties may not have adequate information security measures in place. If we, or the third parties with whom we work, experience, or in the future experience, any security incident(s) that result in any data loss, deletion or destruction, unauthorized access to, loss of, unauthorized acquisition or disclosure of, or inadvertent exposure or disclosure of, personal data or sensitive information, or compromise related to the security, confidentiality, integrity or availability of our information technology, software, services, communications or data (or those of the third parties with whom we work), it may have a material adverse effect on our business, including without limitation, regulatory investigations or enforcement actions, litigation, indemnity obligations, negative publicity and financial loss, additional reporting requirements and/or oversight and restrictions on Processing sensitive information (including personal data).</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While we may be entitled to damages if our third-party service providers fail to satisfy their data privacy or security-related obligations to us, any award may be insufficient to cover our damages, or we may be unable to recover such award. For example, the loss of clinical trial data from completed or ongoing or planned clinical trials could result in delays in our regulatory approval efforts and could require us to incur substantial cost to recover or reproduce such data. Security breaches and attendant consequences may prevent or cause customers to stop using our products, deter new customers for using our products, and otherwise negatively impact our ability to grow and operate our business.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are prevalent and continue to increase and threaten the confidentiality, integrity, and availability of our sensitive information and information technology systems, and those of the third parties with whom we work. These threats are prevalent, continue to rise, are increasingly difficult to detect, and come from a variety of sources come from a variety of sources, including traditional computer “hackers,” threat actors, personnel misconduct or error (employee theft or misuse), sophisticated nation-state and nation-state supported actors, “hacktivists,” organized criminal threat actors, and personnel (such as through theft or misuse). We and the third-parties we rely are subject to a variety of evolving threats, including but not limited to social 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 software or hardware failures, loss of data or other information technology assets, adware, telecommunications failures, earthquakes, fire, flood, attacks enhanced or facilitated by AI, and other similar threats.</w:t>
      </w:r>
    </w:p>
    <w:p>
      <w:pPr>
        <w:spacing w:after="0" w:line="194"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8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ind w:right="40"/>
        <w:spacing w:after="0" w:line="282" w:lineRule="auto"/>
        <w:rPr>
          <w:sz w:val="20"/>
          <w:szCs w:val="20"/>
          <w:color w:val="auto"/>
        </w:rPr>
      </w:pPr>
      <w:r>
        <w:rPr>
          <w:rFonts w:ascii="Times New Roman" w:cs="Times New Roman" w:eastAsia="Times New Roman" w:hAnsi="Times New Roman"/>
          <w:sz w:val="18"/>
          <w:szCs w:val="18"/>
          <w:color w:val="auto"/>
        </w:rPr>
        <w:t>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have been in the past, and may in the future, be required to expend significant resources, fundamentally change our business activities (including our clinical trial activities) and practices, and/or modify our operations, including our clinical trial activities or information technology, in an effort to protect against security breaches and to mitigate, detect, and remediate actual and potential vulnerabilities. Applicable data privacy and security laws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not always been able in the past and may be unable in the future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and communications. While we take steps designed to detect and remediate vulnerabilities, we may not be able to detect and remediate vulnerabilities on a timely basis. Therefore, such vulnerabilities could be exploited but may not be detected until after a security breach has occurred. These vulnerabilities pose material risks to our business. We cannot be certain that we will be able to address any such vulnerabilities, in whole or part, and there may be delays in developing and deploying patches and other remedial measures to adequately address vulnerabilities. Any of the previously identified or similar threats could cause a security breach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w:t>
      </w:r>
    </w:p>
    <w:p>
      <w:pPr>
        <w:spacing w:after="0" w:line="192" w:lineRule="exact"/>
        <w:rPr>
          <w:sz w:val="20"/>
          <w:szCs w:val="20"/>
          <w:color w:val="auto"/>
        </w:rPr>
      </w:pPr>
    </w:p>
    <w:p>
      <w:pPr>
        <w:ind w:right="60" w:firstLine="594"/>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laws and Data Protection Obligations may require us, or we may voluntarily choose, to notify relevant stakeholders of security breaches, including affected individuals, regulators and investors, of security incidents, or to take other actions, such as providing credit monitoring and identity theft protection services. Such disclosures and related actions can be costly, and the disclosures or the failure to comply with such applicable requirements, could lead to adverse consequences.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the limitations of liability in our contracts are sufficient to protect us from liabilities, damages, or claims related to our data privacy and security obligations. 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data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8" w:lineRule="exact"/>
        <w:rPr>
          <w:sz w:val="20"/>
          <w:szCs w:val="20"/>
          <w:color w:val="auto"/>
        </w:rPr>
      </w:pPr>
    </w:p>
    <w:p>
      <w:pPr>
        <w:ind w:firstLine="59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breach,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these data privacy and security laws and Data Protection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or FCPA, and similar anti-bribery and anti-corruption laws.</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We may engage 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There is no certainty that all of our employees, agents, suppliers, manufacturers, contractors, or collaborators, or those of our affiliates,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such activities.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outside of the United States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 candidates or changes in applicable export or import laws and regulations may create delays in the introduction, provision or sale of our product candidates in international markets, prevent customers from using our product candidates or, in some cases, prevent the export or import of our product candidates to certain countries, governments or persons altogether. Any limitation on our ability to export, provide or sell our product candidates could adversely affect our business, financial condition and results of operations.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5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87"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2" w:name="page83"/>
    <w:bookmarkEnd w:id="82"/>
    <w:p>
      <w:pPr>
        <w:spacing w:after="0" w:line="258" w:lineRule="auto"/>
        <w:rPr>
          <w:sz w:val="20"/>
          <w:szCs w:val="20"/>
          <w:color w:val="auto"/>
        </w:rPr>
      </w:pPr>
      <w:r>
        <w:rPr>
          <w:rFonts w:ascii="Times New Roman" w:cs="Times New Roman" w:eastAsia="Times New Roman" w:hAnsi="Times New Roman"/>
          <w:sz w:val="18"/>
          <w:szCs w:val="18"/>
          <w:color w:val="auto"/>
        </w:rPr>
        <w:t>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189" w:lineRule="exact"/>
        <w:rPr>
          <w:sz w:val="20"/>
          <w:szCs w:val="20"/>
          <w:color w:val="auto"/>
        </w:rPr>
      </w:pPr>
    </w:p>
    <w:p>
      <w:pPr>
        <w:ind w:right="40" w:firstLine="594"/>
        <w:spacing w:after="0" w:line="252" w:lineRule="auto"/>
        <w:rPr>
          <w:sz w:val="20"/>
          <w:szCs w:val="20"/>
          <w:color w:val="auto"/>
        </w:rPr>
      </w:pPr>
      <w:r>
        <w:rPr>
          <w:rFonts w:ascii="Times New Roman" w:cs="Times New Roman" w:eastAsia="Times New Roman" w:hAnsi="Times New Roman"/>
          <w:sz w:val="18"/>
          <w:szCs w:val="18"/>
          <w:color w:val="auto"/>
        </w:rPr>
        <w:t>We have generated and expect to continue to generate significant federal and state net operating loss, or NOL, carryforwards in the future. As of December 31, 2024, there were federal and state NOLs of $268.3 million and $11.7 million respectively. A portion of these NOL carryforwards could expire unused and be unavailable to offset future income tax liabilities. Under the Tax Cuts and Jobs, or the Tax Act, as modified by the Coronavirus Aid, Relief, and Economic Security Act, or the CARES Act, federal NOLs incurred in taxable years beginning after December 31, 2017 may be carried forward indefinitely, but the deductibility of such federal NOLs is limited. It is uncertain if and to what extent various states will conform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During 2023, we performed a detailed analysis of historical and current Section 382 ownership shifts that may limit the utilization of NOL carryforwards. None of our gross federal NOLs are permanently limited. However, as a result of the ownership shift that occurred in August 2023, $27.1 million of our research credits will expire and $217.9 million of our gross Federal NOLs are subject to an annual utilization limitation of $3.1 million, However, sales of our common stock by our existing stockholders, or additional sales of our common stock by us, could trigger additional limitations under Section 382 which could have a material adverse effect on our results of operations in future years. At the state level, there may be periods during which the use of NOLs is suspended or otherwise limited, which could accelerate or permanently increase state taxes owed.</w:t>
      </w:r>
    </w:p>
    <w:p>
      <w:pPr>
        <w:spacing w:after="0" w:line="30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5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IRA imposes, among other rules, a 15% minimum tax on the book income of certain large corporations and a 1% excise tax on certain corporate stock repurchases. In addition, for certain research and experimental, or R&amp;E, expenses incurred in tax years beginning after December 31, 2021, the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Tax Act, as amended by the CARES Act or any future tax reform legislation, could have a material impact on the value of our deferred tax assets, result in significant one-time charges and increase our future U.S. tax expense.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being a public company.</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spacing w:after="0" w:line="256" w:lineRule="auto"/>
        <w:rPr>
          <w:sz w:val="20"/>
          <w:szCs w:val="20"/>
          <w:color w:val="auto"/>
        </w:rPr>
      </w:pPr>
      <w:r>
        <w:rPr>
          <w:rFonts w:ascii="Times New Roman" w:cs="Times New Roman" w:eastAsia="Times New Roman" w:hAnsi="Times New Roman"/>
          <w:sz w:val="18"/>
          <w:szCs w:val="18"/>
          <w:color w:val="auto"/>
        </w:rPr>
        <w:t>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w:t>
      </w:r>
    </w:p>
    <w:p>
      <w:pPr>
        <w:spacing w:after="0" w:line="180"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Our information technology team, led by our Vice President of Information Technology, helps identify, assess, and manage our cybersecurity threats and risks. Our information technology team assesses risks from cybersecurity threats by monitoring and evaluating our threat environment using various methods including, for example analyzing threat reports, conducting audits, and using intelligence feeds.</w:t>
      </w:r>
    </w:p>
    <w:p>
      <w:pPr>
        <w:spacing w:after="0" w:line="176" w:lineRule="exact"/>
        <w:rPr>
          <w:sz w:val="20"/>
          <w:szCs w:val="20"/>
          <w:color w:val="auto"/>
        </w:rPr>
      </w:pPr>
    </w:p>
    <w:p>
      <w:pPr>
        <w:jc w:val="both"/>
        <w:ind w:right="660" w:firstLine="749"/>
        <w:spacing w:after="0" w:line="266" w:lineRule="auto"/>
        <w:rPr>
          <w:sz w:val="20"/>
          <w:szCs w:val="20"/>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incident detection and response, employee training, access controls, cyber insurance, and systems monitoring.</w:t>
      </w:r>
    </w:p>
    <w:p>
      <w:pPr>
        <w:spacing w:after="0" w:line="176"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our senior management along with our information technology team evaluates material risks from cybersecurity threats against our overall business objectives and reports to the Audit Committee of the board of directors, which evaluates our overall enterprise risk.</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cybersecurity software providers, managed cybersecurity service providers, and dark web monitoring services.</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contract research organizations, contract manufacturing organizations, and hosting companies. We have a vendor management process to manage cybersecurity risks associated with our use of these providers which includes risk assessments and audits.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in this Annual Report on Form 10-K, including “If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right="200"/>
        <w:spacing w:after="0" w:line="282" w:lineRule="auto"/>
        <w:rPr>
          <w:sz w:val="20"/>
          <w:szCs w:val="20"/>
          <w:color w:val="auto"/>
        </w:rPr>
      </w:pPr>
      <w:r>
        <w:rPr>
          <w:rFonts w:ascii="Times New Roman" w:cs="Times New Roman" w:eastAsia="Times New Roman" w:hAnsi="Times New Roman"/>
          <w:sz w:val="18"/>
          <w:szCs w:val="18"/>
          <w:color w:val="auto"/>
        </w:rPr>
        <w:t>our operations such as our clinical trials; claims that we breached our data privacy and security laws; reputational harm; a loss of customers or sales; and other adverse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Audit Committee is responsible for overseeing our cybersecurity risk management processes, including oversight of mitigation of risks from cybersecurity threats.</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Compliance Officer and Vice President of Information Technology, both of whom have previously served in management roles at other public biotechnology companies.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Company management is responsible for hiring appropriate personnel, helping to integrate cybersecurity risk considerations into our overall risk management strategy, and communicating key priorities to relevant personnel. Company management is responsible for approving budgets, helping prepare for cybersecurity incidents, approving cybersecurity processes, and reviewing security assessments and other security-related reports.</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our legal team depending on the circumstances. Our information technology team works with our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January 2021, we entered into a lease agreement for 15,000 square feet of administrative space in Dallas, Texas, pursuant to a lease agreement that expires approximately ten years after the lease commenced in May 2021. This lease was amended in December 2021 to lease an additional 18,000 square feet of administrative space in Dallas, TX, pursuant to a lease amendment that expires approximately ten years after the lease commencement date.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 In August 2021 we entered into a lease agreement for 9,400 square feet of laboratory space in Research Triangle Park, North Carolina, pursuant to a lease agreement that expires approximately four years after the lease commenced in September 2021. This lease was amended in December 2021 to rent approximately 3,600 square feet of additional laboratory space.</w:t>
      </w:r>
    </w:p>
    <w:p>
      <w:pPr>
        <w:spacing w:after="0" w:line="19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The Company has not recorded a liability related to these lawsuits because, at this time, the Company is unable to reasonably estimate possible losses or gains or determine whether an unfavorable outcome is either probable or remote.</w:t>
      </w:r>
    </w:p>
    <w:p>
      <w:pPr>
        <w:spacing w:after="0" w:line="302"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86" w:name="page87"/>
    <w:bookmarkEnd w:id="8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“TSHA.”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of February 24, 2025, we had 38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currently are conducting two Phase 1/2 clinical trials for TSHA-102: an adolescent/adult study in the United States and Canada and a pediatric study in the United States. In addition, we received approval to expand the pediatric study into the United Kingdom in 2024 following clearance of the CTA by the U.K. MHRA and received approval to expand the pediatric study into Canada in 2024 following clearance of the CTA by Health Canada.</w:t>
      </w:r>
    </w:p>
    <w:p>
      <w:pPr>
        <w:spacing w:after="0" w:line="180" w:lineRule="exact"/>
        <w:rPr>
          <w:sz w:val="20"/>
          <w:szCs w:val="20"/>
          <w:color w:val="auto"/>
        </w:rPr>
      </w:pPr>
    </w:p>
    <w:p>
      <w:pPr>
        <w:ind w:right="20" w:firstLine="749"/>
        <w:spacing w:after="0" w:line="230" w:lineRule="auto"/>
        <w:rPr>
          <w:sz w:val="20"/>
          <w:szCs w:val="20"/>
          <w:color w:val="auto"/>
        </w:rPr>
      </w:pPr>
      <w:r>
        <w:rPr>
          <w:rFonts w:ascii="Times New Roman" w:cs="Times New Roman" w:eastAsia="Times New Roman" w:hAnsi="Times New Roman"/>
          <w:sz w:val="18"/>
          <w:szCs w:val="18"/>
          <w:color w:val="auto"/>
        </w:rPr>
        <w:t>In early 2025, we announced the completion of dosing of the 10 patients in Part A, the dose escalation portion of both REVEAL Phase 1/2 trials, that is expected to serve as primary dataset to support advancement toward the Part B registrational trial. Cohort one (low dose cohort of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consists of four patients and cohort two (high dose cohort of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consists of six patients across both REVEAL trials. In early 2025, we announced TSHA-102 was generally well-tolerated with no serious adverse events (SAEs) or dose-limiting toxicities (DLTs) related to TSHA-102 in the 10 pediatric, adolescent and adult patients dosed across the two REVEAL Phase 1/2 trials as of the February 17, 2025, data cutoff.</w:t>
      </w:r>
    </w:p>
    <w:p>
      <w:pPr>
        <w:spacing w:after="0" w:line="199"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We also received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Sponsor companies receiving RMAT designation can benefit from increased interactions with the FDA involving senior managers, with the goal of expediting drug development.</w:t>
      </w:r>
    </w:p>
    <w:p>
      <w:pPr>
        <w:spacing w:after="0" w:line="17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completed a CMC-focused Type D with the FDA in the fourth quarter of 2024. The FDA endorsed our intended Good Manufacturing Practice, or GMP, commercial manufacturing process, proposed analytical methods, and corresponding qualification and validation plans, including key mechanism of action potency release assays. We also established analytical comparability between the clinical product and the product derived from the final commercial manufacturing process, and received FDA permission to use the GMP product in future clinical studies of TSHA-102.</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December 31, 2024, we have funded our operations primarily through: (i) the sale of equity, raising an aggregate of $671.0 million of gross proceeds from our initial public offering, or the IPO, sales of common stock pursuant to our Sales Agreement (as defined below), our October 2022 follow-on offering, our 2023 private placement and our June 2024 Offering (as defined below); (ii) pre-IPO private placements of our convertible preferred stock; (iii) our Term Loan Agreement (as defined below) and subsequently the Trinity Term Loan Agreement (as defined below); and (iv) the Astellas Transactions.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provided for, on the Trinity Closing Date, $40.0 million aggregate principal amount of term loans, or, collectively, the Trinity Term Loans. We drew the Trinity Term Loans in full on the Trinity Closing Date. The proceeds of the Trinity Term Loans were used to repay our obligations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8" w:name="page89"/>
    <w:bookmarkEnd w:id="88"/>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w:t>
      </w:r>
    </w:p>
    <w:p>
      <w:pPr>
        <w:spacing w:after="0" w:line="176"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$89.3 million for the year ended December 31, 2024 and $111.6 million for the year ended December 31, 2023. As of December 31, 2024, we had an accumulated deficit of $602.3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40" w:right="76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CMOs for the manufacture current Good Manufacturing Practice, or cGMP material for clinical trials or potential commercial sales;</w:t>
      </w:r>
    </w:p>
    <w:p>
      <w:pPr>
        <w:spacing w:after="0" w:line="53"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The Board of Regents of the University of Texas System on behalf of UT Southwestern, as amended in April 2020.</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We are required to use commercially reasonable efforts to develop, obtain regulatory approval for, and commercialize at least one licensed product. Additionally, we obtained a right of first refusal to negotiate for an exclusive license under certain additional patent rights and know-how of UT Southwestern.</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In December 2021 a regulatory milestone was triggered in connection with the Abeona CLN1 Agreement. No additional milestone payments were made or triggered during the years ended December 31, 2023 and 2024.</w:t>
      </w:r>
    </w:p>
    <w:p>
      <w:pPr>
        <w:spacing w:after="0" w:line="19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Rett Agreement. We recorded a $1.0 million charge within research and development expenses in the consolidated statements of operations for the year ended December 31, 2022. This milestone fee was paid in July 2022 and has been classified as an investing outflow in the consolidated statements of cash flows for the year ended December 31,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consolidated statements of operations for the year ended December 31, 2023. This milestone fee was paid in August 2023 and has been classified as an investing cash outflow in the consolidated statements of cash flows for the year ended December 31, 2023. No additional milestone payments were made or triggered in connection with this agreement during the years ended December 31, 2023 and 2024.</w:t>
      </w:r>
    </w:p>
    <w:p>
      <w:pPr>
        <w:spacing w:after="0" w:line="188"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the Effective Date we entered into the Option Agreement with Astellas.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Under the Option Agreement, we granted to Astellas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Under the Option Agreement, we also granted to Astellas the Rett Option. Subject to certain extensions, the Rett Option is exercisable for the Rett Option Period related to the Rett Product.</w:t>
      </w:r>
    </w:p>
    <w:p>
      <w:pPr>
        <w:spacing w:after="0" w:line="16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Revenue for the years ended December 31, 2024 and 2023 was derived from the Astellas Transactions. We recognize revenue as research and development activities related to our Rett program are performed. Revenue related to the material rights associated with the Rett Option and the GAN Option must be recognized at a point in time when the options are exercised or the option period expires. In September 2023, Astellas elected not to exercise the GAN Option, therefore we recognized revenue related to the GAN Option during the year ended December 31, 2023.</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020" w:right="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080" w:hanging="563"/>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may increase in the near future. In addition, we expect to incur legal fees in connection with the shareholder derivative lawsuit against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2" w:name="page93"/>
    <w:bookmarkEnd w:id="92"/>
    <w:p>
      <w:pPr>
        <w:ind w:right="920"/>
        <w:spacing w:after="0" w:line="282" w:lineRule="auto"/>
        <w:rPr>
          <w:sz w:val="20"/>
          <w:szCs w:val="20"/>
          <w:color w:val="auto"/>
        </w:rPr>
      </w:pPr>
      <w:r>
        <w:rPr>
          <w:rFonts w:ascii="Times New Roman" w:cs="Times New Roman" w:eastAsia="Times New Roman" w:hAnsi="Times New Roman"/>
          <w:sz w:val="18"/>
          <w:szCs w:val="18"/>
          <w:color w:val="auto"/>
        </w:rPr>
        <w:t>certain of our current and former directors in the Court of Chancery of the State of Delaware. See “Part II, Item 8, Note 13—Commitments and Contingencies” in this Annual Report.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Impairment of long-lived assets are the result of an asset group's carrying value exceeding the fair value. In November 2022, we decided not to continue building out our manufacturing facility in North Carolina. We recorded a non-cash impairment charge related to the construction in progress and right-of-use lease assets at the manufacturing facility. We recorded additional impairment charges related to the construction in progress and assets held for sale at the manufacturing facility in the years ended December 31, 2023 and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2024 and 2023</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w:t>
      </w:r>
    </w:p>
    <w:p>
      <w:pPr>
        <w:spacing w:after="0" w:line="24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2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87,890</w:t>
            </w:r>
          </w:p>
        </w:tc>
        <w:tc>
          <w:tcPr>
            <w:tcW w:w="12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(91,459 )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(72,439 )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(34,718 )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(4,583 )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(39,127 )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(89,298 )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(111,566 )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Revenue was $8.3 million for the year ended December 31, 2024, compared to $15.5 million for the year ended December 31, 2023. Revenue for the years ended December 31, 2024 and 2023 was derived entirely from the Astellas Transactions. The revenue recorded for the year ended December 31, 2024 is the result of Rett syndrome research and development activities performed during the year of $8.3 million. The revenue recorded for the year ended December 31, 2023 is the result of Rett syndrome research and development activities performed during the year of $13.2 million and the expiration of the material right associated with the GAN Option of $2.3 million.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$66.0 million for the year ended December 31, 2024, compared to $56.8 million for the year ended December 31, 2023. The $9.2 million increase was primarily driven by higher GMP batch activities during the year ended December 31, 2024, which is representative of the intended commercial manufacturing process for TSHA-102 in Rett syndrome and additional clinical trial activities in the TSHA-102 Phase 1/2 REVEAL clinical trials for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$29.0 million for the year ended December 31, 2024, compared to $30.0 million for the year ended December 31, 2023. The decrease of $1.0 million was primarily due to the issuance costs allocated to the liability-classified 2023 Pre-Funded Warrants (as defined below) during the year ended December 31, 2023 as a result of the August 2023 Private Placement, which did not occur in 2024.</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recorded a non-cash impairment charge of $4.8 million related to our manufacturing facility and assets previously classified as held for sale which were marketed for sale or sublease for the year ended December 31, 2024. We recorded non-cash impairment charges of $1.1 million related to assets held for sale and construction in progress for the year ended December 31, 2023.</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Change in fair value of warrant liability was a non-cash gain totaling less than $0.1 million for the year ended December 31, 2024 related to the SSI Warrants (as defined below) compared to a non-cash expense totaling $34.7 million for the year ended December 31, 2023 related to the 2023 Pre-Funded Warrants and the SSI Warrants. The expense for the year ended December 31, 2023 is primarily due to the substantial increase in the fair value of the common stock underlying the Pre-Funded Warrants from the date of issuance through the date the warrants were reclassified into equity, which resulted in a non-recurring expense of $34.5 million. As the Pre-Funded Warrants were classified into equity during the year ended December 31, 2023, there will be no additional fair value adjustments related to these warrants. The change in fair value related to the SSI Warrants was $0.2 million for the year ended December 31, 2023.</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are directly attributed to instrument-specific credit risk, were recorded as a component of other income (expense). The change in fair value was $4.6 million for the year ended December 31,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11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Loss on debt extinguishment was a non-recurring expense totaling $1.4 million for the year ended December 31, 2023 due to the early payoff of the Term Loan with Silicon Valley Bank in November 2023.</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$6.9 million for the year ended December 31, 2024 compared to $3.6 million for the year ended December 31, 2023. The increase in income is primarily attributable to dividends earned from our money market fund and interest earned on our savings account following the investment of proceeds raised in our August 2023 Private Placement and our June 2024 Offering.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Interest expense was $0.1 million for the year ended December 31, 2024, compared to $5.0 million for the year ended December 31, 2023. The decrease of $4.9 million was primarily attributable to interest expense incurred under the Term Loan Agreement with Silicon Valley Bank during the year ended December 31, 2023. No interest expense was recorded on the Trinity Term Loan for the period ended December 31, 2024 due to the election of the fair value option.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December 31, 2024, we had cash and cash equivalents of $139.0 million. Through December 31, 2024, we have funded our operations primarily through equity financings, raising an aggregate of $671.0 million in gross proceeds from equity financings, including from pre-IPO private placements of convertible preferred stock, our IPO, and subsequent sales of common stock in public and private securities offerings, our term loans and the Astellas Transactions.</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4" w:name="page95"/>
    <w:bookmarkEnd w:id="94"/>
    <w:p>
      <w:pPr>
        <w:ind w:right="260"/>
        <w:spacing w:after="0" w:line="261" w:lineRule="auto"/>
        <w:rPr>
          <w:sz w:val="20"/>
          <w:szCs w:val="20"/>
          <w:color w:val="auto"/>
        </w:rPr>
      </w:pPr>
      <w:r>
        <w:rPr>
          <w:rFonts w:ascii="Times New Roman" w:cs="Times New Roman" w:eastAsia="Times New Roman" w:hAnsi="Times New Roman"/>
          <w:sz w:val="18"/>
          <w:szCs w:val="18"/>
          <w:color w:val="auto"/>
        </w:rPr>
        <w:t>for the Lenders, or the Agent. We drew $30.0 million in term loans on the Closing Date and an additional $10.0 million in term loans on December 29, 2021. We did not draw on any of the additional $20.0 million tranches prior to their expiration on September 30, 2022 and March 31, 2023. The loan repayment schedule provided for interest only payments until August 31, 2024, followed by consecutive monthly payments of principal and interest. All unpaid principal and accrued and unpaid interest with respect to each term loan was due and payable in full on August 1, 2026.</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the Trinity Closing Date, we entered the Trinity Term Loan Agreement. The Trinity Term Loan Agreement provides for, on the Trinity Closing Date, $40.0 million aggregate principal amount of the Trinity Term Loans. We drew the Trinity Term Loans in full on the Trinity Closing Date. The interest rate applicable to the Trinity Term Loans is the greater of (a) the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we paid to Trinity a commitment fee of 1.00% of the original principal amount of the Trinity Term Loans. Upon repayment in full of the Trinity Term Loans, we will pay to Trinity an end of term payment equal to 5.00% of the original principal amount of the Trinity Term Loans.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 obligations under the Term Loan Agreement (as defined below) with Silicon Valley Bank in full. The Term Loan Agreement with Silicon Valley Bank was terminated concurrently with entry into the Trinity Term Loan Agreement.</w:t>
      </w:r>
    </w:p>
    <w:p>
      <w:pPr>
        <w:spacing w:after="0" w:line="19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On December 13, 2024, we filed a new shelf registration statement on Form S-3 following the expiration of our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 No other shares of common stock have been issued and sold pursuant to the Sales Agreement as of December 31, 2024.</w:t>
      </w:r>
    </w:p>
    <w:p>
      <w:pPr>
        <w:spacing w:after="0" w:line="194"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Also on October 21, 2022, we entered into the Securities Purchase Agreement with Astellas, pursuant to which we agreed to issue and sell to Astellas in a private placement, or the Private Placement, an aggregate of 7,266,342 shares of our common stock, or the Private Placement Shares, for aggregate proceeds of $30.0 million. The Private Placement closed on October 24, 2022.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26, 2022, we entered into the Underwriting Agreement, to issue and sell 14,000,000 shares of our common stock, par value $0.00001 per share, in an underwritten public offering pursuant to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spacing w:after="0" w:line="19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2023 Pre-Funded Warrants, to purchase 44,250,978 shares of common stock in lieu of shares of common stock. The closing of the August 2023 Private Placement, or the Closing, occurred on August 16, 2023. The total gross proceeds to us at the Closing were $150.0 million, and after deducting placement agent commissions and offering expenses payable by us, net proceeds were $140.3 million.</w:t>
      </w:r>
    </w:p>
    <w:p>
      <w:pPr>
        <w:spacing w:after="0" w:line="18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for the foreseeable future, our research and development expenses, particularly with respect to our Rett clinical trials,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our material cash requirements consisted of $28.6 million in total lease payments under our noncancelable leases for equipment, laboratory space and office space. These leases are described in further detail in Note 5 to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right="340"/>
        <w:spacing w:after="0" w:line="282" w:lineRule="auto"/>
        <w:rPr>
          <w:sz w:val="20"/>
          <w:szCs w:val="20"/>
          <w:color w:val="auto"/>
        </w:rPr>
      </w:pPr>
      <w:r>
        <w:rPr>
          <w:rFonts w:ascii="Times New Roman" w:cs="Times New Roman" w:eastAsia="Times New Roman" w:hAnsi="Times New Roman"/>
          <w:sz w:val="18"/>
          <w:szCs w:val="18"/>
          <w:color w:val="auto"/>
        </w:rPr>
        <w:t>audited consolidated financial statements located in Part IV, Item 15 of this Annual Report on Form 10-K. Our most significant purchase commitments consist of $12.5 million in cancellable purchase obligations to our CROs and other clinical trial vendors.</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the fourth quarter of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40" w:right="36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96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2024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(81,225 )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(73,018 )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(7,352 )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136,393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(4,904 )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net cash used in operating activities of $81.2 million primarily consisted of a net loss of $89.3 million, primarily attributable to our spending on research and development expenses. The net loss of $89.3 million was partially offset by $20.5 million in adjustments for non-cash items and other adjustments to reconcile net loss to net cash used in operating activities, primarily due to stock-based compensation expense and impairment of long-lived assets. Additional cash used in operating activities of $12.4 million, resulting from changes in operating assets and liabilities was primarily due to a decrease in deferred revenue related to the Astellas Transactions.</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net cash used in operating activities of $73.0 million primarily consisted of a net loss of $111.6 million, primarily attributable to our spending on research and development expenses. The net loss of $111.6 million was partially offset by $56.6 million in adjustments for non-cash items and other adjustments to reconcile net loss to net cash used in operating activities, primarily due to the change in fair value of warrant liability of $34.7 million and stock-based compensation expense. Additional cash used in operating activities of $18.0 million, resulting from changes in operating assets and liabilities was primarily due to a decrease in deferred revenue related to the Astellas Transactions.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2024, investing activities used $0.4 million of cash primarily attributable to the purchase of lab equipment.</w:t>
      </w:r>
    </w:p>
    <w:p>
      <w:pPr>
        <w:spacing w:after="0" w:line="22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$7.4 million of cash primarily attributable to capital expenditures related to the close out of our in-house manufacturing facility project and payment of a milestone license fee.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$76.7 million of cash, which was primarily attributable to the closing of the June 2024 Offering.</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$136.4 million of cash, which was primarily attributable to the proceeds from the August 2023 Private Placement.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stock-based compensation, the Astellas Transactions and accounting for the Trinity Term Loans at fair value.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the following are the critical accounting policies used in the preparation of our financial statements that require significant estimates and judgments.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18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clinical trial expense, certain manufacturing costs, laboratory costs and other supplies, and the cost to acquire third-party licenses.</w:t>
      </w:r>
    </w:p>
    <w:p>
      <w:pPr>
        <w:spacing w:after="0" w:line="162"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liabilities after a reporting period. However, due to the nature of estimates, there is no assurance that we will not make changes to our estimates in the future as we become aware of additional information about the status or conduct of our clinical studies and other research activities.</w:t>
      </w:r>
    </w:p>
    <w:p>
      <w:pPr>
        <w:spacing w:after="0" w:line="2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5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spacing w:after="0" w:line="18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RSAs and RSUs are valued based on the fair value of our common stock on the date of grant. We expense stock-based compensation related to stock options, RSAs and RSUs, which contain service-based vesting conditions, over the requisite service period using the straight-line method. For awards with both performance and service conditions, we recognize expense based on the fair value of the performance awards over the estimated service period using the accelerated attribution method to the extent the achievement of the related performance criteria is estimated to be probable. At each reporting date, we evaluate whether any performance conditions related to a performance-based award have changed. The effect of any change in performance conditions is recognized as a cumulative catch-up adjustment in the period such change occurs. Stock-based compensation costs are generally recorded in research and development expense or general and administrative expense in the consolidated statements of operations based upon the respective employee’s roles within our Company. Forfeitures are recorded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Astellas Transactions</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October 2022, we entered into the Securities Purchase Agreement with Astellas, pursuant to which we agreed to issue and sell to Astellas an aggregate of 7,266,342 shares of our common stock, for aggregate proceeds of $30.0 million. Upon closing of the Private Placement and transferring 7,266,342 shares to Astellas, we recorded the issuance of shares at fair value. Fair value of the shares transferred to Astellas was calculated in accordance with ASC 820, Fair Value Measurement by analyzing our stock price for a period of time prior to and after the transaction date as traded on the NASDAQ. The NASDAQ trading data is considered an active market and a Level 1 measurement under ASC 820. The fair value was determined to be $13.95 million or $1.92 per share. The $16.1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right="40"/>
        <w:spacing w:after="0" w:line="282" w:lineRule="auto"/>
        <w:rPr>
          <w:sz w:val="20"/>
          <w:szCs w:val="20"/>
          <w:color w:val="auto"/>
        </w:rPr>
      </w:pPr>
      <w:r>
        <w:rPr>
          <w:rFonts w:ascii="Times New Roman" w:cs="Times New Roman" w:eastAsia="Times New Roman" w:hAnsi="Times New Roman"/>
          <w:sz w:val="18"/>
          <w:szCs w:val="18"/>
          <w:color w:val="auto"/>
        </w:rPr>
        <w:t>million difference between the $30.0 million paid by Astellas and the fair market value of shares issued was allocated to the transaction price of the Option Agreement.</w:t>
      </w:r>
    </w:p>
    <w:p>
      <w:pPr>
        <w:spacing w:after="0" w:line="16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us. In accordance with ASC 606, we evaluated the Option Agreement and identified three separate performance obligations: (1) option to obtain licensing right to GAN, (2) option to obtain licensing right to Rett and (3) performance of research and development activities associated with our Rett program. The transaction price is determined to be $36.1 million which is comprised of the $20.0 million Upfront Payment and the $16.1 million allocated from the Private Placement.</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 determine the standalone selling price, or the SSP, of the Rett and GAN options which we concluded represent material rights, we utilized the probability-weighted expected return, or PWERM, method. The PWERM method contemplates the probability and timing of an option exercise. At contract inception, we used significant judgment to estimate the probability of exercise of each option at 50%.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w:t>
      </w:r>
    </w:p>
    <w:p>
      <w:pPr>
        <w:spacing w:after="0" w:line="18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 During the year ended December 31, 2024, we determined that the total estimated costs to be incurred to satisfy the performance obligation associated with the Rett research and development activities had increased from the cost estimate used for the year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Option</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On November 13, 2023 we entered into the Trinity Term Loan Agreement with the Trinity Lenders. The Trinity Term Loan Agreement provides for, on the Trinity Closing Date, $40.0 million aggregate principal amount of Trinity Term Loans. We drew the Trinity Term Loans in full on the Trinity Closing Date.</w:t>
      </w:r>
    </w:p>
    <w:p>
      <w:pPr>
        <w:spacing w:after="0" w:line="17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determined that we are eligible to elect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Trinity Term Loans contains various embedded features and the election of the fair value option allows us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consolidated statements of operations and comprehensive loss. We have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the Trinity Term Loans, we entered into a Success Fee Agreement with Trinity which specifies the terms regarding a fee in the amount of 10% of the principal amount of the funded Trinity Term Loans. The Success Fee is payable upon the achievement of certain corporate development value-inflection milestones. The Success Fee survives the termination of the Trinity Term Loans and expires on the earlier of ten years, or payment in full in cash of the Success Fee. We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consolidated statements of operations. 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 The fair value of the Trinity Term Loans is determined to be $39.2 million and the fair value of the Success Fee liability is determined to be $0.8 million in the consolidated balance sheet at issuance. We calculated the discounted cash flows of the Success Fee liability, then adjusted for the probability of achievement of certain corporate development value-inflection milestones.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located in Part IV, Item 15 of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In addition, as an emerging growth company, we may take advantage of specified reduced disclosure and other requirements that are otherwise applicable generally to public companies. These provisions include:</w:t>
      </w:r>
    </w:p>
    <w:p>
      <w:pPr>
        <w:spacing w:after="0" w:line="79"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53" w:lineRule="exact"/>
        <w:rPr>
          <w:rFonts w:ascii="Times New Roman" w:cs="Times New Roman" w:eastAsia="Times New Roman" w:hAnsi="Times New Roman"/>
          <w:sz w:val="18"/>
          <w:szCs w:val="18"/>
          <w:color w:val="auto"/>
        </w:rPr>
      </w:pPr>
    </w:p>
    <w:p>
      <w:pPr>
        <w:ind w:left="1140" w:right="40" w:hanging="383"/>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 We expect that our eligibility to qualify as an “emerging growth company” will end on December 31, 2025, the last day of our fiscal year following the fifth anniversary of the date of our initial public offering. We may choose to take advantage of some but not all of these reduced reporting burdens. We have taken advantage of certain reduced reporting requirements in this Annual Report on Form 10-K and our other filings with the SEC. Accordingly, the information contained herein may be different than you might obtain from other public companies in which you hold equity interests.</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Taysha Gene Therapies,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Taysha Gene Therapies, Inc. and subsidiaries (the “Company”) as of December 31, 2024 and 2023, the related consolidated statements of operations, comprehensive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142,130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172,731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97,794</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400,000,000 shares authorized and 204,943,306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186,960,193 issued and outstanding as of December 31, 2024 and December 31 2023,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677,859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587,942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(4,031 )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(602,305 )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(513,007 )</w:t>
            </w:r>
          </w:p>
        </w:tc>
      </w:tr>
      <w:tr>
        <w:trPr>
          <w:trHeight w:val="20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74,937</w:t>
            </w:r>
          </w:p>
        </w:tc>
        <w:tc>
          <w:tcPr>
            <w:tcW w:w="100" w:type="dxa"/>
            <w:vAlign w:val="bottom"/>
            <w:tcBorders>
              <w:top w:val="single" w:sz="8" w:color="CFF0FC"/>
            </w:tcBorders>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172,731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-3685540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-3128010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-2270760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-1704975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87,890</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(91,459 )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(72,439 )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(34,718 )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(4,583 )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(39,127 )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(89,298 )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(111,566 )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(0.96 )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250,134,421</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116,121,482</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-1576705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7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(89,298 )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(111,566 )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 risk</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(4,031 )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(93,329 )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(111,566 )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3"/>
          </w:tcPr>
          <w:p>
            <w:pPr>
              <w:jc w:val="center"/>
              <w:ind w:right="140"/>
              <w:spacing w:after="0" w:line="12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63,207,507</w:t>
            </w:r>
          </w:p>
        </w:tc>
        <w:tc>
          <w:tcPr>
            <w:tcW w:w="44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402,389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(401,441 )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FF0FC"/>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private placement, net of placement agent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123,117,594</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103,238</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103,239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commission and offering costs of $7,138</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566,772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68,320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Reclassification of pre-funded warrants to equity classification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(111,566 )</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(111,566 )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186,960,193</w:t>
            </w:r>
          </w:p>
        </w:tc>
        <w:tc>
          <w:tcPr>
            <w:tcW w:w="22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587,942</w:t>
            </w:r>
          </w:p>
        </w:tc>
        <w:tc>
          <w:tcPr>
            <w:tcW w:w="220" w:type="dxa"/>
            <w:vAlign w:val="bottom"/>
          </w:tcPr>
          <w:p>
            <w:pPr>
              <w:spacing w:after="0"/>
              <w:rPr>
                <w:sz w:val="12"/>
                <w:szCs w:val="12"/>
                <w:color w:val="auto"/>
              </w:rPr>
            </w:pPr>
          </w:p>
        </w:tc>
        <w:tc>
          <w:tcPr>
            <w:tcW w:w="18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(513,007 )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74,937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13,103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13,103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17,596,113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76,694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other offering costs of $5,566</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234,198</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(9 )</w:t>
            </w:r>
          </w:p>
        </w:tc>
        <w:tc>
          <w:tcPr>
            <w:tcW w:w="18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93,970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58,832</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instrument-specific credit risk</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(4,031 )</w:t>
            </w:r>
          </w:p>
        </w:tc>
        <w:tc>
          <w:tcPr>
            <w:tcW w:w="1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(4,031 )</w:t>
            </w: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(89,298 )</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(89,298 )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22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677,859</w:t>
            </w:r>
          </w:p>
        </w:tc>
        <w:tc>
          <w:tcPr>
            <w:tcW w:w="220" w:type="dxa"/>
            <w:vAlign w:val="bottom"/>
          </w:tcPr>
          <w:p>
            <w:pPr>
              <w:spacing w:after="0"/>
              <w:rPr>
                <w:sz w:val="12"/>
                <w:szCs w:val="12"/>
                <w:color w:val="auto"/>
              </w:rPr>
            </w:pPr>
          </w:p>
        </w:tc>
        <w:tc>
          <w:tcPr>
            <w:tcW w:w="18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(602,305 )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(4,031 )</w:t>
            </w:r>
          </w:p>
        </w:tc>
        <w:tc>
          <w:tcPr>
            <w:tcW w:w="180" w:type="dxa"/>
            <w:vAlign w:val="bottom"/>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-1199515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-1199515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-1199515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-1199515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-1199515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-128270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-128270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-128270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1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gridSpan w:val="3"/>
          </w:tcPr>
          <w:p>
            <w:pPr>
              <w:jc w:val="right"/>
              <w:ind w:right="210"/>
              <w:spacing w:after="0" w:line="133" w:lineRule="exact"/>
              <w:rPr>
                <w:sz w:val="20"/>
                <w:szCs w:val="20"/>
                <w:color w:val="auto"/>
              </w:rPr>
            </w:pPr>
            <w:r>
              <w:rPr>
                <w:rFonts w:ascii="Times New Roman" w:cs="Times New Roman" w:eastAsia="Times New Roman" w:hAnsi="Times New Roman"/>
                <w:sz w:val="14"/>
                <w:szCs w:val="14"/>
                <w:b w:val="1"/>
                <w:bCs w:val="1"/>
                <w:color w:val="auto"/>
              </w:rPr>
              <w:t>For the Year</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1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(89,298 )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(111,566 )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 for pre-funded warrant liability</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loss on debt extinguishment</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(597 )</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 expensed under the fair value option</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(2,920 )</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(2,295 )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(1,421 )</w:t>
            </w: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(6,277 )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(8,333 )</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(15,451 )</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(81,225 )</w:t>
            </w: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(73,018 )</w:t>
            </w: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(374 )</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(3,869 )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(363 )</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(7,352 )</w:t>
            </w: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7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from underwritten public offering,</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of underwriting discounts and sales commissions and other offering costs</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76,780</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SVB Term Loan</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(43,000 )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Trinity tern loan, net</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20" w:type="dxa"/>
            <w:vAlign w:val="bottom"/>
          </w:tcPr>
          <w:p>
            <w:pPr>
              <w:spacing w:after="0"/>
              <w:rPr>
                <w:sz w:val="17"/>
                <w:szCs w:val="17"/>
                <w:color w:val="auto"/>
              </w:rPr>
            </w:pPr>
          </w:p>
        </w:tc>
        <w:tc>
          <w:tcPr>
            <w:tcW w:w="7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from private placement, net of</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placement agent commissions and other offering costs</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140,290</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private placement</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(167 )</w:t>
            </w: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136,393</w:t>
            </w:r>
          </w:p>
        </w:tc>
        <w:tc>
          <w:tcPr>
            <w:tcW w:w="12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(4,904 )</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56,023</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20" w:type="dxa"/>
            <w:vAlign w:val="bottom"/>
          </w:tcPr>
          <w:p>
            <w:pPr>
              <w:spacing w:after="0"/>
              <w:rPr>
                <w:sz w:val="21"/>
                <w:szCs w:val="21"/>
                <w:color w:val="auto"/>
              </w:rPr>
            </w:pPr>
          </w:p>
        </w:tc>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77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143,940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warrants to additional paid-in capital</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Allocation of proceeds to Success Fee liability</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asset retirement obligation</w:t>
            </w: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warrants in connection with private placement</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20" w:type="dxa"/>
            <w:vAlign w:val="bottom"/>
          </w:tcPr>
          <w:p>
            <w:pPr>
              <w:spacing w:after="0"/>
              <w:rPr>
                <w:sz w:val="20"/>
                <w:szCs w:val="20"/>
                <w:color w:val="auto"/>
              </w:rPr>
            </w:pPr>
          </w:p>
        </w:tc>
        <w:tc>
          <w:tcPr>
            <w:tcW w:w="9500" w:type="dxa"/>
            <w:vAlign w:val="bottom"/>
            <w:gridSpan w:val="4"/>
          </w:tcPr>
          <w:p>
            <w:pPr>
              <w:ind w:left="23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120" w:type="dxa"/>
            <w:vAlign w:val="bottom"/>
          </w:tcPr>
          <w:p>
            <w:pPr>
              <w:spacing w:after="0"/>
              <w:rPr>
                <w:sz w:val="24"/>
                <w:szCs w:val="24"/>
                <w:color w:val="auto"/>
              </w:rPr>
            </w:pPr>
          </w:p>
        </w:tc>
        <w:tc>
          <w:tcPr>
            <w:tcW w:w="770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F-6</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-5691505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-5691505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-4842510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-4842510</wp:posOffset>
            </wp:positionV>
            <wp:extent cx="768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-3188335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-3188335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-2613660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-2596515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-2613660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-2596515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-2313940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-2313940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081"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 No other shares of common stock have been issued and sold pursuant to the Sales Agreement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December 31, 2024, the Company had an accumulated deficit of $602.3 million. The Company expects to continue to incur significant expenses and operating losses for the foreseeable future.</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June 26, 2024, the Company entered into an underwriting agreement (the “June 2024 Underwriting Agreement”) with Jefferies LLC and Goldman Sachs &amp; Co. LLC, as representatives of the several underwriters set forth therein (collectively, the “Underwriters”), to issue and sell 14,361,113 shares of the Company’s common stock and, in lieu of common stock to certain investors, pre-funded warrants to purchase 18,972,221 shares of its common stock in an underwritten public offering (the “June 2024 Offering”), pursuant to an effective shelf registration statement on Form S-3 and a related prospectus and prospectus supplement. The offering price to the public was $2.25 per share of common stock and $2.249 per pre-funded warrant, which was the price to the public of each share of common stock sold in the June 2024 Offering minus the $0.001 exercise price per pre-funded warrant. The Underwriters purchased the shares and the pre-funded warrants from the Company pursuant to the June 2024 Underwriting Agreement at a price of $2.115 per share and $2.114 per pre-funded warrant, respectively. See Note 10 for additional information. The initial closing of the June 2024 Offering occurred on June 27, 2024. In addition, the Company granted the Underwriters an option to purchase, for a period of 30 days, up to an additional 5,000,000 shares of common stock. On July 9, 2024, the Underwriters exercised their option to purchase an additional 3,235,000 shares of common stock. The total net proceeds from the June 2024 Offering were approximately $76.7 million, including the proceeds from the Underwriter’s option, after deducting underwriting discounts and commissions and offering expenses.</w:t>
      </w:r>
    </w:p>
    <w:p>
      <w:pPr>
        <w:spacing w:after="0" w:line="190"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December 31, 2024, the Company had cash and cash equivalents of $139.0 million which the Company believes will be sufficient to fund its planned operations for a period of at least twelve months from the date of issuance of these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540" w:firstLine="749"/>
        <w:spacing w:after="0" w:line="289"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5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the gene therapy segment, which is the business of developing AAV-based gene therapies for the treatment of rare monogenic diseases of the central nervous system. See Note 16 for additional information.</w:t>
      </w:r>
    </w:p>
    <w:p>
      <w:pPr>
        <w:spacing w:after="0" w:line="18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 of December 31, 2024 and 2023, the Company did not have any significant long-lived assets located outside of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consist of activities in connection with the Astellas Transactions, including the exclusive option to license intellectual property and the performance of research and development activities. See Note 7 for additional information.</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evaluates the agreement to determine if the other party is a customer, and then determines the units of account within the agreement to determine which promised goods or services are distinct. In order for a promised good or service to be considered “distinct” under ASC 606,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83"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color w:val="auto"/>
        </w:rPr>
        <w:t>For any units of account that fall within the scope of ASC 606, where the other party is a customer, the Company (i) evaluates the separate performance obligation(s) under each contract, (ii) determines the transaction price, (iii) allocates the transaction price to each performance obligation considering the estimated standalone selling prices of the services and (iv) recognizes revenue when, or as, the Company satisfies the performance obligation(s).</w:t>
      </w:r>
    </w:p>
    <w:p>
      <w:pPr>
        <w:spacing w:after="0" w:line="180"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that includes options for a customer to purchase additional services or products at agreed upon prices in the future, the Company evaluates whether each option provides a material right. An option that provides a material right will be accounted for as a separate performance obligation.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 of the accounting for arrangements under ASC 606, the Company must use significant judgment to determine the performance obligations, the transaction price, and the standalone selling price (“SSP”) for each performance obligation identified in the contract for the allocation of the transaction price. The SSP is the price at which an entity would sell a promised good or service separately to a customer. Management estimates the SSP of each of the identified performance obligations, maximizing the use of observable inputs. Because the Company has not sold the same goods or services in its contracts separately to any customers on a standalone basis, the Company utilizes similar observable transactions in the marketplace or estimates the SSP of each performance obligation in its customer arrangements at contract inception based on either (1) its estimate of costs to be incurred to fulfill its obligations associated with the performance obligation, plus a reasonable margin, or (2) an estimate that reflects the discount that the customer would obtain when exercising its option adjusted for (i) any discount that the customer could receive without exercising the option and (ii) the likelihood that the option will be exercised. The Company allocates the transaction price to each performance obligation in proportion to its SSP.</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 performance obligation is satisfied and revenue is recognized when “control” of the promised good or service is transferred, either over time or at a point in time, to the customer. A customer obtains control of a good or service if it has the ability to (1) direct its use and (2) obtain substantially all of the remaining benefits from it.</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listed above are recorded as deferred revenue in the accompanying consolidated balance sheets. Amounts expected to be recognized as revenue within 12 months of the balance sheet date are classified as current deferred revenue, including the amounts allocated to material rights which are subject to customer exercise at any point. Amounts not expected to be recognized as revenue within the following 12 months of the balance sheet date are classified as deferred revenue, net of current portion. The Company does not incur commission or other costs to fulfill customer contracts and as such, no capitalized contract costs are recorded on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Cash and cash equivalents consist of funds held in a standard checking account, a standard savings account and a money market fund. The Company considers all highly liquid investments with an original maturity of three months or less at the date of purchase to be cash equivalents. As of December 31, 2024, the Company had $138.3 million in cash equivalents. As of December 31, 2023, the Company had $142.4 million in cash equivalents.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that the Company has placed in an escrow account which is pledged as collateral under certain lease agreements and letters of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On March 10, 2023, the California Department of Financial Protection and Innovation closed the Silicon Valley Bank, Santa Clara, California (“SVB”), and appointed the FDIC as receiver. On March 12, 2023, the Treasury Department announced that depositors of SVB will have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0" w:name="page111"/>
    <w:bookmarkEnd w:id="110"/>
    <w:p>
      <w:pPr>
        <w:ind w:right="100"/>
        <w:spacing w:after="0" w:line="266" w:lineRule="auto"/>
        <w:rPr>
          <w:sz w:val="20"/>
          <w:szCs w:val="20"/>
          <w:color w:val="auto"/>
        </w:rPr>
      </w:pPr>
      <w:r>
        <w:rPr>
          <w:rFonts w:ascii="Times New Roman" w:cs="Times New Roman" w:eastAsia="Times New Roman" w:hAnsi="Times New Roman"/>
          <w:sz w:val="18"/>
          <w:szCs w:val="18"/>
          <w:color w:val="auto"/>
        </w:rPr>
        <w:t>access to all of their money starting March 13, 2023. On March 14, 2023, the Company regained access to the full amount of its cash that was deposited with SVB. Management believes that the Company is not exposed to significant credit risk as the Company’s deposits are held at financial institutions that management continues to believe to be of high credit quality. The Company has not experienced any losses on these deposits.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225"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fair value option provides an election that allows a company to irrevocably elect to record certain financial assets and liabilities at fair value on an instrument-by-instrument basis at initial recognition. The Company has elected to apply the fair value option to the Trinity Term Loans.</w:t>
      </w:r>
    </w:p>
    <w:p>
      <w:pPr>
        <w:spacing w:after="0" w:line="162"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term loans accounted for under the fair value option election are each a debt host financial instrument containing embedded features that would otherwise be required to be bifurcated from the debt-host and recognized as separate derivative liabilities subject to initial and subsequent periodic estimated fair value measurements in accordance with GAAP. Notwithstanding, when the fair value option election is applied to financial liabilities, bifurcation of an embedded derivative is not required, and the financial liability is initially measured at its issue-date estimated fair value and then subsequently remeasured at estimated fair value on a recurring basis as of each reporting period date.</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portion of the change in fair value attributed to a change in the instrument-specific credit risk is recognized as a component of other comprehensive income or loss if material and the remaining amount of the fair value adjustment is recognized as a component of other income (expense)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capitalizes costs directly associated with equity financings until such financings are consummated, at which time such costs are recorded in additional paid-in capital against the gross proceeds of the equity financings. Costs associated with the shelf registration statement on Form S-3, filed with the SEC on October 5, 2021 were capitalized and reclassified to additional paid-in capital on a pro rata basis when the Company completed offerings under the shelf registration. At the end of the three-year term of the shelf registration, the remaining deferred offering costs were charged to operations. Costs associated with the shelf registration statement on Form S-3, filed with the SEC on December 13, 2024 were capitalized and will be reclassified to additional paid-in capital on a pro rata basis when the Company completes offerings under the shelf registration. At the end of the three-year term of the shelf registration, the remaining deferred offering costs, if any, will be charged to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are stated at cost less accumulated depreciation and consist of computer equipment, laboratory equipment and leasehold improvements. Depreciation expense is recognized using the straight-line method over its estimated useful life of three to seven years.</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00" w:firstLine="749"/>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approach and utilizing the effective dates as its date of initial application.</w:t>
      </w:r>
    </w:p>
    <w:p>
      <w:pPr>
        <w:spacing w:after="0" w:line="16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 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has elected to account for lease and non-lease components together as a single lease component for all underlying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ind w:right="120" w:firstLine="843"/>
        <w:spacing w:after="0" w:line="254"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When all of these criteria have been met, the assets and liabilities are classified as held for sale in the balance sheet. Assets classified as held for sale are reported at the lower of their carrying value or fair value less costs to sell. The Company recorded a partial impairment of $0.6 million during the year ended December 31, 2023 in connection with the classification of certain assets to assets held for sale. Depreciation and amortization of assets ceases upon designation as held for sale.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plant and equipment as well as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group exceeds the fair value of the asset group. In November 2022, the Company decided not to continue the build-out of the North Carolina manufacturing facility, resulting in a change in use of this asset group. The Company performed an undiscounted cash flow analysis over the long-lived assets associated with the manufacturing facility and determined that the carrying value of the asset group is not recoverable. Significant assumptions used to determine this non-recurring fair value measurement include the time to sublease the facility, the amount of sublease income expected to be generated over the remaining lease term, and the discount rate used to measure the present value of the net cash flows associated with this asset group. During the year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2" w:name="page113"/>
    <w:bookmarkEnd w:id="112"/>
    <w:p>
      <w:pPr>
        <w:spacing w:after="0" w:line="261" w:lineRule="auto"/>
        <w:rPr>
          <w:sz w:val="20"/>
          <w:szCs w:val="20"/>
          <w:color w:val="auto"/>
        </w:rPr>
      </w:pPr>
      <w:r>
        <w:rPr>
          <w:rFonts w:ascii="Times New Roman" w:cs="Times New Roman" w:eastAsia="Times New Roman" w:hAnsi="Times New Roman"/>
          <w:sz w:val="18"/>
          <w:szCs w:val="18"/>
          <w:color w:val="auto"/>
        </w:rPr>
        <w:t>ended December 31, 2022, the Company recorded a non-cash impairment charge of $36.4 million in connection with the North Carolina manufacturing facility which was allocated on a pro rata basis across the assets within the asset group. The impairment charge was estimated using a discounted cash flow model. During the years ended December 31, 2024 and 2023, the Company recorded additional impairment charges of $4.8 million and $0.5 million related to the North Carolina manufacturing facility and equipment. See Note 4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3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Debt issuance costs associated with the Term Loan Agreement (as defined in Note 6)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Debt issuance costs related to the Trinity Term Loans are expensed as incurred due to the election of the fair value option.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certain manufacturing costs, laboratory costs and other supplies, and the cost to acquire third-party licenses. Costs incurred in obtaining technology licenses through asset acquisitions are charged to research and development expense if the licensed technology has not reached technological feasibility and has no alternative future use. Payments of such upfront license fees and subsequent development milestones are included as investing cash outflows in the consolidated statements of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restricted stock awards (“RSAs”), and restricted stock units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as reported on the date of the grant.</w:t>
      </w:r>
    </w:p>
    <w:p>
      <w:pPr>
        <w:spacing w:after="0" w:line="180"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The RSAs and RSUs are valued based on the fair value of the Company’s common stock on the date of grant. The Company expenses stock-based compensation related to stock options, RSAs and RSUs which contain only service-based vesting conditions over the requisite service period using the straight-line method. For awards with both performance and service conditions, the Company recognizes expense based on the fair value of the performance awards over the estimated service period using the accelerated attribution method to the extent the achievement of the related performance criteria is estimated to be probable. At each reporting date, the Company evaluates whether any performance conditions related to a performance-based award have changed. The effect of any change in performance conditions is recognized as a cumulative catch-up adjustment in the period such change occurs. Stock-based compensation costs are initially recorded in research and development expense or general and administrative expense in the consolidated statements of operations in a manner consistent with the classification of the respective employee’s payroll costs. Forfeitures are recorded as they occur.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while the warrants are outstanding.</w:t>
      </w:r>
    </w:p>
    <w:p>
      <w:pPr>
        <w:spacing w:after="0" w:line="183"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or when the conditions for equity classification are met, and are not remeasured. For issued or modified warrants that do not meet all the criteria for equity classification, the warrants are required to be recorded at their initial fair value on the date of issuance, and each balance sheet date thereafter. Liability-classified warrants are recorded at their fair value, and the Company adjusts such warrants to fair value at each reporting period. This liability is subject to remeasurement at each balance sheet date until the warrants are exercised or expire, and any change in fair value is recognized in the Company’s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of its deferred income tax assets in the future, an adjustment to the deferred income tax asset valuation allowance would increase income in the period such determination was made.</w:t>
      </w:r>
    </w:p>
    <w:p>
      <w:pPr>
        <w:spacing w:after="0" w:line="19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During the year ended December 31, 2024 the Company recorded increases in the amount of gross unrecognized tax benefits of $1.8 million. During the year ended December 31, 2023, the Company recorded decreases in the amount of unrecognized tax benefits of $0.4 million. The Company also reduced its uncertain tax positions during 2023 by $7.8 million related to prior year positions largely as a result of the Section 382 ownership shift analysis performed during 2023 (see Note 12).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 income tax interest or penalties incurred for the years ended December 31, 2024 and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Comprehensive income includes charges and credits to shareholders' equity that are not the result of transactions with shareholders. Our total comprehensive loss consists of net income and changes in fair value attributed to instrument-specific credit risk from the Trinity Term Loans (as defined below). The items of comprehensive loss, with the exception of net loss, are included in accumulated other comprehensive loss in the consolidated balance sheets and statements of shareholders' equity.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to improve segment disclosure requirements under ASC 280,</w:t>
      </w:r>
      <w:r>
        <w:rPr>
          <w:rFonts w:ascii="Times New Roman" w:cs="Times New Roman" w:eastAsia="Times New Roman" w:hAnsi="Times New Roman"/>
          <w:sz w:val="18"/>
          <w:szCs w:val="18"/>
          <w:i w:val="1"/>
          <w:iCs w:val="1"/>
          <w:color w:val="auto"/>
        </w:rPr>
        <w:t xml:space="preserve"> Segment Reporting</w:t>
      </w:r>
      <w:r>
        <w:rPr>
          <w:rFonts w:ascii="Times New Roman" w:cs="Times New Roman" w:eastAsia="Times New Roman" w:hAnsi="Times New Roman"/>
          <w:sz w:val="18"/>
          <w:szCs w:val="18"/>
          <w:color w:val="auto"/>
        </w:rPr>
        <w:t>, through enhancing disclosures about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expenses. The guidance requires entities to provide significant segment expenses that are regularly provided to the CODM and other segment expenses included in each reported measure of segment profitability. The ASU also enhances interim segment reporting requirements by aligning interim disclosures with information that must be disclosed annually in accordance with ASC 280. The guidance is effective for annual periods beginning after December 15, 2023, and interim periods beginning after December 15, 2024, applied retrospectively with early adoption permitted. The adoption did not have a material impact on the consolidated financial statements. The Company has included additional disclosures as required by this ASU in Note 16.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520" w:firstLine="749"/>
        <w:spacing w:after="0" w:line="28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4" w:name="page115"/>
    <w:bookmarkEnd w:id="114"/>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through enhancing disclosures about significant segment expenses. The guidance requires entities to provide additional disclosure about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 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3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-744855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-728345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-744855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-728345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142,425</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3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-745490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-745490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-728345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-745490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-728345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6 for additional information on the Trinity Term Loans and Success Fee.</w:t>
      </w:r>
    </w:p>
    <w:p>
      <w:pPr>
        <w:spacing w:after="0" w:line="180"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4—Supplemental Financial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8"/>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(3,584 )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-454025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includes $0.7 million and $1.0 million of assets capitalized as finance leases as of December 31, 2024 and December 31, 2023,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$1.2 million and $1.4 million for the years ended December 31, 2024 and 2023, respectively.</w:t>
      </w:r>
    </w:p>
    <w:p>
      <w:pPr>
        <w:spacing w:after="0" w:line="22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committed to a plan to sell specific pieces of equipment originally intended for use in the Company’s manufacturing facility in Durham, North Carolina. The Company determined that this equipment met the requirements to be classified as held for sale as the equipment sales were expected to be completed within one year. During the year ended December 31, 2023, the Company recorded an impairment loss of $0.6 million which was the difference between the carrying value and fair value less cost to sell. In September 2024, while continuing efforts to sell these specific pieces of equipment, the Company evaluated its long-lived assets for impairment and determined that the carrying value of the North Carolina manufacturing facility asset group and the held for sale equipment may not be recoverable. The Company recorded an impairment loss of $4.8 million. The impairment charge was estimated using a discounted cash flow model and recorded in the consolidated statements of operations for the year ended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clinical trial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7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-2836545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consolidated balance sheets as of December 31, 2024 and 2023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year ended December 31, 2024 and 2023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8"/>
                <w:szCs w:val="18"/>
                <w:color w:val="auto"/>
              </w:rPr>
            </w:pPr>
          </w:p>
        </w:tc>
        <w:tc>
          <w:tcPr>
            <w:tcW w:w="12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30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60" w:type="dxa"/>
            <w:vAlign w:val="bottom"/>
          </w:tcPr>
          <w:p>
            <w:pPr>
              <w:spacing w:after="0"/>
              <w:rPr>
                <w:sz w:val="24"/>
                <w:szCs w:val="24"/>
                <w:color w:val="auto"/>
              </w:rPr>
            </w:pPr>
          </w:p>
        </w:tc>
        <w:tc>
          <w:tcPr>
            <w:tcW w:w="394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color w:val="auto"/>
              </w:rPr>
              <w:t>F-16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34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-1216660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068"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8"/>
        </w:trPr>
        <w:tc>
          <w:tcPr>
            <w:tcW w:w="6460" w:type="dxa"/>
            <w:vAlign w:val="bottom"/>
          </w:tcPr>
          <w:p>
            <w:pPr>
              <w:spacing w:after="0"/>
              <w:rPr>
                <w:sz w:val="24"/>
                <w:szCs w:val="24"/>
                <w:color w:val="auto"/>
              </w:rPr>
            </w:pPr>
          </w:p>
        </w:tc>
        <w:tc>
          <w:tcPr>
            <w:tcW w:w="1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r>
      <w:tr>
        <w:trPr>
          <w:trHeight w:val="210"/>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FF0FC"/>
          </w:tcPr>
          <w:p>
            <w:pPr>
              <w:spacing w:after="0"/>
              <w:rPr>
                <w:sz w:val="18"/>
                <w:szCs w:val="18"/>
                <w:color w:val="auto"/>
              </w:rPr>
            </w:pPr>
          </w:p>
        </w:tc>
      </w:tr>
      <w:tr>
        <w:trPr>
          <w:trHeight w:val="23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tcPr>
          <w:p>
            <w:pPr>
              <w:spacing w:after="0"/>
              <w:rPr>
                <w:sz w:val="20"/>
                <w:szCs w:val="20"/>
                <w:color w:val="auto"/>
              </w:rPr>
            </w:pPr>
          </w:p>
        </w:tc>
      </w:tr>
      <w:tr>
        <w:trPr>
          <w:trHeight w:val="198"/>
        </w:trPr>
        <w:tc>
          <w:tcPr>
            <w:tcW w:w="6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10.54 %</w:t>
            </w: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10.52 %</w:t>
            </w:r>
          </w:p>
        </w:tc>
      </w:tr>
      <w:tr>
        <w:trPr>
          <w:trHeight w:val="23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7.84 %</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7.80 %</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are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4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700" w:type="dxa"/>
            <w:vAlign w:val="bottom"/>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04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future minimum commitments under ASC 842 under the Company’s operating and finance leases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0"/>
                <w:szCs w:val="20"/>
                <w:color w:val="auto"/>
              </w:rPr>
            </w:pPr>
          </w:p>
        </w:tc>
        <w:tc>
          <w:tcPr>
            <w:tcW w:w="2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40" w:type="dxa"/>
            <w:vAlign w:val="bottom"/>
          </w:tcPr>
          <w:p>
            <w:pPr>
              <w:spacing w:after="0"/>
              <w:rPr>
                <w:sz w:val="20"/>
                <w:szCs w:val="20"/>
                <w:color w:val="auto"/>
              </w:rPr>
            </w:pPr>
          </w:p>
        </w:tc>
        <w:tc>
          <w:tcPr>
            <w:tcW w:w="21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0"/>
        </w:trPr>
        <w:tc>
          <w:tcPr>
            <w:tcW w:w="5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(8,861 )</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7"/>
                <w:szCs w:val="17"/>
                <w:color w:val="auto"/>
              </w:rPr>
            </w:pPr>
          </w:p>
        </w:tc>
        <w:tc>
          <w:tcPr>
            <w:tcW w:w="2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7"/>
                <w:szCs w:val="17"/>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-471170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-453390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Term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Trinity Capital</w:t>
      </w:r>
    </w:p>
    <w:p>
      <w:pPr>
        <w:spacing w:after="0" w:line="121"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Trinity Term Loans is the greater of (a) the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through November 13, 2028 (the “Maturity Date”). As of December 31, 2024, $40.0 million was outstanding on the Trinity Term Loan, recorded as Term Loan, net on the consolidated balance sheet.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Trinity Term Loan Agreement as of December 31, 2024 are as follows (in thousands):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spacing w:after="0"/>
              <w:rPr>
                <w:sz w:val="18"/>
                <w:szCs w:val="18"/>
                <w:color w:val="auto"/>
              </w:rPr>
            </w:pPr>
          </w:p>
        </w:tc>
      </w:tr>
      <w:tr>
        <w:trPr>
          <w:trHeight w:val="216"/>
        </w:trPr>
        <w:tc>
          <w:tcPr>
            <w:tcW w:w="9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December 31, 2024, the Company is in compliance with all covenants of the Trinity Term Loans.</w:t>
      </w:r>
    </w:p>
    <w:p>
      <w:pPr>
        <w:spacing w:after="0" w:line="19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proceeds of the Trinity Term Loans were used to repay the Company’s obligations under the Term Loan Agreement (as defined below) with Silicon Valley Bank in full. The Term Loan Agreement with Silicon Valley Bank was terminated concurrently with entry into the Trinity Term Loan Agreement.</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Trinity Term Loans and determined that the Company is eligible to elect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Trinity Term Loans contains various embedded features and the election of the fair value option allows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spacing w:after="0" w:line="19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consolidated statements of operations.</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jc w:val="both"/>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Trinity Term Loans and the Success Fee using a probability-weighted income approach and recorded the loan at fair value of $39.2 million and the Success Fee liability at fair value of $0.8 million in the consolidated balance sheet at issuance.</w:t>
      </w:r>
    </w:p>
    <w:p>
      <w:pPr>
        <w:spacing w:after="0" w:line="16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Trinity Term Loans and Success Fee as of December 31, 2024 using a probability-weighted income approach. The Company calculated discounted cash flows of the Trinity Term Loans using a discount rate of 11.12% and adjusted for the probability of various repayment scenarios. The Company calculated the discounted cash flows of the Success Fee liability, using a discount rate of 11.12% then adjusted for the probability of achievement of certain corporate development value-inflection milestones.</w:t>
      </w:r>
    </w:p>
    <w:p>
      <w:pPr>
        <w:spacing w:after="0" w:line="180"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fair value balance at November 13, 2023</w:t>
            </w: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39,230</w:t>
            </w:r>
          </w:p>
        </w:tc>
        <w:tc>
          <w:tcPr>
            <w:tcW w:w="1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w:t>
            </w:r>
          </w:p>
        </w:tc>
        <w:tc>
          <w:tcPr>
            <w:tcW w:w="8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FF0FC"/>
          </w:tcPr>
          <w:p>
            <w:pPr>
              <w:spacing w:after="0"/>
              <w:rPr>
                <w:sz w:val="18"/>
                <w:szCs w:val="18"/>
                <w:color w:val="auto"/>
              </w:rPr>
            </w:pP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December 31, 2023</w:t>
            </w:r>
          </w:p>
        </w:tc>
        <w:tc>
          <w:tcPr>
            <w:tcW w:w="84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90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Principal payments</w:t>
            </w:r>
          </w:p>
        </w:tc>
        <w:tc>
          <w:tcPr>
            <w:tcW w:w="840" w:type="dxa"/>
            <w:vAlign w:val="bottom"/>
          </w:tcPr>
          <w:p>
            <w:pPr>
              <w:spacing w:after="0"/>
              <w:rPr>
                <w:sz w:val="17"/>
                <w:szCs w:val="17"/>
                <w:color w:val="auto"/>
              </w:rPr>
            </w:pPr>
          </w:p>
        </w:tc>
        <w:tc>
          <w:tcPr>
            <w:tcW w:w="1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(597 )</w:t>
            </w:r>
          </w:p>
        </w:tc>
      </w:tr>
      <w:tr>
        <w:trPr>
          <w:trHeight w:val="21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18"/>
                <w:szCs w:val="18"/>
                <w:color w:val="auto"/>
              </w:rPr>
            </w:pPr>
          </w:p>
        </w:tc>
      </w:tr>
      <w:tr>
        <w:trPr>
          <w:trHeight w:val="249"/>
        </w:trPr>
        <w:tc>
          <w:tcPr>
            <w:tcW w:w="9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December 31, 2024</w:t>
            </w: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$5.2 million of interest expense within change in fair value of term loans, all of which was paid as of December 31, 2024. During the year ended December 31, 2023 the Company recorded $0.7 million of interest expense within change in fair value of term loans, all of which was paid as of December 31, 2023.</w:t>
      </w:r>
    </w:p>
    <w:p>
      <w:pPr>
        <w:spacing w:after="0" w:line="176"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 liability during the years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Success Fee</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fair value balance at November 13, 2023</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Success Fee</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49"/>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December 31, 2023</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 in fair value of Success Fee</w:t>
            </w: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7"/>
                <w:szCs w:val="17"/>
                <w:color w:val="auto"/>
              </w:rPr>
            </w:pPr>
          </w:p>
        </w:tc>
      </w:tr>
      <w:tr>
        <w:trPr>
          <w:trHeight w:val="250"/>
        </w:trPr>
        <w:tc>
          <w:tcPr>
            <w:tcW w:w="9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fair value balance as of December 31, 2024</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Silicon Valley Bank</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provided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 The Company did not draw on the two additional $20.0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ind w:right="380" w:firstLine="45"/>
        <w:spacing w:after="0" w:line="282" w:lineRule="auto"/>
        <w:rPr>
          <w:sz w:val="20"/>
          <w:szCs w:val="20"/>
          <w:color w:val="auto"/>
        </w:rPr>
      </w:pPr>
      <w:r>
        <w:rPr>
          <w:rFonts w:ascii="Times New Roman" w:cs="Times New Roman" w:eastAsia="Times New Roman" w:hAnsi="Times New Roman"/>
          <w:sz w:val="18"/>
          <w:szCs w:val="18"/>
          <w:color w:val="auto"/>
        </w:rPr>
        <w:t>million tranches prior to expiration on September 30, 2022 and March 31, 2023. The Term Loan Agreement with Silicon Valley Bank was terminated concurrently with entry into the Trinity Term Loan Agreement in November 2023.</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was the greater of (a) the WSJ (“Wall Street Journal”) Prime Rate plus 3.75% or (b) 7.00% per annum. The Term Loans were interest only from the Closing Date through August 31, 2024, after which the Company was required to pay equal monthly installments of principal through August 1, 2026, the maturity date.</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Term Loans could have been prepaid in full through August 12, 2023, with payment of a 1.00% prepayment premium, after which they could be prepaid in full with no prepayment premium. An additional final payment of 7.5% of the amount of Terms Loans advanced by the Lenders (“Exit Fee”) was due upon prepayment or repayment of the Term Loans in full. The Exit Fee of $3.0 million was recorded as debt discount. The debt discount was being accreted using the effective interest method over the term of the Term Loans within interest expense in the consolidated statements of operations.</w:t>
      </w:r>
    </w:p>
    <w:p>
      <w:pPr>
        <w:spacing w:after="0" w:line="180"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Term Loan Agreement were secured by a perfected security interest in all of the Company’s assets except for intellectual property and certain other customarily excluded property pursuant to the terms of the Term Loan Agreement.</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Upon termination of the Term Loan Agreement with Silicon Valley Bank, the Company made a prepayment of $43.2 million to satisfy the Company’s principal and interest obligations and related fees under the Term Loan Agreement. The payoff amount paid by the Company in connection with the Term Loans included payment of the Exit Fee of $3.0 million and accrued interest of $0.2 million. In connection with the repayment of the Term Loans, the remaining balance of debt discount of $1.4 million was recognized as a component of other income (expense) in the consolidated statements of operations for the year ended December 31, 2023.</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2023, the Company recognized interest expense related to the Term Loans of $4.9 million.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76"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ind w:right="20"/>
        <w:spacing w:after="0" w:line="282" w:lineRule="auto"/>
        <w:rPr>
          <w:sz w:val="20"/>
          <w:szCs w:val="20"/>
          <w:color w:val="auto"/>
        </w:rPr>
      </w:pPr>
      <w:r>
        <w:rPr>
          <w:rFonts w:ascii="Times New Roman" w:cs="Times New Roman" w:eastAsia="Times New Roman" w:hAnsi="Times New Roman"/>
          <w:sz w:val="18"/>
          <w:szCs w:val="18"/>
          <w:color w:val="auto"/>
        </w:rPr>
        <w:t>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spacing w:after="0" w:line="184"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consolidated balance sheet at the inception of the Astellas Transactions.</w:t>
      </w:r>
    </w:p>
    <w:p>
      <w:pPr>
        <w:spacing w:after="0" w:line="18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40" w:type="dxa"/>
            <w:vAlign w:val="bottom"/>
            <w:tcBorders>
              <w:bottom w:val="single" w:sz="8" w:color="auto"/>
            </w:tcBorders>
            <w:shd w:val="clear" w:color="auto" w:fill="CFF0FC"/>
          </w:tcPr>
          <w:p>
            <w:pPr>
              <w:spacing w:after="0"/>
              <w:rPr>
                <w:sz w:val="18"/>
                <w:szCs w:val="18"/>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jc w:val="both"/>
        <w:ind w:right="4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determined that the total estimated costs to be incurred to satisfy the performance obligation associated with Rett research and development activities had increased from the cost estimate used for the year ended December 31, 2023.</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$8.3 million and $13.2 million from Rett research and development activities for the year ended December 31, 2024 and 2023, respectively. In September 2023, Astellas provided written notice of its decision not to exercise the GAN Option. The Company recognized revenue of $2.3 million from the GAN Option during the year ended December 31, 2023.</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recorded deferred revenue of $9.8 million within current liabilities in the accompanying consolidated balance sheet. The Company will recognize revenues for these performance obligations as they are satisfied.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the Company transferred rights to specific indications back to UT Southwestern.</w:t>
      </w:r>
    </w:p>
    <w:p>
      <w:pPr>
        <w:spacing w:after="0" w:line="18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(the “Queen’s Agreement”) with Queen’s University at Kingston (“Queen’s”)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 million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3" w:name="page124"/>
    <w:bookmarkEnd w:id="123"/>
    <w:p>
      <w:pPr>
        <w:ind w:right="100"/>
        <w:spacing w:after="0" w:line="258" w:lineRule="auto"/>
        <w:rPr>
          <w:sz w:val="20"/>
          <w:szCs w:val="20"/>
          <w:color w:val="auto"/>
        </w:rPr>
      </w:pPr>
      <w:r>
        <w:rPr>
          <w:rFonts w:ascii="Times New Roman" w:cs="Times New Roman" w:eastAsia="Times New Roman" w:hAnsi="Times New Roman"/>
          <w:sz w:val="18"/>
          <w:szCs w:val="18"/>
          <w:color w:val="auto"/>
        </w:rPr>
        <w:t>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8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In January 2024, the Company transferred rights back to Queen’s for the Licensed Patents. No additional milestone payments were made in connection with the Queen’s Agreement during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No additional milestone payments were triggered in connection with this agreement during the years ended December 31,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consolidated statements of operations for the year ended December 31, 2023. This milestone fee was paid in August 2023 and classified as an investing cash outflow in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statements of cash flows for the year ended December 31, 2023. No additional milestone payments were made or triggered in connection with this agreement during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for the treatment of GAN</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(developed by the Company as TSHA-120) for the treatment of GAN pursuant to a license agreement (the “GAN License Agreement”) with Hannah’s Hope Fund for Giant Axonal Neuropathy, Inc. (“HHF”). In connection with the GAN License Agreement, the Company also obtained rights to collaborate with the National Institute of Neurological Disorders and Stroke (“NINDS”) on a clinical trial for TSHA-120, an intrathecally dosed AAV9 gene therapy for the treatment of GAN.</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terms of the GAN License Agreement, in exchange for granting the Company the exclusive worldwide rights to TSHA-120, HHF received an upfront payment of $5.5 million. No additional milestone payments were made or triggered in connection with the GAN License Agreement during the year ended December 31, 2024. In January 2024, the Company initiated the return of the FDA Investigational New Drug application and transfer of the investigational clinical trial material for TSHA-120 in GAN to NINDS, enabling an opportunity for continued clinical evaluation of TSHA-120 in GAN after the Company discontinued development of TSHA-120 in GAN in September 2023. In January 2024, the Company gave notice of termination of the GAN License Agreement, and such termination became effective in July 2024 when all licensed rights under the GAN License Agreement reverted to HHF.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CLN7</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 No additional milestone payments were made in connection with this agreement during the years ended December 31,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20" w:firstLine="749"/>
        <w:spacing w:after="0" w:line="281" w:lineRule="auto"/>
        <w:rPr>
          <w:sz w:val="20"/>
          <w:szCs w:val="20"/>
          <w:color w:val="auto"/>
        </w:rPr>
      </w:pPr>
      <w:r>
        <w:rPr>
          <w:rFonts w:ascii="Times New Roman" w:cs="Times New Roman" w:eastAsia="Times New Roman" w:hAnsi="Times New Roman"/>
          <w:sz w:val="17"/>
          <w:szCs w:val="17"/>
          <w:color w:val="auto"/>
        </w:rPr>
        <w:t>On July 1, 2020, the Company’s board of directors approved the 2020 Equity Incentive Plan (“Previous Plan”) which permitted the granting of incentive stock options, non-statutory stock options, stock appreciation rights, RSAs,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64"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2024, the Company increased the number of shares of common stock reserved for issuance under the New Plan by 9,348,009 shares.</w:t>
      </w:r>
    </w:p>
    <w:p>
      <w:pPr>
        <w:spacing w:after="0" w:line="187"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2023 and 2024, the Company’s board of directors increased the number of shares of common stock reserved for issuance under the ESPP by 632,075 and 724,000 respectively. The Company has issued an aggregate of 235,363 shares of common stock under the ESPP as of December 31, 2024.</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Company’s board of directors reserved an additional 2,000,000 shares of the Company’s common stock for issuance under the Inducement Plan.</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Previous</w:t>
            </w:r>
          </w:p>
        </w:tc>
        <w:tc>
          <w:tcPr>
            <w:tcW w:w="16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New</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4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5"/>
                <w:szCs w:val="15"/>
                <w:color w:val="auto"/>
              </w:rPr>
            </w:pPr>
          </w:p>
        </w:tc>
        <w:tc>
          <w:tcPr>
            <w:tcW w:w="1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gridSpan w:val="2"/>
          </w:tcPr>
          <w:p>
            <w:pPr>
              <w:spacing w:after="0"/>
              <w:rPr>
                <w:sz w:val="15"/>
                <w:szCs w:val="15"/>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gridSpan w:val="2"/>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2023</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1,067,682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(667,828 )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(5,447,757 )</w:t>
            </w:r>
          </w:p>
        </w:tc>
        <w:tc>
          <w:tcPr>
            <w:tcW w:w="10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(5,447,757 )</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667,828</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3,714,597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3,162,725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7,162,725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Plan adjustments and amendments</w:t>
            </w:r>
          </w:p>
        </w:tc>
        <w:tc>
          <w:tcPr>
            <w:tcW w:w="16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9,348,009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11,348,009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Grants</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(12,442,262 )</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(3,774,300 )</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(16,216,562 )</w:t>
            </w: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774,000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December 31,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701,430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2,999,700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-607695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-590550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-607695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-590550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-607695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-590550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11,719,421 shares of common stock under the New Plan and Inducement Plan were awarded with a weighted-average grant date fair value per share of $1.53. The stock options vest over one to four years and have a ten-year contractual term.</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years ended December 31, 2024 and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7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820" w:type="dxa"/>
            <w:vAlign w:val="bottom"/>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4.02 %</w:t>
            </w:r>
          </w:p>
        </w:tc>
        <w:tc>
          <w:tcPr>
            <w:tcW w:w="10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3.68 %</w:t>
            </w:r>
          </w:p>
        </w:tc>
      </w:tr>
      <w:tr>
        <w:trPr>
          <w:trHeight w:val="21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3"/>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FF0FC"/>
          </w:tcPr>
          <w:p>
            <w:pPr>
              <w:spacing w:after="0"/>
              <w:rPr>
                <w:sz w:val="18"/>
                <w:szCs w:val="18"/>
                <w:color w:val="auto"/>
              </w:rPr>
            </w:pPr>
          </w:p>
        </w:tc>
      </w:tr>
      <w:tr>
        <w:trPr>
          <w:trHeight w:val="234"/>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89 %</w:t>
            </w:r>
          </w:p>
        </w:tc>
        <w:tc>
          <w:tcPr>
            <w:tcW w:w="10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years ended December 31, 2024 and 2023: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52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6,158,078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Options granted</w:t>
            </w:r>
          </w:p>
        </w:tc>
        <w:tc>
          <w:tcPr>
            <w:tcW w:w="27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2,726,871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2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(2,050,562 )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5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(873,465 )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5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5,960,922</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Options granted</w:t>
            </w:r>
          </w:p>
        </w:tc>
        <w:tc>
          <w:tcPr>
            <w:tcW w:w="27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11,719,421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(58,832 )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2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(1,327,123 )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expired</w:t>
            </w:r>
          </w:p>
        </w:tc>
        <w:tc>
          <w:tcPr>
            <w:tcW w:w="15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(73,783 )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16,220,605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2024</w:t>
            </w:r>
          </w:p>
        </w:tc>
        <w:tc>
          <w:tcPr>
            <w:tcW w:w="15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3,595,465</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29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F-25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4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-2099310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-2099310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-2099310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-1233805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-1233805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-1216660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-1233805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December 31, 2024, the total unrecognized compensation related to unvested time-based vesting stock option awards granted was $15.5 million, which the Company expects to recognize over a weighted-average period of approximately 2.7 years. During the year ended December 31, 2024 58,832 stock options were exercised. No stock options were exercised during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December 31, 2024, 58,346 of the shares subject to the performance-based options were vested and outstanding. No performance-based stock options were exercised during the year ended December 31, 2024.</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7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 is equal to the modification date fair value. The Modified Options have a grant date fair value per share of $1.28. The following assumptions were used to estimate the fair value of the Modified Options: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9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$1.2 million and $0.1 million for the years ended December 31, 2024 and 2023, respectively, related to the Modified Options. As of December 31, 2024, the total unrecognized compensation expense related to the Modified Options was $0.7 million, which the Company expects to recognize over a weighted average period of approximately 1.6 years using the accelerated attribution method. As of December 31, 2024, 1,516,655 of the Modified Options were outstanding, of which 505,552 vested during the period. No stock options were exercised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Stock Options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December 31, 2023, the market condition was not met and all 70,233 shares were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issued 4,497,141 RSUs to employees under the New Plan. The RSUs are subject to a service-based vesting condition. The service-based RSUs vest in equal annual installments over a one to four-year period. The Company at any time may accelerate the vesting of the RSUs. Such shares are not accounted for as outstanding until they vest.</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issued 81,236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7" w:name="page128"/>
    <w:bookmarkEnd w:id="127"/>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March 2023, the Company issued 251,296 RSUs to the former President and Chief Executive officer of the Company in connection with his resignation from the Company and Board of Directors. The RSUs vested immediately.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years ended December 31, 2024 and 2023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1,257,844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332,532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(556,989 )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(658,343 )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375,044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4,497,141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(323,031 )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related to unvested RSUs granted was $6.0 million which is expected to be amortized on a straight-line basis over a weighted-average period of approximately 2.9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Market-based Restricted Stock Units</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During the year ended December 31, 2023, 46,562 of the RSUs were forfeited and 34,671 RSUs vested and were settled. No RSUs that contain performance or market-based vesting conditions were granted or outstanding during the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Company’s former President and Chief Executive Officer, was awarded 769,058 RSAs under the Existing Plan on July 1, 2020, which vested over a three-year term, subject to continuous employment. The fair value of these RSAs at the grant date of July 1, 2020, was $5.28 per share. On March 2, 2023, the Company’s former President and Chief Executive Officer resigned from the Board of Directors, therefore canceling any remaining unvested tranches. No RSAs were granted or outstanding during the year ended December 31, 2024.</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RSA activity for the year ended December 31, 2023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8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85,494</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(64,120 )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 or forfeited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(21,374 )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ind w:right="340"/>
        <w:spacing w:after="0" w:line="282" w:lineRule="auto"/>
        <w:rPr>
          <w:sz w:val="20"/>
          <w:szCs w:val="20"/>
          <w:color w:val="auto"/>
        </w:rPr>
      </w:pPr>
      <w:r>
        <w:rPr>
          <w:rFonts w:ascii="Times New Roman" w:cs="Times New Roman" w:eastAsia="Times New Roman" w:hAnsi="Times New Roman"/>
          <w:sz w:val="18"/>
          <w:szCs w:val="18"/>
          <w:color w:val="auto"/>
        </w:rPr>
        <w:t>limited to 15% of the employee’s compensation and employees may not purchase more than 1,800 shares of Taysha common stock during any offering period. During the years ended December 31, 2024 and 2023, stock-based compensation expense related to the ESPP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RSAs and RSUs recorded in the consolidated statements of operations for the years ended December 31, 2024 and 2023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vMerge w:val="restart"/>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440" w:type="dxa"/>
            <w:vAlign w:val="bottom"/>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6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3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Purchase Price minus $0.001 per PIPE Pre-Funded Warrant.</w:t>
      </w:r>
    </w:p>
    <w:p>
      <w:pPr>
        <w:spacing w:after="0" w:line="187"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9" w:name="page130"/>
    <w:bookmarkEnd w:id="129"/>
    <w:p>
      <w:pPr>
        <w:ind w:right="120"/>
        <w:spacing w:after="0" w:line="266" w:lineRule="auto"/>
        <w:rPr>
          <w:sz w:val="20"/>
          <w:szCs w:val="20"/>
          <w:color w:val="auto"/>
        </w:rPr>
      </w:pPr>
      <w:r>
        <w:rPr>
          <w:rFonts w:ascii="Times New Roman" w:cs="Times New Roman" w:eastAsia="Times New Roman" w:hAnsi="Times New Roman"/>
          <w:sz w:val="18"/>
          <w:szCs w:val="18"/>
          <w:color w:val="auto"/>
        </w:rPr>
        <w:t>decrease the beneficial ownership limitation by giving 61 days’ notice to the Company, but not to any percentage in excess of 19.99%. The exercise of the 2023 Pre-Funded Warrants was also contingent upon receipt of stockholder approval of an increase in the authorized shares of the Company’s common stock (the “Stockholder Approval”), which the Company obtained at a special meeting of stockholders held on November 15, 2023.</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2023 Pre-Funded Warrants on the PIPE Closing date with the remaining proceeds allocated to the PIPE Shares on a residual basis.</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Company concluded that at the closing of the August 2023 Private Placement in August 2023, the 2023 Pre-Funded Warrants did not meet the criteria for equity classification under the guidance of ASC 815 as the Company did not have sufficient authorized and unissued shares to satisfy the warrants if exercised. The Company recorded the 2023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2023 Pre-Funded Warrants on a systematic basis. The Company allocated $7.1 million to the PIPE Shares which was recorded as a deduction to additional paid-in capital. The remaining $2.6 million allocated to the 2023 Pre-Funded Warrants were recorded within general and administrative expense in the consolidated statements of operations for the year ended December 31, 2023. The issuance costs allocated to the Pre-Funded Warrants have been added back to net loss when deriving cash flows used in operations, and have been classified as a financing cash outflow in the consolidated statements of cash flows for the year ended December 31, 2023.</w:t>
      </w:r>
    </w:p>
    <w:p>
      <w:pPr>
        <w:spacing w:after="0" w:line="19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measured the fair value of the PIPE Shares and 2023 Pre-Funded Warrants based on the $0.90 per share Purchase Price. The Company used the relative fair value method to allocate the net proceeds received from the sales of the PIPE Shares and the 2023 Pre-Funded Warrants on the consolidated balance sheet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PIPE Shares</w:t>
            </w: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110,127</w:t>
            </w:r>
          </w:p>
        </w:tc>
        <w:tc>
          <w:tcPr>
            <w:tcW w:w="12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6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20" w:type="dxa"/>
            <w:vAlign w:val="bottom"/>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2023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18"/>
          <w:szCs w:val="18"/>
          <w:color w:val="auto"/>
        </w:rPr>
        <w:t>The Company determined the fair value of the SSI Warrants at issuance was $0.3 million using the Black-Scholes-Merton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warrants at issuance: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6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6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0.71</w:t>
            </w:r>
          </w:p>
        </w:tc>
      </w:tr>
    </w:tbl>
    <w:p>
      <w:pPr>
        <w:spacing w:after="0" w:line="19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fair value adjustment as of December 31, 2023 was $0.2 million using the Black-Scholes-Merton option pricing model with probability weights applied to each of the SSI Warrants where vesting is contingent upon the achievement of certain clinical and regulatory milestones related to the Company’s clinical programs. The fair value adjustment as of December 31, 2024 was less than $0.1 million using the Black-Scholes-Merton option pricing model. As of December 31, 2024, 316,667 of the SSI Warrants have vested and are exercisable. No warrants were exercised during the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using the following assumptions as of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00" w:type="dxa"/>
            <w:vAlign w:val="bottom"/>
          </w:tcPr>
          <w:p>
            <w:pPr>
              <w:spacing w:after="0"/>
              <w:rPr>
                <w:sz w:val="15"/>
                <w:szCs w:val="15"/>
                <w:color w:val="auto"/>
              </w:rPr>
            </w:pPr>
          </w:p>
        </w:tc>
        <w:tc>
          <w:tcPr>
            <w:tcW w:w="16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4.43 %</w:t>
            </w:r>
          </w:p>
        </w:tc>
        <w:tc>
          <w:tcPr>
            <w:tcW w:w="6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3.84 %</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6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88 %</w:t>
            </w: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1600" w:type="dxa"/>
            <w:vAlign w:val="bottom"/>
            <w:shd w:val="clear" w:color="auto" w:fill="CFF0FC"/>
          </w:tcPr>
          <w:p>
            <w:pPr>
              <w:jc w:val="right"/>
              <w:ind w:right="142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years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00" w:type="dxa"/>
            <w:vAlign w:val="bottom"/>
          </w:tcPr>
          <w:p>
            <w:pPr>
              <w:spacing w:after="0"/>
              <w:rPr>
                <w:sz w:val="15"/>
                <w:szCs w:val="15"/>
                <w:color w:val="auto"/>
              </w:rPr>
            </w:pPr>
          </w:p>
        </w:tc>
      </w:tr>
      <w:tr>
        <w:trPr>
          <w:trHeight w:val="210"/>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SSI Warrants</w:t>
            </w:r>
          </w:p>
        </w:tc>
        <w:tc>
          <w:tcPr>
            <w:tcW w:w="4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r>
      <w:tr>
        <w:trPr>
          <w:trHeight w:val="216"/>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2023 Pre-funded Warrants</w:t>
            </w:r>
          </w:p>
        </w:tc>
        <w:tc>
          <w:tcPr>
            <w:tcW w:w="46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00" w:type="dxa"/>
            <w:vAlign w:val="bottom"/>
            <w:shd w:val="clear" w:color="auto" w:fill="CFF0FC"/>
          </w:tcPr>
          <w:p>
            <w:pPr>
              <w:spacing w:after="0"/>
              <w:rPr>
                <w:sz w:val="18"/>
                <w:szCs w:val="18"/>
                <w:color w:val="auto"/>
              </w:rPr>
            </w:pP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00" w:type="dxa"/>
            <w:vAlign w:val="bottom"/>
          </w:tcPr>
          <w:p>
            <w:pPr>
              <w:spacing w:after="0"/>
              <w:rPr>
                <w:sz w:val="18"/>
                <w:szCs w:val="18"/>
                <w:color w:val="auto"/>
              </w:rPr>
            </w:pPr>
          </w:p>
        </w:tc>
      </w:tr>
      <w:tr>
        <w:trPr>
          <w:trHeight w:val="216"/>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 of 2023 Pre-funded Warrants to equity</w:t>
            </w:r>
          </w:p>
        </w:tc>
        <w:tc>
          <w:tcPr>
            <w:tcW w:w="46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(74,342 )</w:t>
            </w:r>
          </w:p>
        </w:tc>
      </w:tr>
      <w:tr>
        <w:trPr>
          <w:trHeight w:val="209"/>
        </w:trPr>
        <w:tc>
          <w:tcPr>
            <w:tcW w:w="8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FF0FC"/>
            </w:tcBorders>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3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(16 )</w:t>
            </w:r>
          </w:p>
        </w:tc>
      </w:tr>
      <w:tr>
        <w:trPr>
          <w:trHeight w:val="210"/>
        </w:trPr>
        <w:tc>
          <w:tcPr>
            <w:tcW w:w="8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FF0FC"/>
            </w:tcBorders>
          </w:tcPr>
          <w:p>
            <w:pPr>
              <w:spacing w:after="0"/>
              <w:rPr>
                <w:sz w:val="18"/>
                <w:szCs w:val="18"/>
                <w:color w:val="auto"/>
              </w:rPr>
            </w:pPr>
          </w:p>
        </w:tc>
      </w:tr>
      <w:tr>
        <w:trPr>
          <w:trHeight w:val="20"/>
        </w:trPr>
        <w:tc>
          <w:tcPr>
            <w:tcW w:w="8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121"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both periods presented, basic and diluted net loss per common share are the same.</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Company issued liability-classified Pre-Funded Warrants with a nominal exercise price of $0.001 per share (see Note 10).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shares issuable for little to no cash consideration should be included in the number of outstanding shares used to calculate basic loss per share as long as all conditions necessary for exercise are met. The conditions for exercise were met on November 15, 2023, at which time the Pre-Funded Warrants were reclassified into equity. The Pre-Funded Warrants are therefore included as outstanding shares as of November 15, 2023 to calculate the weighted average number of shares outstanding to calculate basic loss per share.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1" w:name="page132"/>
    <w:bookmarkEnd w:id="131"/>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years ended December 31, 2024 and 2023, respectively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(89,298 )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(111,566 )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 share,</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250,134,421</w:t>
            </w: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116,121,482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6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December 31, 2024 and 2023, respectively,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375,044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17,795,606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7,535,924</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22,661,427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8,227,635</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Beginning in 2022, the 2017 Tax Cuts and Jobs Act amended Section 174 to eliminate current-year deductibility of research and experimentation (R&amp;E) expenditures and software development costs (collectively, R&amp;E expenditures) and instead require taxpayers to charge their R&amp;E expenditures to a capital account amortized over five years (15 years for expenditures attributable to R&amp;E activity performed outside the United States). The Company generated a deferred tax asset for capitalized R&amp;E expenditures for the years ended December 31, 2024 and 2023 which are fully offset by valuation allowances for each period.</w:t>
      </w:r>
    </w:p>
    <w:p>
      <w:pPr>
        <w:spacing w:after="0" w:line="183"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or the Inflation Act, into law. The Inflation Act contains certain tax measures, including a corporate alternative minimum tax of 15% on some large corporations and an excise tax of 1% on corporate stock buy-backs. The various provisions of the Inflation Act do not have a material impact on the Company’s consolidated financial statements.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11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r>
      <w:tr>
        <w:trPr>
          <w:trHeight w:val="210"/>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21.00 %</w:t>
            </w:r>
          </w:p>
        </w:tc>
        <w:tc>
          <w:tcPr>
            <w:tcW w:w="1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0.03 %</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0.33 %</w:t>
            </w:r>
          </w:p>
        </w:tc>
      </w:tr>
      <w:tr>
        <w:trPr>
          <w:trHeight w:val="21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5.89 %</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(18.98 )%</w:t>
            </w:r>
          </w:p>
        </w:tc>
      </w:tr>
      <w:tr>
        <w:trPr>
          <w:trHeight w:val="21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(0.03 )%</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(0.67 )%</w:t>
            </w:r>
          </w:p>
        </w:tc>
      </w:tr>
      <w:tr>
        <w:trPr>
          <w:trHeight w:val="21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(23.50 )%</w:t>
            </w:r>
          </w:p>
        </w:tc>
        <w:tc>
          <w:tcPr>
            <w:tcW w:w="1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8.10 %</w:t>
            </w:r>
          </w:p>
        </w:tc>
      </w:tr>
      <w:tr>
        <w:trPr>
          <w:trHeight w:val="21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loan and warrant liability</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(1.11 )%</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(6.83 )%</w:t>
            </w: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(2.28 )%</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(2.93 )%</w:t>
            </w:r>
          </w:p>
        </w:tc>
      </w:tr>
      <w:tr>
        <w:trPr>
          <w:trHeight w:val="20"/>
        </w:trPr>
        <w:tc>
          <w:tcPr>
            <w:tcW w:w="79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0.00 %</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7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29"/>
        </w:trPr>
        <w:tc>
          <w:tcPr>
            <w:tcW w:w="87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79"/>
        </w:trPr>
        <w:tc>
          <w:tcPr>
            <w:tcW w:w="79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-1216660</wp:posOffset>
            </wp:positionV>
            <wp:extent cx="1543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-1216660</wp:posOffset>
            </wp:positionV>
            <wp:extent cx="1543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8"/>
          <w:szCs w:val="18"/>
          <w:i w:val="1"/>
          <w:iCs w:val="1"/>
          <w:color w:val="auto"/>
        </w:rPr>
        <w:t>Deferred tax assets and valuation allowance</w:t>
      </w:r>
    </w:p>
    <w:p>
      <w:pPr>
        <w:spacing w:after="0" w:line="11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2024 and 2023, the significant components of the Company’s net deferred tax assets and liabilities are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32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Accruals and reserves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R&amp;E expenditures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(1,912 )</w:t>
            </w:r>
          </w:p>
        </w:tc>
        <w:tc>
          <w:tcPr>
            <w:tcW w:w="1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(2,224 )</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(1,912 )</w:t>
            </w:r>
          </w:p>
        </w:tc>
        <w:tc>
          <w:tcPr>
            <w:tcW w:w="1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(2,226 )</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1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(114,132 )</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(92,037 )</w:t>
            </w:r>
          </w:p>
        </w:tc>
        <w:tc>
          <w:tcPr>
            <w:tcW w:w="0" w:type="dxa"/>
            <w:vAlign w:val="bottom"/>
          </w:tcPr>
          <w:p>
            <w:pPr>
              <w:spacing w:after="0"/>
              <w:rPr>
                <w:sz w:val="1"/>
                <w:szCs w:val="1"/>
                <w:color w:val="auto"/>
              </w:rPr>
            </w:pPr>
          </w:p>
        </w:tc>
      </w:tr>
      <w:tr>
        <w:trPr>
          <w:trHeight w:val="209"/>
        </w:trPr>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taxes</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-1010920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-454025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valuation allowance is equal to the total net deferred tax asset amounts as of December 31, 2024 and 2023.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net of liabilities arising from the above-mentioned future tax benefits is currently not likely to be realized and, accordingly, has provided a valuation allowance.</w:t>
      </w:r>
    </w:p>
    <w:p>
      <w:pPr>
        <w:spacing w:after="0" w:line="187"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$22.1 million during the year ended December 31, 2024, and decreased by $9.0 million during the year ended December 31, 2023.</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gross federal NOLs of $268.3 million, gross state NOLs of $11.7 million, federal tax credit carryforward of $8.7 million, and state tax credit carryforward of $1.3 million. The net operating losses and state tax credit carryforward do not expire. As of December 31, 2023, there were gross federal NOLs of $222.1 million, gross state NOLs of $11.9 million, federal tax credit carryforward of $28.6 million, and state tax credit carryforward of $1.2 million. The federal tax credit carryforward will expire in 2040. The Company files federal, foreign and state income tax returns and, in the normal course of business, the Company is subject to examination by these taxing authorities. All periods since Inception are subject to examination by these taxing authorities, where applicable. There are currently no pending income tax examinations.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completed studies to assess whether an ownership change has occurred through December 31, 2023. Based on these analyses, several ownership changes were identified in 2020 and an additional ownership change occurred in 2023. As a result of the ownership shift that occurred in August 2023, the Company has determined that $217.9 million of its gross federal NOLs are subject to an annual utilization limitation of $3.1 million, which can be increased in the five year period post change date for any realized built-in gain. Additionally, there were $27.1 million of research credits that will expire due to such limitations, resulting in a write-off of the related deferred tax assets and reversal of the corresponding uncertain tax positions and valuation allowance in 2023. The Company will continue to monitor equity movement and its impact on the utilization of the NOLs and credits as the Company could experience additional ownership changes subsequent to December 31, 2023, which may result in additional limitations on the utilization of NOL carryforwards and credits.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33" w:name="page134"/>
    <w:bookmarkEnd w:id="133"/>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The Company has not recorded a liability related to these lawsuits because, at this time, the Company is unable to reasonably estimate possible losses or gains or determine whether an unfavorable outcome is either probable or remote.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December 31, 2024. The Company does not anticipate recognizing any significant losses relating to these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Strategic Reprioritization</w:t>
      </w:r>
    </w:p>
    <w:p>
      <w:pPr>
        <w:spacing w:after="0" w:line="121"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spacing w:after="0" w:line="17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prioritization of programs, the Company reduced headcount by approximately 35% across all functions in March 2022. In accordance with ASC 420, </w:t>
      </w:r>
      <w:r>
        <w:rPr>
          <w:rFonts w:ascii="Times New Roman" w:cs="Times New Roman" w:eastAsia="Times New Roman" w:hAnsi="Times New Roman"/>
          <w:sz w:val="18"/>
          <w:szCs w:val="18"/>
          <w:i w:val="1"/>
          <w:iCs w:val="1"/>
          <w:color w:val="auto"/>
        </w:rPr>
        <w:t>Exit and Disposal Activities</w:t>
      </w:r>
      <w:r>
        <w:rPr>
          <w:rFonts w:ascii="Times New Roman" w:cs="Times New Roman" w:eastAsia="Times New Roman" w:hAnsi="Times New Roman"/>
          <w:sz w:val="18"/>
          <w:szCs w:val="18"/>
          <w:color w:val="auto"/>
        </w:rPr>
        <w:t>, the Company recorded one-time severance and termination-related costs of $2.6 million in the consolidated statements of operations for the year ended December 31, 2022, primarily within research and development expenses. In December 2022, the Company further reduced headcount and recorded additional one-time severance and termination related costs of $1.5 million within research and development and general and administrative expenses. Throughout the first quarter of 2023, the Company further reduced headcount and recorded additional one-time severance and termination related costs of $2.7 million within research and development and general and administrative expenses.</w:t>
      </w:r>
    </w:p>
    <w:p>
      <w:pPr>
        <w:spacing w:after="0" w:line="18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Payment of these costs are complete as of December 31, 2024. The change in accrued severance during the years ended December 31, 2024 and 2023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Accrued Severance</w:t>
            </w:r>
          </w:p>
        </w:tc>
      </w:tr>
      <w:tr>
        <w:trPr>
          <w:trHeight w:val="20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severance as of January 1, 2023</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recorded</w:t>
            </w:r>
          </w:p>
        </w:tc>
        <w:tc>
          <w:tcPr>
            <w:tcW w:w="46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paid</w:t>
            </w:r>
          </w:p>
        </w:tc>
        <w:tc>
          <w:tcPr>
            <w:tcW w:w="460" w:type="dxa"/>
            <w:vAlign w:val="bottom"/>
            <w:shd w:val="clear" w:color="auto" w:fill="CFF0FC"/>
          </w:tcPr>
          <w:p>
            <w:pPr>
              <w:spacing w:after="0"/>
              <w:rPr>
                <w:sz w:val="18"/>
                <w:szCs w:val="18"/>
                <w:color w:val="auto"/>
              </w:rPr>
            </w:pPr>
          </w:p>
        </w:tc>
        <w:tc>
          <w:tcPr>
            <w:tcW w:w="2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(3,764 )</w:t>
            </w:r>
          </w:p>
        </w:tc>
      </w:tr>
      <w:tr>
        <w:trPr>
          <w:trHeight w:val="210"/>
        </w:trPr>
        <w:tc>
          <w:tcPr>
            <w:tcW w:w="7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severance as of December 31, 2023</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FF0FC"/>
            </w:tcBorders>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Severance recorded</w:t>
            </w:r>
          </w:p>
        </w:tc>
        <w:tc>
          <w:tcPr>
            <w:tcW w:w="460" w:type="dxa"/>
            <w:vAlign w:val="bottom"/>
            <w:shd w:val="clear" w:color="auto" w:fill="CFF0FC"/>
          </w:tcPr>
          <w:p>
            <w:pPr>
              <w:spacing w:after="0"/>
              <w:rPr>
                <w:sz w:val="17"/>
                <w:szCs w:val="17"/>
                <w:color w:val="auto"/>
              </w:rPr>
            </w:pPr>
          </w:p>
        </w:tc>
        <w:tc>
          <w:tcPr>
            <w:tcW w:w="28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paid</w:t>
            </w:r>
          </w:p>
        </w:tc>
        <w:tc>
          <w:tcPr>
            <w:tcW w:w="460" w:type="dxa"/>
            <w:vAlign w:val="bottom"/>
          </w:tcPr>
          <w:p>
            <w:pPr>
              <w:spacing w:after="0"/>
              <w:rPr>
                <w:sz w:val="18"/>
                <w:szCs w:val="18"/>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(390 )</w:t>
            </w:r>
          </w:p>
        </w:tc>
      </w:tr>
      <w:tr>
        <w:trPr>
          <w:trHeight w:val="249"/>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severance as of December 31, 2024</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Retirement Plan</w:t>
      </w:r>
    </w:p>
    <w:p>
      <w:pPr>
        <w:spacing w:after="0" w:line="121"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$0.5 million and $0.3 million to the 401(k) retirement savings plan for the years ended December 31, 2024 and 2023,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rare monogenic diseases of the central nervous system.</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derives revenue solely from the Astellas Agreements (see Note 7). The accounting policies of the gene therapy segment are the same as those described in the summary of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4" w:name="page135"/>
    <w:bookmarkEnd w:id="134"/>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years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32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80" w:type="dxa"/>
            <w:vAlign w:val="bottom"/>
          </w:tcPr>
          <w:p>
            <w:pPr>
              <w:spacing w:after="0"/>
              <w:rPr>
                <w:sz w:val="12"/>
                <w:szCs w:val="12"/>
                <w:color w:val="auto"/>
              </w:rPr>
            </w:pPr>
          </w:p>
        </w:tc>
        <w:tc>
          <w:tcPr>
            <w:tcW w:w="11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Program expense</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26,508</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1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3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(89,298 )</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(111,566 )</w:t>
            </w:r>
          </w:p>
        </w:tc>
      </w:tr>
      <w:tr>
        <w:trPr>
          <w:trHeight w:val="20"/>
        </w:trPr>
        <w:tc>
          <w:tcPr>
            <w:tcW w:w="7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360" w:firstLine="1"/>
        <w:spacing w:after="0" w:line="272" w:lineRule="auto"/>
        <w:tabs>
          <w:tab w:leader="none" w:pos="2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17—Subsequent Events</w:t>
      </w:r>
    </w:p>
    <w:p>
      <w:pPr>
        <w:spacing w:after="0" w:line="121"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In January 2025, the Company granted options under the New Plan to purchase an aggregate of 6.2 million shares of its common stock at an exercise price of $1.85 per share, and also granted 3.1 million RSUs. These equity awards vest over a four-year period and are subject to service-based vesting conditions.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January and February 2025, the Company granted options under the Inducement Plan to purchase an aggregate 0.8 million shares of its common stock at a weighted-average exercise price of $1.65 per share. These equity awards vest over a four-year period and are subject to service-based vesting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Form 10-K. Based on such evaluation, our Chief Executive Officer and Chief Financial Officer have concluded that as of December 31, 2024,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66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2024, our internal control over financial reporting was effective.</w:t>
      </w:r>
    </w:p>
    <w:p>
      <w:pPr>
        <w:spacing w:after="0" w:line="180" w:lineRule="exact"/>
        <w:rPr>
          <w:sz w:val="20"/>
          <w:szCs w:val="20"/>
          <w:color w:val="auto"/>
        </w:rPr>
      </w:pPr>
    </w:p>
    <w:p>
      <w:pPr>
        <w:ind w:right="420" w:firstLine="666"/>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December 31, 2024 that materially affected, or are reasonably likely to materially affect, our internal control over financial reporting.</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our 2025 annual meeting of stockholders, or the Proxy Statement, which is expected to be filed not later than 120 days after the end of our fiscal year ended December 31, 2024, under the captions “Information Regarding the Board of Directors and Corporate Governance,” “Election of Directors” and “Executive Officers” and is incorporated herein by reference.</w:t>
      </w:r>
    </w:p>
    <w:p>
      <w:pPr>
        <w:spacing w:after="0" w:line="180"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We have adopted the Taysha Code of Business Conduct and Ethics that applies to all officers, directors and employees. The Code of Business Conduct and Ethics is available on our website at www.tayshagtx.com. If we make any substantive amendments to the Code of Business Conduct and Ethics or grants any waiver from a provision of the Code to any executive officer or director, we will promptly disclose the nature of the amendment or waiver on our website.</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employees and consultants that is designed to promote compliance with insider trading laws, rules and regulations, as well as procedures designed to further the foregoing purposes. A copy of our insider trading policy is incorporated by reference as Exhibit 19.1 to this Annual Report on Form 10-K. In addition, it is the Company’s intent to comply with applicable laws and regulations relating to insider trading.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“Executive Compensation” and “Director Compensation”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report and financial statements of the Company are included in this Annual Report on Form 10-K:</w:t>
      </w:r>
    </w:p>
    <w:p>
      <w:pPr>
        <w:spacing w:after="0" w:line="117"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No. 34)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Schedules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they are not applicable, or the required information is included in the financial statements or notes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80" w:type="dxa"/>
            <w:vAlign w:val="bottom"/>
            <w:gridSpan w:val="2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980" w:type="dxa"/>
            <w:vAlign w:val="bottom"/>
            <w:tcBorders>
              <w:bottom w:val="single" w:sz="8" w:color="0563C1"/>
            </w:tcBorders>
            <w:gridSpan w:val="27"/>
          </w:tcPr>
          <w:p>
            <w:pPr>
              <w:spacing w:after="0" w:line="169" w:lineRule="exact"/>
              <w:rPr>
                <w:rFonts w:ascii="Times New Roman" w:cs="Times New Roman" w:eastAsia="Times New Roman" w:hAnsi="Times New Roman"/>
                <w:sz w:val="18"/>
                <w:szCs w:val="18"/>
                <w:color w:val="0563C1"/>
                <w:w w:val="99"/>
              </w:rPr>
            </w:pPr>
            <w:hyperlink r:id="rId337">
              <w:r>
                <w:rPr>
                  <w:rFonts w:ascii="Times New Roman" w:cs="Times New Roman" w:eastAsia="Times New Roman" w:hAnsi="Times New Roman"/>
                  <w:sz w:val="18"/>
                  <w:szCs w:val="18"/>
                  <w:color w:val="0563C1"/>
                  <w:w w:val="99"/>
                </w:rPr>
                <w:t>Amended and Restated Certificate of Incorporation (incorporated by reference to Exhibit 3.1 to the Company’s Current Report on Form 8-</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563C1"/>
              </w:rPr>
            </w:pPr>
            <w:hyperlink r:id="rId337">
              <w:r>
                <w:rPr>
                  <w:rFonts w:ascii="Times New Roman" w:cs="Times New Roman" w:eastAsia="Times New Roman" w:hAnsi="Times New Roman"/>
                  <w:sz w:val="18"/>
                  <w:szCs w:val="18"/>
                  <w:color w:val="0563C1"/>
                </w:rPr>
                <w:t>K (File No. 001-39536), filed with the Securities and Exchange Commission on September 29,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2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9840" w:type="dxa"/>
            <w:vAlign w:val="bottom"/>
            <w:tcBorders>
              <w:bottom w:val="single" w:sz="8" w:color="0563C1"/>
            </w:tcBorders>
            <w:gridSpan w:val="23"/>
          </w:tcPr>
          <w:p>
            <w:pPr>
              <w:spacing w:after="0" w:line="196" w:lineRule="exact"/>
              <w:rPr>
                <w:rFonts w:ascii="Times New Roman" w:cs="Times New Roman" w:eastAsia="Times New Roman" w:hAnsi="Times New Roman"/>
                <w:sz w:val="18"/>
                <w:szCs w:val="18"/>
                <w:color w:val="0563C1"/>
              </w:rPr>
            </w:pPr>
            <w:hyperlink r:id="rId338">
              <w:r>
                <w:rPr>
                  <w:rFonts w:ascii="Times New Roman" w:cs="Times New Roman" w:eastAsia="Times New Roman" w:hAnsi="Times New Roman"/>
                  <w:sz w:val="18"/>
                  <w:szCs w:val="18"/>
                  <w:color w:val="0563C1"/>
                </w:rPr>
                <w:t>Amended and Restated Bylaws (incorporated by reference to Exhibit 3.4 to the Company’s to the Company’s Registration Statement on</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563C1"/>
              </w:rPr>
            </w:pPr>
            <w:hyperlink r:id="rId338">
              <w:r>
                <w:rPr>
                  <w:rFonts w:ascii="Times New Roman" w:cs="Times New Roman" w:eastAsia="Times New Roman" w:hAnsi="Times New Roman"/>
                  <w:sz w:val="18"/>
                  <w:szCs w:val="18"/>
                  <w:color w:val="0563C1"/>
                </w:rPr>
                <w:t>Form S-1 (File No. 333-248559), filed with the Securities and Exchange Commission on September 17,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563C1"/>
            </w:tcBorders>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2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9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Certificate of Amendment to the Amended and Restated Certificate of Incorporation of (incorporated by reference to Exhibit 3.1 to the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Company’s Current Report on Form 8-K (File No. 001-39536), filed with the Securities and Exchange Commission on November 15,</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339">
              <w:r>
                <w:rPr>
                  <w:rFonts w:ascii="Times New Roman" w:cs="Times New Roman" w:eastAsia="Times New Roman" w:hAnsi="Times New Roman"/>
                  <w:sz w:val="18"/>
                  <w:szCs w:val="18"/>
                  <w:color w:val="0000FF"/>
                  <w:w w:val="94"/>
                </w:rPr>
                <w:t>2023).</w:t>
              </w:r>
            </w:hyperlink>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9560" w:type="dxa"/>
            <w:vAlign w:val="bottom"/>
            <w:tcBorders>
              <w:bottom w:val="single" w:sz="8" w:color="0563C1"/>
            </w:tcBorders>
            <w:gridSpan w:val="16"/>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Amended and Restated Investors’ Rights Agreement, by and among the Company and certain of its stockholders, dated July 2, 2020</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tcBorders>
              <w:bottom w:val="single" w:sz="8" w:color="0563C1"/>
            </w:tcBorders>
            <w:gridSpan w:val="19"/>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(incorporated by reference to Exhibit 4.1 to the Company’s Registration Statement on Form S-1 (File No. 333-248559), filed with the</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Securities and Exchange Commission on September 2,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1020" w:type="dxa"/>
            <w:vAlign w:val="bottom"/>
            <w:shd w:val="clear" w:color="auto" w:fill="0563C1"/>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0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Description of the Company’s Common Stock (incorporated by reference to Exhibit 4.1 to the Company’s Quarterly Report on Form 10-Q</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(File No. 001-39536), filed with the Securities Exchange Commission on August 12, 2024).</w:t>
              </w:r>
            </w:hyperlink>
          </w:p>
        </w:tc>
        <w:tc>
          <w:tcPr>
            <w:tcW w:w="20" w:type="dxa"/>
            <w:vAlign w:val="bottom"/>
            <w:tcBorders>
              <w:bottom w:val="single" w:sz="8" w:color="0000EE"/>
            </w:tcBorders>
          </w:tcPr>
          <w:p>
            <w:pPr>
              <w:spacing w:after="0"/>
              <w:rPr>
                <w:sz w:val="17"/>
                <w:szCs w:val="17"/>
                <w:color w:val="auto"/>
              </w:rPr>
            </w:pPr>
          </w:p>
        </w:tc>
        <w:tc>
          <w:tcPr>
            <w:tcW w:w="34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8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Pre-Funded Warrant to Purchase Common Stock (incorporated by reference to Exhibit 4.1 to the Company’s Current Report on</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Form 8-K (File No. 001-39536), filed with the Securities and Exchange Commission on August 14, 2023).</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99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Form of Warrant to Purchase Common Stock dated April 5, 2023 (incorporated by reference to Exhibit 4.5 to the Company’s Registration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Statement on Form S-3 (File No. 333-271144), filed with the Securities Exchange Commission on April 5, 2023).</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0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2024 Pre-Funded Warrant to Purchase Common Stock (incorporated by reference to Exhibit 4.1 to the Company’s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8-K (File No. 001-39536), filed with the Securities and Exchange Commission on June 26, 2024).</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563C1"/>
            </w:tcBorders>
            <w:gridSpan w:val="30"/>
          </w:tcPr>
          <w:p>
            <w:pPr>
              <w:spacing w:after="0" w:line="196" w:lineRule="exact"/>
              <w:rPr>
                <w:rFonts w:ascii="Times New Roman" w:cs="Times New Roman" w:eastAsia="Times New Roman" w:hAnsi="Times New Roman"/>
                <w:sz w:val="18"/>
                <w:szCs w:val="18"/>
                <w:color w:val="0563C1"/>
                <w:w w:val="99"/>
              </w:rPr>
            </w:pPr>
            <w:hyperlink r:id="rId345">
              <w:r>
                <w:rPr>
                  <w:rFonts w:ascii="Times New Roman" w:cs="Times New Roman" w:eastAsia="Times New Roman" w:hAnsi="Times New Roman"/>
                  <w:sz w:val="18"/>
                  <w:szCs w:val="18"/>
                  <w:color w:val="0563C1"/>
                  <w:w w:val="99"/>
                </w:rPr>
                <w:t>Research, Collaboration &amp; License Agreement, by and between the Company and The Board of Regents of the University of Texas System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on behalf of The University of Texas Southwestern Medical Center, dated as of November 19, 2019 (incorporated by reference to Exhibit</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bottom w:val="single" w:sz="8" w:color="0563C1"/>
            </w:tcBorders>
            <w:gridSpan w:val="29"/>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10.</w:t>
              </w:r>
              <w:r>
                <w:rPr>
                  <w:rFonts w:ascii="Times New Roman" w:cs="Times New Roman" w:eastAsia="Times New Roman" w:hAnsi="Times New Roman"/>
                  <w:sz w:val="18"/>
                  <w:szCs w:val="18"/>
                  <w:u w:val="single" w:color="auto"/>
                  <w:color w:val="0563C1"/>
                </w:rPr>
                <w:t>1</w:t>
              </w:r>
              <w:r>
                <w:rPr>
                  <w:rFonts w:ascii="Times New Roman" w:cs="Times New Roman" w:eastAsia="Times New Roman" w:hAnsi="Times New Roman"/>
                  <w:sz w:val="18"/>
                  <w:szCs w:val="18"/>
                  <w:color w:val="0563C1"/>
                </w:rPr>
                <w:t xml:space="preserve"> to the Company’s Registration Statement on Form S-1 (File No. 333-248559), filed with the Securities and Exchange Commission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60" w:type="dxa"/>
            <w:vAlign w:val="bottom"/>
            <w:tcBorders>
              <w:bottom w:val="single" w:sz="8" w:color="0563C1"/>
            </w:tcBorders>
            <w:gridSpan w:val="2"/>
          </w:tcPr>
          <w:p>
            <w:pPr>
              <w:spacing w:after="0" w:line="196" w:lineRule="exact"/>
              <w:rPr>
                <w:rFonts w:ascii="Times New Roman" w:cs="Times New Roman" w:eastAsia="Times New Roman" w:hAnsi="Times New Roman"/>
                <w:sz w:val="18"/>
                <w:szCs w:val="18"/>
                <w:color w:val="0563C1"/>
                <w:w w:val="98"/>
              </w:rPr>
            </w:pPr>
            <w:hyperlink r:id="rId345">
              <w:r>
                <w:rPr>
                  <w:rFonts w:ascii="Times New Roman" w:cs="Times New Roman" w:eastAsia="Times New Roman" w:hAnsi="Times New Roman"/>
                  <w:sz w:val="18"/>
                  <w:szCs w:val="18"/>
                  <w:color w:val="0563C1"/>
                  <w:w w:val="98"/>
                </w:rPr>
                <w:t>September 2, 2020).</w:t>
              </w:r>
            </w:hyperlink>
          </w:p>
        </w:tc>
        <w:tc>
          <w:tcPr>
            <w:tcW w:w="86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bottom w:val="single" w:sz="8" w:color="0563C1"/>
            </w:tcBorders>
            <w:gridSpan w:val="28"/>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Amendment to Research, Collaboration &amp; License Agreement, by and between the Registrant and The Board of Regents of the University</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of Texas System on behalf of The University of Texas Southwestern Medical Center, dated as of April 2, 2020 (incorporated by reference</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563C1"/>
            </w:tcBorders>
            <w:gridSpan w:val="18"/>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to Exhibit 10.2 to the Company’s Registration Statement on Form S-1 (File No. 333-248559), filed with the Securities and Exchange</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4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9"/>
              </w:rPr>
            </w:pPr>
            <w:hyperlink r:id="rId346">
              <w:r>
                <w:rPr>
                  <w:rFonts w:ascii="Times New Roman" w:cs="Times New Roman" w:eastAsia="Times New Roman" w:hAnsi="Times New Roman"/>
                  <w:sz w:val="18"/>
                  <w:szCs w:val="18"/>
                  <w:color w:val="0563C1"/>
                  <w:w w:val="99"/>
                </w:rPr>
                <w:t>Commission on September 2, 2020).</w:t>
              </w:r>
            </w:hyperlink>
          </w:p>
        </w:tc>
        <w:tc>
          <w:tcPr>
            <w:tcW w:w="74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563C1"/>
            </w:tcBorders>
            <w:gridSpan w:val="22"/>
          </w:tcPr>
          <w:p>
            <w:pPr>
              <w:spacing w:after="0" w:line="196" w:lineRule="exact"/>
              <w:rPr>
                <w:rFonts w:ascii="Times New Roman" w:cs="Times New Roman" w:eastAsia="Times New Roman" w:hAnsi="Times New Roman"/>
                <w:sz w:val="18"/>
                <w:szCs w:val="18"/>
                <w:color w:val="0563C1"/>
              </w:rPr>
            </w:pPr>
            <w:hyperlink r:id="rId347">
              <w:r>
                <w:rPr>
                  <w:rFonts w:ascii="Times New Roman" w:cs="Times New Roman" w:eastAsia="Times New Roman" w:hAnsi="Times New Roman"/>
                  <w:sz w:val="18"/>
                  <w:szCs w:val="18"/>
                  <w:color w:val="0563C1"/>
                </w:rPr>
                <w:t>License Agreement, by and between the Company and Queen’s University at Kingston, dated as of February 21, 2020 (incorporated by</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8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rPr>
            </w:pPr>
            <w:hyperlink r:id="rId347">
              <w:r>
                <w:rPr>
                  <w:rFonts w:ascii="Times New Roman" w:cs="Times New Roman" w:eastAsia="Times New Roman" w:hAnsi="Times New Roman"/>
                  <w:sz w:val="18"/>
                  <w:szCs w:val="18"/>
                  <w:color w:val="0563C1"/>
                </w:rPr>
                <w:t>reference to Exhibit 10.3 to the Company’s Registration Statement on Form S-1 (File No. 333-248559), filed with the Securities and</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0563C1"/>
              </w:rPr>
            </w:pPr>
            <w:hyperlink r:id="rId347">
              <w:r>
                <w:rPr>
                  <w:rFonts w:ascii="Times New Roman" w:cs="Times New Roman" w:eastAsia="Times New Roman" w:hAnsi="Times New Roman"/>
                  <w:sz w:val="18"/>
                  <w:szCs w:val="18"/>
                  <w:color w:val="0563C1"/>
                </w:rPr>
                <w:t>Exchange Commission on September 2, 2020).</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380" w:type="dxa"/>
            <w:vAlign w:val="bottom"/>
            <w:gridSpan w:val="4"/>
            <w:shd w:val="clear" w:color="auto" w:fill="0563C1"/>
          </w:tcPr>
          <w:p>
            <w:pPr>
              <w:spacing w:after="0" w:line="20" w:lineRule="exact"/>
              <w:rPr>
                <w:sz w:val="1"/>
                <w:szCs w:val="1"/>
                <w:color w:val="auto"/>
              </w:rPr>
            </w:pPr>
          </w:p>
        </w:tc>
        <w:tc>
          <w:tcPr>
            <w:tcW w:w="6560" w:type="dxa"/>
            <w:vAlign w:val="bottom"/>
            <w:gridSpan w:val="2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563C1"/>
            </w:tcBorders>
            <w:gridSpan w:val="25"/>
          </w:tcPr>
          <w:p>
            <w:pPr>
              <w:spacing w:after="0" w:line="196" w:lineRule="exact"/>
              <w:rPr>
                <w:rFonts w:ascii="Times New Roman" w:cs="Times New Roman" w:eastAsia="Times New Roman" w:hAnsi="Times New Roman"/>
                <w:sz w:val="18"/>
                <w:szCs w:val="18"/>
                <w:color w:val="0563C1"/>
              </w:rPr>
            </w:pPr>
            <w:hyperlink r:id="rId348">
              <w:r>
                <w:rPr>
                  <w:rFonts w:ascii="Times New Roman" w:cs="Times New Roman" w:eastAsia="Times New Roman" w:hAnsi="Times New Roman"/>
                  <w:sz w:val="18"/>
                  <w:szCs w:val="18"/>
                  <w:color w:val="0563C1"/>
                </w:rPr>
                <w:t>License Agreement, by and between the Company and Abeona Therapeutics Inc., dated as of August 14, 2020 (incorporated by reference</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tcBorders>
              <w:bottom w:val="single" w:sz="8" w:color="0563C1"/>
            </w:tcBorders>
            <w:gridSpan w:val="18"/>
          </w:tcPr>
          <w:p>
            <w:pPr>
              <w:spacing w:after="0" w:line="196" w:lineRule="exact"/>
              <w:rPr>
                <w:rFonts w:ascii="Times New Roman" w:cs="Times New Roman" w:eastAsia="Times New Roman" w:hAnsi="Times New Roman"/>
                <w:sz w:val="18"/>
                <w:szCs w:val="18"/>
                <w:color w:val="0563C1"/>
              </w:rPr>
            </w:pPr>
            <w:hyperlink r:id="rId348">
              <w:r>
                <w:rPr>
                  <w:rFonts w:ascii="Times New Roman" w:cs="Times New Roman" w:eastAsia="Times New Roman" w:hAnsi="Times New Roman"/>
                  <w:sz w:val="18"/>
                  <w:szCs w:val="18"/>
                  <w:color w:val="0563C1"/>
                </w:rPr>
                <w:t>to Exhibit 10.4 to the Company’s Registration Statement on Form S-1 (File No. 333-248559), filed with the Securities and Exchange</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9"/>
              </w:rPr>
            </w:pPr>
            <w:hyperlink r:id="rId348">
              <w:r>
                <w:rPr>
                  <w:rFonts w:ascii="Times New Roman" w:cs="Times New Roman" w:eastAsia="Times New Roman" w:hAnsi="Times New Roman"/>
                  <w:sz w:val="18"/>
                  <w:szCs w:val="18"/>
                  <w:color w:val="0563C1"/>
                  <w:w w:val="99"/>
                </w:rPr>
                <w:t>Commission on September 2, 2020).</w:t>
              </w:r>
            </w:hyperlink>
          </w:p>
        </w:tc>
        <w:tc>
          <w:tcPr>
            <w:tcW w:w="74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20" w:type="dxa"/>
            <w:vAlign w:val="bottom"/>
          </w:tcPr>
          <w:p>
            <w:pPr>
              <w:spacing w:after="0"/>
              <w:rPr>
                <w:sz w:val="24"/>
                <w:szCs w:val="24"/>
                <w:color w:val="auto"/>
              </w:rPr>
            </w:pPr>
          </w:p>
        </w:tc>
        <w:tc>
          <w:tcPr>
            <w:tcW w:w="6760" w:type="dxa"/>
            <w:vAlign w:val="bottom"/>
            <w:gridSpan w:val="7"/>
          </w:tcPr>
          <w:p>
            <w:pPr>
              <w:jc w:val="right"/>
              <w:ind w:right="1948"/>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jc w:val="both"/>
        <w:ind w:left="900" w:right="60" w:hanging="897"/>
        <w:spacing w:after="0" w:line="257"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r>
        <w:rPr>
          <w:sz w:val="20"/>
          <w:szCs w:val="20"/>
          <w:color w:val="auto"/>
        </w:rPr>
        <w:tab/>
      </w:r>
      <w:hyperlink r:id="rId351">
        <w:r>
          <w:rPr>
            <w:rFonts w:ascii="Times New Roman" w:cs="Times New Roman" w:eastAsia="Times New Roman" w:hAnsi="Times New Roman"/>
            <w:sz w:val="18"/>
            <w:szCs w:val="18"/>
            <w:u w:val="single" w:color="auto"/>
            <w:color w:val="0563C1"/>
          </w:rPr>
          <w:t>License Agreement, by and between the Company and Abeona Therapeutics Inc., dated as of October 29, 2020 (incorporated by reference</w:t>
        </w:r>
      </w:hyperlink>
      <w:r>
        <w:rPr>
          <w:rFonts w:ascii="Times New Roman" w:cs="Times New Roman" w:eastAsia="Times New Roman" w:hAnsi="Times New Roman"/>
          <w:sz w:val="18"/>
          <w:szCs w:val="18"/>
          <w:u w:val="single" w:color="auto"/>
          <w:color w:val="0563C1"/>
        </w:rPr>
        <w:t xml:space="preserve"> </w:t>
      </w:r>
      <w:hyperlink r:id="rId351">
        <w:r>
          <w:rPr>
            <w:rFonts w:ascii="Times New Roman" w:cs="Times New Roman" w:eastAsia="Times New Roman" w:hAnsi="Times New Roman"/>
            <w:sz w:val="18"/>
            <w:szCs w:val="18"/>
            <w:u w:val="single" w:color="auto"/>
            <w:color w:val="0563C1"/>
          </w:rPr>
          <w:t>to Exhibit 10.5 to the Company’s Annual Report on Form 10-K (File No. 001-39536), filed with the Securities and Exchange Commission</w:t>
        </w:r>
      </w:hyperlink>
      <w:r>
        <w:rPr>
          <w:rFonts w:ascii="Times New Roman" w:cs="Times New Roman" w:eastAsia="Times New Roman" w:hAnsi="Times New Roman"/>
          <w:sz w:val="18"/>
          <w:szCs w:val="18"/>
          <w:u w:val="single" w:color="auto"/>
          <w:color w:val="0563C1"/>
        </w:rPr>
        <w:t xml:space="preserve"> </w:t>
      </w:r>
      <w:hyperlink r:id="rId351">
        <w:r>
          <w:rPr>
            <w:rFonts w:ascii="Times New Roman" w:cs="Times New Roman" w:eastAsia="Times New Roman" w:hAnsi="Times New Roman"/>
            <w:sz w:val="18"/>
            <w:szCs w:val="18"/>
            <w:u w:val="single" w:color="auto"/>
            <w:color w:val="0563C1"/>
          </w:rPr>
          <w:t>on March 2,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3512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635127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3658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636587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8407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ind w:left="900" w:right="160" w:hanging="848"/>
        <w:spacing w:after="0" w:line="250"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10.6+</w:t>
      </w:r>
      <w:r>
        <w:rPr>
          <w:sz w:val="20"/>
          <w:szCs w:val="20"/>
          <w:color w:val="auto"/>
        </w:rPr>
        <w:tab/>
      </w:r>
      <w:hyperlink r:id="rId355">
        <w:r>
          <w:rPr>
            <w:rFonts w:ascii="Times New Roman" w:cs="Times New Roman" w:eastAsia="Times New Roman" w:hAnsi="Times New Roman"/>
            <w:sz w:val="18"/>
            <w:szCs w:val="18"/>
            <w:u w:val="single" w:color="auto"/>
            <w:color w:val="0563C1"/>
          </w:rPr>
          <w:t>2020 Equity Incentive Plan and Forms of Stock Option Grant Notice, Stock Option Agreement and Restricted Stock Award Grant Notice</w:t>
        </w:r>
      </w:hyperlink>
      <w:r>
        <w:rPr>
          <w:rFonts w:ascii="Times New Roman" w:cs="Times New Roman" w:eastAsia="Times New Roman" w:hAnsi="Times New Roman"/>
          <w:sz w:val="18"/>
          <w:szCs w:val="18"/>
          <w:u w:val="single" w:color="auto"/>
          <w:color w:val="0563C1"/>
        </w:rPr>
        <w:t xml:space="preserve"> </w:t>
      </w:r>
      <w:hyperlink r:id="rId355">
        <w:r>
          <w:rPr>
            <w:rFonts w:ascii="Times New Roman" w:cs="Times New Roman" w:eastAsia="Times New Roman" w:hAnsi="Times New Roman"/>
            <w:sz w:val="18"/>
            <w:szCs w:val="18"/>
            <w:u w:val="single" w:color="auto"/>
            <w:color w:val="0563C1"/>
          </w:rPr>
          <w:t>(incorporated by reference to Exhibit 10.5 to the Company’s Registration Statement on Form S-1 (File No. 333-248559), filed with the</w:t>
        </w:r>
      </w:hyperlink>
      <w:r>
        <w:rPr>
          <w:rFonts w:ascii="Times New Roman" w:cs="Times New Roman" w:eastAsia="Times New Roman" w:hAnsi="Times New Roman"/>
          <w:sz w:val="18"/>
          <w:szCs w:val="18"/>
          <w:u w:val="single" w:color="auto"/>
          <w:color w:val="0563C1"/>
        </w:rPr>
        <w:t xml:space="preserve"> </w:t>
      </w:r>
      <w:hyperlink r:id="rId355">
        <w:r>
          <w:rPr>
            <w:rFonts w:ascii="Times New Roman" w:cs="Times New Roman" w:eastAsia="Times New Roman" w:hAnsi="Times New Roman"/>
            <w:sz w:val="18"/>
            <w:szCs w:val="18"/>
            <w:u w:val="single" w:color="auto"/>
            <w:color w:val="0563C1"/>
          </w:rPr>
          <w:t>Securities and Exchange Commission on September 17, 2020).</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3049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1969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619696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28841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ind w:left="900" w:right="80" w:hanging="848"/>
        <w:spacing w:after="0" w:line="250"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10.7+</w:t>
      </w:r>
      <w:r>
        <w:rPr>
          <w:sz w:val="20"/>
          <w:szCs w:val="20"/>
          <w:color w:val="auto"/>
        </w:rPr>
        <w:tab/>
      </w:r>
      <w:hyperlink r:id="rId359">
        <w:r>
          <w:rPr>
            <w:rFonts w:ascii="Times New Roman" w:cs="Times New Roman" w:eastAsia="Times New Roman" w:hAnsi="Times New Roman"/>
            <w:sz w:val="18"/>
            <w:szCs w:val="18"/>
            <w:u w:val="single" w:color="auto"/>
            <w:color w:val="0563C1"/>
          </w:rPr>
          <w:t>2020 Stock Incentive Plan and Forms of Stock Option Grant Notice, Stock Option Agreement, Restricted Stock Unit Grant Notice and</w:t>
        </w:r>
      </w:hyperlink>
      <w:r>
        <w:rPr>
          <w:rFonts w:ascii="Times New Roman" w:cs="Times New Roman" w:eastAsia="Times New Roman" w:hAnsi="Times New Roman"/>
          <w:sz w:val="18"/>
          <w:szCs w:val="18"/>
          <w:u w:val="single" w:color="auto"/>
          <w:color w:val="0563C1"/>
        </w:rPr>
        <w:t xml:space="preserve"> </w:t>
      </w:r>
      <w:hyperlink r:id="rId359">
        <w:r>
          <w:rPr>
            <w:rFonts w:ascii="Times New Roman" w:cs="Times New Roman" w:eastAsia="Times New Roman" w:hAnsi="Times New Roman"/>
            <w:sz w:val="18"/>
            <w:szCs w:val="18"/>
            <w:u w:val="single" w:color="auto"/>
            <w:color w:val="0563C1"/>
          </w:rPr>
          <w:t>Restricted Stock Unit Award Agreement (incorporated by reference to Exhibit 10.6 to the Company’s Registration Statement on Form S-1</w:t>
        </w:r>
      </w:hyperlink>
      <w:r>
        <w:rPr>
          <w:rFonts w:ascii="Times New Roman" w:cs="Times New Roman" w:eastAsia="Times New Roman" w:hAnsi="Times New Roman"/>
          <w:sz w:val="18"/>
          <w:szCs w:val="18"/>
          <w:u w:val="single" w:color="auto"/>
          <w:color w:val="0563C1"/>
        </w:rPr>
        <w:t xml:space="preserve"> </w:t>
      </w:r>
      <w:hyperlink r:id="rId359">
        <w:r>
          <w:rPr>
            <w:rFonts w:ascii="Times New Roman" w:cs="Times New Roman" w:eastAsia="Times New Roman" w:hAnsi="Times New Roman"/>
            <w:sz w:val="18"/>
            <w:szCs w:val="18"/>
            <w:u w:val="single" w:color="auto"/>
            <w:color w:val="0563C1"/>
          </w:rPr>
          <w:t>(File No. 333-248559), filed with the Securities and Exchange Commission on September 17, 2020).</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1810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35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35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46107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4610735" cy="8255"/>
                    </a:xfrm>
                    <a:prstGeom prst="rect">
                      <a:avLst/>
                    </a:prstGeom>
                    <a:noFill/>
                  </pic:spPr>
                </pic:pic>
              </a:graphicData>
            </a:graphic>
          </wp:anchor>
        </w:drawing>
      </w:r>
    </w:p>
    <w:p>
      <w:pPr>
        <w:ind w:left="900" w:right="360" w:hanging="848"/>
        <w:spacing w:after="0" w:line="250"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10.8+</w:t>
      </w:r>
      <w:r>
        <w:rPr>
          <w:sz w:val="20"/>
          <w:szCs w:val="20"/>
          <w:color w:val="auto"/>
        </w:rPr>
        <w:tab/>
      </w:r>
      <w:hyperlink r:id="rId363">
        <w:r>
          <w:rPr>
            <w:rFonts w:ascii="Times New Roman" w:cs="Times New Roman" w:eastAsia="Times New Roman" w:hAnsi="Times New Roman"/>
            <w:sz w:val="18"/>
            <w:szCs w:val="18"/>
            <w:u w:val="single" w:color="auto"/>
            <w:color w:val="0563C1"/>
          </w:rPr>
          <w:t>2020 Employee Stock Purchase Plan (incorporated by reference to Exhibit 10.7 to the Company’s Registration Statement on Form S-1</w:t>
        </w:r>
      </w:hyperlink>
      <w:r>
        <w:rPr>
          <w:rFonts w:ascii="Times New Roman" w:cs="Times New Roman" w:eastAsia="Times New Roman" w:hAnsi="Times New Roman"/>
          <w:sz w:val="18"/>
          <w:szCs w:val="18"/>
          <w:u w:val="single" w:color="auto"/>
          <w:color w:val="0563C1"/>
        </w:rPr>
        <w:t xml:space="preserve"> </w:t>
      </w:r>
      <w:hyperlink r:id="rId363">
        <w:r>
          <w:rPr>
            <w:rFonts w:ascii="Times New Roman" w:cs="Times New Roman" w:eastAsia="Times New Roman" w:hAnsi="Times New Roman"/>
            <w:sz w:val="18"/>
            <w:szCs w:val="18"/>
            <w:u w:val="single" w:color="auto"/>
            <w:color w:val="0563C1"/>
          </w:rPr>
          <w:t>(File 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-161925</wp:posOffset>
            </wp:positionV>
            <wp:extent cx="61810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61810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46107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4610735" cy="8255"/>
                    </a:xfrm>
                    <a:prstGeom prst="rect">
                      <a:avLst/>
                    </a:prstGeom>
                    <a:noFill/>
                  </pic:spPr>
                </pic:pic>
              </a:graphicData>
            </a:graphic>
          </wp:anchor>
        </w:drawing>
      </w:r>
    </w:p>
    <w:p>
      <w:pPr>
        <w:jc w:val="right"/>
        <w:ind w:left="40" w:right="140"/>
        <w:spacing w:after="0" w:line="250" w:lineRule="auto"/>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 xml:space="preserve">10.9+     </w:t>
      </w:r>
      <w:hyperlink r:id="rId366">
        <w:r>
          <w:rPr>
            <w:rFonts w:ascii="Times New Roman" w:cs="Times New Roman" w:eastAsia="Times New Roman" w:hAnsi="Times New Roman"/>
            <w:sz w:val="18"/>
            <w:szCs w:val="18"/>
            <w:u w:val="single" w:color="auto"/>
            <w:color w:val="0563C1"/>
          </w:rPr>
          <w:t>Form of Indemnification Agreement with Executive Officers and Directors ((incorporated by reference to Exhibit 10.8 to the Company’s</w:t>
        </w:r>
      </w:hyperlink>
      <w:r>
        <w:rPr>
          <w:rFonts w:ascii="Times New Roman" w:cs="Times New Roman" w:eastAsia="Times New Roman" w:hAnsi="Times New Roman"/>
          <w:sz w:val="18"/>
          <w:szCs w:val="18"/>
          <w:color w:val="auto"/>
        </w:rPr>
        <w:t xml:space="preserve"> </w:t>
      </w:r>
      <w:hyperlink r:id="rId366">
        <w:r>
          <w:rPr>
            <w:rFonts w:ascii="Times New Roman" w:cs="Times New Roman" w:eastAsia="Times New Roman" w:hAnsi="Times New Roman"/>
            <w:sz w:val="18"/>
            <w:szCs w:val="18"/>
            <w:u w:val="single" w:color="auto"/>
            <w:color w:val="0563C1"/>
          </w:rPr>
          <w:t>Registration Statement on Form S-1 (File 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-161925</wp:posOffset>
            </wp:positionV>
            <wp:extent cx="6291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6291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62896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6289675" cy="8255"/>
                    </a:xfrm>
                    <a:prstGeom prst="rect">
                      <a:avLst/>
                    </a:prstGeom>
                    <a:noFill/>
                  </pic:spPr>
                </pic:pic>
              </a:graphicData>
            </a:graphic>
          </wp:anchor>
        </w:drawing>
      </w:r>
    </w:p>
    <w:p>
      <w:pPr>
        <w:ind w:left="900" w:right="20" w:hanging="893"/>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69">
        <w:r>
          <w:rPr>
            <w:rFonts w:ascii="Times New Roman" w:cs="Times New Roman" w:eastAsia="Times New Roman" w:hAnsi="Times New Roman"/>
            <w:sz w:val="18"/>
            <w:szCs w:val="18"/>
            <w:u w:val="single" w:color="auto"/>
            <w:color w:val="0000FF"/>
          </w:rPr>
          <w:t>Amended and Restated Non-employee director compensation policy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Report on Form 10-Q (File No. 001-39536), filed with the Securities and Exchange Committee on August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-161925</wp:posOffset>
            </wp:positionV>
            <wp:extent cx="63957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39572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5346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5346700" cy="8890"/>
                    </a:xfrm>
                    <a:prstGeom prst="rect">
                      <a:avLst/>
                    </a:prstGeom>
                    <a:noFill/>
                  </pic:spPr>
                </pic:pic>
              </a:graphicData>
            </a:graphic>
          </wp:anchor>
        </w:drawing>
      </w:r>
    </w:p>
    <w:p>
      <w:pPr>
        <w:ind w:left="900" w:right="140" w:hanging="893"/>
        <w:spacing w:after="0" w:line="265" w:lineRule="auto"/>
        <w:tabs>
          <w:tab w:leader="none" w:pos="880" w:val="left"/>
        </w:tabs>
        <w:rPr>
          <w:rFonts w:ascii="Times New Roman" w:cs="Times New Roman" w:eastAsia="Times New Roman" w:hAnsi="Times New Roman"/>
          <w:sz w:val="17"/>
          <w:szCs w:val="17"/>
          <w:u w:val="single" w:color="auto"/>
          <w:color w:val="0563C1"/>
        </w:rPr>
      </w:pPr>
      <w:r>
        <w:rPr>
          <w:rFonts w:ascii="Times New Roman" w:cs="Times New Roman" w:eastAsia="Times New Roman" w:hAnsi="Times New Roman"/>
          <w:sz w:val="18"/>
          <w:szCs w:val="18"/>
          <w:color w:val="auto"/>
        </w:rPr>
        <w:t>10.11+</w:t>
      </w:r>
      <w:r>
        <w:rPr>
          <w:sz w:val="20"/>
          <w:szCs w:val="20"/>
          <w:color w:val="auto"/>
        </w:rPr>
        <w:tab/>
      </w:r>
      <w:hyperlink r:id="rId372">
        <w:r>
          <w:rPr>
            <w:rFonts w:ascii="Times New Roman" w:cs="Times New Roman" w:eastAsia="Times New Roman" w:hAnsi="Times New Roman"/>
            <w:sz w:val="17"/>
            <w:szCs w:val="17"/>
            <w:u w:val="single" w:color="auto"/>
            <w:color w:val="0563C1"/>
          </w:rPr>
          <w:t>Change in Control Severance Plan and Form of Participation Agreement (incorporated by reference to Exhibit 10.11 to the Company’s</w:t>
        </w:r>
      </w:hyperlink>
      <w:r>
        <w:rPr>
          <w:rFonts w:ascii="Times New Roman" w:cs="Times New Roman" w:eastAsia="Times New Roman" w:hAnsi="Times New Roman"/>
          <w:sz w:val="17"/>
          <w:szCs w:val="17"/>
          <w:u w:val="single" w:color="auto"/>
          <w:color w:val="0563C1"/>
        </w:rPr>
        <w:t xml:space="preserve"> </w:t>
      </w:r>
      <w:hyperlink r:id="rId372">
        <w:r>
          <w:rPr>
            <w:rFonts w:ascii="Times New Roman" w:cs="Times New Roman" w:eastAsia="Times New Roman" w:hAnsi="Times New Roman"/>
            <w:sz w:val="17"/>
            <w:szCs w:val="17"/>
            <w:u w:val="single" w:color="auto"/>
            <w:color w:val="0563C1"/>
          </w:rPr>
          <w:t>Registration Statement on Form S-1 (File 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-161925</wp:posOffset>
            </wp:positionV>
            <wp:extent cx="61931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619315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62896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6289675" cy="8255"/>
                    </a:xfrm>
                    <a:prstGeom prst="rect">
                      <a:avLst/>
                    </a:prstGeom>
                    <a:noFill/>
                  </pic:spPr>
                </pic:pic>
              </a:graphicData>
            </a:graphic>
          </wp:anchor>
        </w:drawing>
      </w:r>
    </w:p>
    <w:p>
      <w:pPr>
        <w:ind w:left="900" w:right="20" w:hanging="893"/>
        <w:spacing w:after="0" w:line="250"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10.12+</w:t>
      </w:r>
      <w:r>
        <w:rPr>
          <w:sz w:val="20"/>
          <w:szCs w:val="20"/>
          <w:color w:val="auto"/>
        </w:rPr>
        <w:tab/>
      </w:r>
      <w:hyperlink r:id="rId375">
        <w:r>
          <w:rPr>
            <w:rFonts w:ascii="Times New Roman" w:cs="Times New Roman" w:eastAsia="Times New Roman" w:hAnsi="Times New Roman"/>
            <w:sz w:val="18"/>
            <w:szCs w:val="18"/>
            <w:u w:val="single" w:color="auto"/>
            <w:color w:val="0563C1"/>
          </w:rPr>
          <w:t>Amended and Restated Offer Letter, effective as of September 24, 2020, by and between the Company and Kamran Alam (incorporated by</w:t>
        </w:r>
      </w:hyperlink>
      <w:r>
        <w:rPr>
          <w:rFonts w:ascii="Times New Roman" w:cs="Times New Roman" w:eastAsia="Times New Roman" w:hAnsi="Times New Roman"/>
          <w:sz w:val="18"/>
          <w:szCs w:val="18"/>
          <w:u w:val="single" w:color="auto"/>
          <w:color w:val="0563C1"/>
        </w:rPr>
        <w:t xml:space="preserve"> </w:t>
      </w:r>
      <w:hyperlink r:id="rId375">
        <w:r>
          <w:rPr>
            <w:rFonts w:ascii="Times New Roman" w:cs="Times New Roman" w:eastAsia="Times New Roman" w:hAnsi="Times New Roman"/>
            <w:sz w:val="18"/>
            <w:szCs w:val="18"/>
            <w:u w:val="single" w:color="auto"/>
            <w:color w:val="0563C1"/>
          </w:rPr>
          <w:t>reference to Exhibit 10.13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563C1"/>
        </w:rPr>
        <w:t xml:space="preserve"> </w:t>
      </w:r>
      <w:hyperlink r:id="rId375">
        <w:r>
          <w:rPr>
            <w:rFonts w:ascii="Times New Roman" w:cs="Times New Roman" w:eastAsia="Times New Roman" w:hAnsi="Times New Roman"/>
            <w:sz w:val="18"/>
            <w:szCs w:val="18"/>
            <w:u w:val="single" w:color="auto"/>
            <w:color w:val="0563C1"/>
          </w:rPr>
          <w:t>Commission on March 3,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3893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638937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2699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14852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ind w:left="60"/>
        <w:spacing w:after="0"/>
        <w:tabs>
          <w:tab w:leader="none" w:pos="880" w:val="left"/>
        </w:tabs>
        <w:rPr>
          <w:rFonts w:ascii="Times New Roman" w:cs="Times New Roman" w:eastAsia="Times New Roman" w:hAnsi="Times New Roman"/>
          <w:sz w:val="17"/>
          <w:szCs w:val="17"/>
          <w:u w:val="single" w:color="auto"/>
          <w:color w:val="0563C1"/>
        </w:rPr>
      </w:pPr>
      <w:r>
        <w:rPr>
          <w:rFonts w:ascii="Times New Roman" w:cs="Times New Roman" w:eastAsia="Times New Roman" w:hAnsi="Times New Roman"/>
          <w:sz w:val="18"/>
          <w:szCs w:val="18"/>
          <w:color w:val="auto"/>
        </w:rPr>
        <w:t>10.13</w:t>
      </w:r>
      <w:r>
        <w:rPr>
          <w:sz w:val="20"/>
          <w:szCs w:val="20"/>
          <w:color w:val="auto"/>
        </w:rPr>
        <w:tab/>
      </w:r>
      <w:hyperlink r:id="rId379">
        <w:r>
          <w:rPr>
            <w:rFonts w:ascii="Times New Roman" w:cs="Times New Roman" w:eastAsia="Times New Roman" w:hAnsi="Times New Roman"/>
            <w:sz w:val="17"/>
            <w:szCs w:val="17"/>
            <w:u w:val="single" w:color="auto"/>
            <w:color w:val="0563C1"/>
          </w:rPr>
          <w:t>Lease, dated December 17, 2020, by and between Patriot Park Partners II, LLC and the Company (incorporated by reference to Exhibit</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2090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ind w:left="900"/>
        <w:spacing w:after="0"/>
        <w:rPr>
          <w:rFonts w:ascii="Times New Roman" w:cs="Times New Roman" w:eastAsia="Times New Roman" w:hAnsi="Times New Roman"/>
          <w:sz w:val="17"/>
          <w:szCs w:val="17"/>
          <w:u w:val="single" w:color="auto"/>
          <w:color w:val="0563C1"/>
        </w:rPr>
      </w:pPr>
      <w:hyperlink r:id="rId379">
        <w:r>
          <w:rPr>
            <w:rFonts w:ascii="Times New Roman" w:cs="Times New Roman" w:eastAsia="Times New Roman" w:hAnsi="Times New Roman"/>
            <w:sz w:val="17"/>
            <w:szCs w:val="17"/>
            <w:u w:val="single" w:color="auto"/>
            <w:color w:val="0563C1"/>
          </w:rPr>
          <w:t>10.15 to the Company’s Annual Report on Form 10-K (File No. 001-39536), filed with the Securities and Exchange Commission on March</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-12065</wp:posOffset>
            </wp:positionV>
            <wp:extent cx="63957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6395720" cy="8255"/>
                    </a:xfrm>
                    <a:prstGeom prst="rect">
                      <a:avLst/>
                    </a:prstGeom>
                    <a:noFill/>
                  </pic:spPr>
                </pic:pic>
              </a:graphicData>
            </a:graphic>
          </wp:anchor>
        </w:drawing>
      </w:r>
    </w:p>
    <w:p>
      <w:pPr>
        <w:spacing w:after="0" w:line="1" w:lineRule="exact"/>
        <w:rPr>
          <w:rFonts w:ascii="Times New Roman" w:cs="Times New Roman" w:eastAsia="Times New Roman" w:hAnsi="Times New Roman"/>
          <w:sz w:val="18"/>
          <w:szCs w:val="18"/>
          <w:u w:val="single" w:color="auto"/>
          <w:color w:val="0563C1"/>
        </w:rPr>
      </w:pPr>
    </w:p>
    <w:p>
      <w:pPr>
        <w:ind w:left="900"/>
        <w:spacing w:after="0"/>
        <w:rPr>
          <w:rFonts w:ascii="Times New Roman" w:cs="Times New Roman" w:eastAsia="Times New Roman" w:hAnsi="Times New Roman"/>
          <w:sz w:val="18"/>
          <w:szCs w:val="18"/>
          <w:u w:val="single" w:color="auto"/>
          <w:color w:val="0563C1"/>
        </w:rPr>
      </w:pPr>
      <w:hyperlink r:id="rId379">
        <w:r>
          <w:rPr>
            <w:rFonts w:ascii="Times New Roman" w:cs="Times New Roman" w:eastAsia="Times New Roman" w:hAnsi="Times New Roman"/>
            <w:sz w:val="18"/>
            <w:szCs w:val="18"/>
            <w:u w:val="single" w:color="auto"/>
            <w:color w:val="0563C1"/>
          </w:rPr>
          <w:t>3,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409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ind w:left="900" w:right="80" w:hanging="842"/>
        <w:spacing w:after="0" w:line="250" w:lineRule="auto"/>
        <w:tabs>
          <w:tab w:leader="none" w:pos="88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10.14</w:t>
      </w:r>
      <w:r>
        <w:rPr>
          <w:sz w:val="20"/>
          <w:szCs w:val="20"/>
          <w:color w:val="auto"/>
        </w:rPr>
        <w:tab/>
      </w:r>
      <w:hyperlink r:id="rId383">
        <w:r>
          <w:rPr>
            <w:rFonts w:ascii="Times New Roman" w:cs="Times New Roman" w:eastAsia="Times New Roman" w:hAnsi="Times New Roman"/>
            <w:sz w:val="18"/>
            <w:szCs w:val="18"/>
            <w:u w:val="single" w:color="auto"/>
            <w:color w:val="0563C1"/>
          </w:rPr>
          <w:t>Lease Agreement, dated January 8, 2021, by and between Pegasus Park, LLC and the Company (incorporated by reference to Exhibit 10.1</w:t>
        </w:r>
      </w:hyperlink>
      <w:r>
        <w:rPr>
          <w:rFonts w:ascii="Times New Roman" w:cs="Times New Roman" w:eastAsia="Times New Roman" w:hAnsi="Times New Roman"/>
          <w:sz w:val="18"/>
          <w:szCs w:val="18"/>
          <w:u w:val="single" w:color="auto"/>
          <w:color w:val="0563C1"/>
        </w:rPr>
        <w:t xml:space="preserve"> </w:t>
      </w:r>
      <w:hyperlink r:id="rId383">
        <w:r>
          <w:rPr>
            <w:rFonts w:ascii="Times New Roman" w:cs="Times New Roman" w:eastAsia="Times New Roman" w:hAnsi="Times New Roman"/>
            <w:sz w:val="18"/>
            <w:szCs w:val="18"/>
            <w:u w:val="single" w:color="auto"/>
            <w:color w:val="0563C1"/>
          </w:rPr>
          <w:t>to the Company’s Quarterly Report on Form 10-Q (File No. 001-39536), filed with the Securities and Exchange Commission on August</w:t>
        </w:r>
      </w:hyperlink>
      <w:r>
        <w:rPr>
          <w:rFonts w:ascii="Times New Roman" w:cs="Times New Roman" w:eastAsia="Times New Roman" w:hAnsi="Times New Roman"/>
          <w:sz w:val="18"/>
          <w:szCs w:val="18"/>
          <w:u w:val="single" w:color="auto"/>
          <w:color w:val="0563C1"/>
        </w:rPr>
        <w:t xml:space="preserve"> </w:t>
      </w:r>
      <w:hyperlink r:id="rId383">
        <w:r>
          <w:rPr>
            <w:rFonts w:ascii="Times New Roman" w:cs="Times New Roman" w:eastAsia="Times New Roman" w:hAnsi="Times New Roman"/>
            <w:sz w:val="18"/>
            <w:szCs w:val="18"/>
            <w:u w:val="single" w:color="auto"/>
            <w:color w:val="0563C1"/>
          </w:rPr>
          <w:t>16,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35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635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2579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4660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466090" cy="8890"/>
                    </a:xfrm>
                    <a:prstGeom prst="rect">
                      <a:avLst/>
                    </a:prstGeom>
                    <a:noFill/>
                  </pic:spPr>
                </pic:pic>
              </a:graphicData>
            </a:graphic>
          </wp:anchor>
        </w:drawing>
      </w:r>
    </w:p>
    <w:p>
      <w:pPr>
        <w:ind w:left="900" w:right="140" w:hanging="842"/>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87">
        <w:r>
          <w:rPr>
            <w:rFonts w:ascii="Times New Roman" w:cs="Times New Roman" w:eastAsia="Times New Roman" w:hAnsi="Times New Roman"/>
            <w:sz w:val="18"/>
            <w:szCs w:val="18"/>
            <w:u w:val="single" w:color="auto"/>
            <w:color w:val="0000FF"/>
          </w:rPr>
          <w:t>First Amendment to Lease Agreement, dated December 14, 2021, by and between Pegasus Park, LLC and the Company (incorporated by</w:t>
        </w:r>
      </w:hyperlink>
      <w:r>
        <w:rPr>
          <w:rFonts w:ascii="Times New Roman" w:cs="Times New Roman" w:eastAsia="Times New Roman" w:hAnsi="Times New Roman"/>
          <w:sz w:val="18"/>
          <w:szCs w:val="18"/>
          <w:u w:val="single" w:color="auto"/>
          <w:color w:val="0000FF"/>
        </w:rPr>
        <w:t xml:space="preserve"> </w:t>
      </w:r>
      <w:hyperlink r:id="rId387">
        <w:r>
          <w:rPr>
            <w:rFonts w:ascii="Times New Roman" w:cs="Times New Roman" w:eastAsia="Times New Roman" w:hAnsi="Times New Roman"/>
            <w:sz w:val="18"/>
            <w:szCs w:val="18"/>
            <w:u w:val="single" w:color="auto"/>
            <w:color w:val="0000FF"/>
          </w:rPr>
          <w:t>reference to Exhibit 10.18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000FF"/>
        </w:rPr>
        <w:t xml:space="preserve"> </w:t>
      </w:r>
      <w:hyperlink r:id="rId387">
        <w:r>
          <w:rPr>
            <w:rFonts w:ascii="Times New Roman" w:cs="Times New Roman" w:eastAsia="Times New Roman" w:hAnsi="Times New Roman"/>
            <w:sz w:val="18"/>
            <w:szCs w:val="18"/>
            <w:u w:val="single" w:color="auto"/>
            <w:color w:val="0000FF"/>
          </w:rPr>
          <w:t>Commission on March 31,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3138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2522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625221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15424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ind w:left="900" w:right="420" w:hanging="842"/>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91">
        <w:r>
          <w:rPr>
            <w:rFonts w:ascii="Times New Roman" w:cs="Times New Roman" w:eastAsia="Times New Roman" w:hAnsi="Times New Roman"/>
            <w:sz w:val="18"/>
            <w:szCs w:val="18"/>
            <w:u w:val="single" w:color="auto"/>
            <w:color w:val="0000FF"/>
          </w:rPr>
          <w:t>Sales Agreement, dated as of October 5, 2021, by and among the Registrant, SVB Leerink LLC and Wells Fargo Securities, LLC</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(incorporated by reference to Exhibit 1.2 to the Company’s Registration Statement on Form S-3 (File No. 333-260069), filed with the</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Securities and Exchange Commission on October 5,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59397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593979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1398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613981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27063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2706370" cy="8255"/>
                    </a:xfrm>
                    <a:prstGeom prst="rect">
                      <a:avLst/>
                    </a:prstGeom>
                    <a:noFill/>
                  </pic:spPr>
                </pic:pic>
              </a:graphicData>
            </a:graphic>
          </wp:anchor>
        </w:drawing>
      </w:r>
    </w:p>
    <w:p>
      <w:pPr>
        <w:jc w:val="both"/>
        <w:ind w:left="900" w:right="180" w:hanging="842"/>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95">
        <w:r>
          <w:rPr>
            <w:rFonts w:ascii="Times New Roman" w:cs="Times New Roman" w:eastAsia="Times New Roman" w:hAnsi="Times New Roman"/>
            <w:sz w:val="18"/>
            <w:szCs w:val="18"/>
            <w:u w:val="single" w:color="auto"/>
            <w:color w:val="0000FF"/>
          </w:rPr>
          <w:t>Amendment No. 1 to Sales Agreement, dated March 30, 2022, by and among the Company, Goldman Sachs &amp; Co. LLC, SVB Securities</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LLC and Wells Fargo Securities, LLC (incorporated by reference to Exhibit 10.19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No. 001-39536), filed with the Securities and Exchange Commission on March 31,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2922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24268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624268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41186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ind w:left="900" w:right="80" w:hanging="842"/>
        <w:spacing w:after="0" w:line="265"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99">
        <w:r>
          <w:rPr>
            <w:rFonts w:ascii="Times New Roman" w:cs="Times New Roman" w:eastAsia="Times New Roman" w:hAnsi="Times New Roman"/>
            <w:sz w:val="17"/>
            <w:szCs w:val="17"/>
            <w:u w:val="single" w:color="auto"/>
            <w:color w:val="0000FF"/>
          </w:rPr>
          <w:t>Option Agreement, by and between the Company and Astellas, dated October 21, 2022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399">
        <w:r>
          <w:rPr>
            <w:rFonts w:ascii="Times New Roman" w:cs="Times New Roman" w:eastAsia="Times New Roman" w:hAnsi="Times New Roman"/>
            <w:sz w:val="17"/>
            <w:szCs w:val="17"/>
            <w:u w:val="single" w:color="auto"/>
            <w:color w:val="0000FF"/>
          </w:rPr>
          <w:t>Company’s Current Report on Form 8-K (File No. 001-39536), filed with the Securities and Exchange Commission on October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-161925</wp:posOffset>
            </wp:positionV>
            <wp:extent cx="62534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25348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63309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330950" cy="8255"/>
                    </a:xfrm>
                    <a:prstGeom prst="rect">
                      <a:avLst/>
                    </a:prstGeom>
                    <a:noFill/>
                  </pic:spPr>
                </pic:pic>
              </a:graphicData>
            </a:graphic>
          </wp:anchor>
        </w:drawing>
      </w: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402">
        <w:r>
          <w:rPr>
            <w:rFonts w:ascii="Times New Roman" w:cs="Times New Roman" w:eastAsia="Times New Roman" w:hAnsi="Times New Roman"/>
            <w:sz w:val="17"/>
            <w:szCs w:val="17"/>
            <w:u w:val="single" w:color="auto"/>
            <w:color w:val="0000FF"/>
          </w:rPr>
          <w:t>Securities Purchase Agreement, by and between the Company and Astellas, dated October 21, 2022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3138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10.2 to the Company’s Current Report on Form 8-K (File No. 001-39536), filed with the Securities and Exchange Commission on October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3779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31,2022).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4381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ind w:left="6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406">
        <w:r>
          <w:rPr>
            <w:rFonts w:ascii="Times New Roman" w:cs="Times New Roman" w:eastAsia="Times New Roman" w:hAnsi="Times New Roman"/>
            <w:sz w:val="17"/>
            <w:szCs w:val="17"/>
            <w:u w:val="single" w:color="auto"/>
            <w:color w:val="0000FF"/>
          </w:rPr>
          <w:t>Registration Rights Agreement, by and between the Company and Astellas, dated October 21, 2022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3074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6307455" cy="8255"/>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10.3 to the Company’s Current Report on Form 8-K (File No. 001-39536), filed with the Securities and Exchange Commission on October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3779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31,2022).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4381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jc w:val="both"/>
        <w:ind w:left="900" w:right="220" w:hanging="893"/>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410">
        <w:r>
          <w:rPr>
            <w:rFonts w:ascii="Times New Roman" w:cs="Times New Roman" w:eastAsia="Times New Roman" w:hAnsi="Times New Roman"/>
            <w:sz w:val="18"/>
            <w:szCs w:val="18"/>
            <w:u w:val="single" w:color="auto"/>
            <w:color w:val="0000FF"/>
          </w:rPr>
          <w:t>Executive Employment Agreement, effective as of December 30, 2022, by and between the Company and Sean Nolan (incorporated by</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reference to Exhibit 10.23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000FF"/>
        </w:rPr>
        <w:t xml:space="preserve"> </w:t>
      </w:r>
      <w:hyperlink r:id="rId410">
        <w:r>
          <w:rPr>
            <w:rFonts w:ascii="Times New Roman" w:cs="Times New Roman" w:eastAsia="Times New Roman" w:hAnsi="Times New Roman"/>
            <w:sz w:val="18"/>
            <w:szCs w:val="18"/>
            <w:u w:val="single" w:color="auto"/>
            <w:color w:val="0000FF"/>
          </w:rPr>
          <w:t>Commission on March 28,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62249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622490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2699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6269990"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15043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900" w:right="60" w:hanging="893"/>
        <w:spacing w:after="0" w:line="250"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414">
        <w:r>
          <w:rPr>
            <w:rFonts w:ascii="Times New Roman" w:cs="Times New Roman" w:eastAsia="Times New Roman" w:hAnsi="Times New Roman"/>
            <w:sz w:val="18"/>
            <w:szCs w:val="18"/>
            <w:u w:val="single" w:color="auto"/>
            <w:color w:val="0000FF"/>
          </w:rPr>
          <w:t>Executive Employment Agreement, effective as of December 30, 2022, by and between the Company and Sukumar Nagendran</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(incorporated by reference to Exhibit 10.24 to the Company's Annual Report on Form 10-K (File No. 001-39536), filed with the Securities</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and Exchange Commission on March 28,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-298450</wp:posOffset>
            </wp:positionV>
            <wp:extent cx="5850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585025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-161290</wp:posOffset>
            </wp:positionV>
            <wp:extent cx="63665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6366510"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-24130</wp:posOffset>
            </wp:positionV>
            <wp:extent cx="21767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2176780" cy="8255"/>
                    </a:xfrm>
                    <a:prstGeom prst="rect">
                      <a:avLst/>
                    </a:prstGeom>
                    <a:noFill/>
                  </pic:spPr>
                </pic:pic>
              </a:graphicData>
            </a:graphic>
          </wp:anchor>
        </w:drawing>
      </w:r>
    </w:p>
    <w:p>
      <w:pPr>
        <w:jc w:val="both"/>
        <w:ind w:left="900" w:right="140" w:hanging="842"/>
        <w:spacing w:after="0" w:line="265" w:lineRule="auto"/>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418">
        <w:r>
          <w:rPr>
            <w:rFonts w:ascii="Times New Roman" w:cs="Times New Roman" w:eastAsia="Times New Roman" w:hAnsi="Times New Roman"/>
            <w:sz w:val="17"/>
            <w:szCs w:val="17"/>
            <w:u w:val="single" w:color="auto"/>
            <w:color w:val="0000FF"/>
          </w:rPr>
          <w:t>Loan and Security Agreement, dated November 13, 2023 by and among the Company, and the lenders from time to time party thereto as</w:t>
        </w:r>
      </w:hyperlink>
      <w:r>
        <w:rPr>
          <w:rFonts w:ascii="Times New Roman" w:cs="Times New Roman" w:eastAsia="Times New Roman" w:hAnsi="Times New Roman"/>
          <w:sz w:val="17"/>
          <w:szCs w:val="17"/>
          <w:u w:val="single" w:color="auto"/>
          <w:color w:val="0000FF"/>
        </w:rPr>
        <w:t xml:space="preserve"> </w:t>
      </w:r>
      <w:hyperlink r:id="rId418">
        <w:r>
          <w:rPr>
            <w:rFonts w:ascii="Times New Roman" w:cs="Times New Roman" w:eastAsia="Times New Roman" w:hAnsi="Times New Roman"/>
            <w:sz w:val="17"/>
            <w:szCs w:val="17"/>
            <w:u w:val="single" w:color="auto"/>
            <w:color w:val="0000FF"/>
          </w:rPr>
          <w:t>lenders, and Trinity Capital, Inc. as administrative agent and collateral agent (incorporated by reference to Exhibit 10.2 to the Company’s</w:t>
        </w:r>
      </w:hyperlink>
      <w:r>
        <w:rPr>
          <w:rFonts w:ascii="Times New Roman" w:cs="Times New Roman" w:eastAsia="Times New Roman" w:hAnsi="Times New Roman"/>
          <w:sz w:val="17"/>
          <w:szCs w:val="17"/>
          <w:u w:val="single" w:color="auto"/>
          <w:color w:val="0000FF"/>
        </w:rPr>
        <w:t xml:space="preserve"> </w:t>
      </w:r>
      <w:hyperlink r:id="rId418">
        <w:r>
          <w:rPr>
            <w:rFonts w:ascii="Times New Roman" w:cs="Times New Roman" w:eastAsia="Times New Roman" w:hAnsi="Times New Roman"/>
            <w:sz w:val="17"/>
            <w:szCs w:val="17"/>
            <w:u w:val="single" w:color="auto"/>
            <w:color w:val="0000FF"/>
          </w:rPr>
          <w:t>Quarterly Report on Form 10-Q (File No. 001-39536) filed with the Securities and Exchange Commission on November 14, 2023).</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-299085</wp:posOffset>
            </wp:positionV>
            <wp:extent cx="62757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-161925</wp:posOffset>
            </wp:positionV>
            <wp:extent cx="63138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6313805" cy="8890"/>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-24765</wp:posOffset>
            </wp:positionV>
            <wp:extent cx="60064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6006465" cy="8890"/>
                    </a:xfrm>
                    <a:prstGeom prst="rect">
                      <a:avLst/>
                    </a:prstGeom>
                    <a:noFill/>
                  </pic:spPr>
                </pic:pic>
              </a:graphicData>
            </a:graphic>
          </wp:anchor>
        </w:drawing>
      </w: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422">
        <w:r>
          <w:rPr>
            <w:rFonts w:ascii="Times New Roman" w:cs="Times New Roman" w:eastAsia="Times New Roman" w:hAnsi="Times New Roman"/>
            <w:sz w:val="17"/>
            <w:szCs w:val="17"/>
            <w:u w:val="single" w:color="auto"/>
            <w:color w:val="0000FF"/>
          </w:rPr>
          <w:t>Taysha Gene Therapies, Inc. 2023 Inducement Plan (incorporated by reference to Exhibit 10.1 to the Company’s Current Report on Form</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63233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6323330" cy="8890"/>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422">
        <w:r>
          <w:rPr>
            <w:rFonts w:ascii="Times New Roman" w:cs="Times New Roman" w:eastAsia="Times New Roman" w:hAnsi="Times New Roman"/>
            <w:sz w:val="18"/>
            <w:szCs w:val="18"/>
            <w:u w:val="single" w:color="auto"/>
            <w:color w:val="0000FF"/>
          </w:rPr>
          <w:t>8-K (File No. 001-39536) filed with the Securities and Exchange Commission on December 20, 2023).</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568325</wp:posOffset>
            </wp:positionH>
            <wp:positionV relativeFrom="paragraph">
              <wp:posOffset>-19050</wp:posOffset>
            </wp:positionV>
            <wp:extent cx="47123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4712335" cy="8890"/>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u w:val="single" w:color="auto"/>
          <w:color w:val="0000FF"/>
        </w:rPr>
      </w:pPr>
    </w:p>
    <w:p>
      <w:pPr>
        <w:spacing w:after="0" w:line="203" w:lineRule="exact"/>
        <w:rPr>
          <w:rFonts w:ascii="Times New Roman" w:cs="Times New Roman" w:eastAsia="Times New Roman" w:hAnsi="Times New Roman"/>
          <w:sz w:val="17"/>
          <w:szCs w:val="17"/>
          <w:u w:val="single" w:color="auto"/>
          <w:color w:val="0000FF"/>
        </w:rPr>
      </w:pPr>
    </w:p>
    <w:p>
      <w:pPr>
        <w:jc w:val="center"/>
        <w:ind w:right="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80" w:top="985" w:right="379" w:bottom="1440" w:gutter="0" w:footer="0" w:header="0"/>
        </w:sectPr>
      </w:pPr>
    </w:p>
    <w:bookmarkStart w:id="139" w:name="page140"/>
    <w:bookmarkEnd w:id="139"/>
    <w:tbl>
      <w:tblPr>
        <w:tblLayout w:type="fixed"/>
        <w:tblInd w:w="18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10.25+</w:t>
            </w:r>
          </w:p>
        </w:tc>
        <w:tc>
          <w:tcPr>
            <w:tcW w:w="10040" w:type="dxa"/>
            <w:vAlign w:val="bottom"/>
            <w:gridSpan w:val="15"/>
          </w:tcPr>
          <w:p>
            <w:pPr>
              <w:spacing w:after="0"/>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Form of RSU Award Grant Notice and RSU Award Agreement under the 2023 Inducement Plan (incorporated by reference to Exhibit 10.2</w:t>
              </w:r>
            </w:hyperlink>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to the Company’s Current Report on Form 8-K (File No. 001-39536) filed with the Securities and Exchange Commission on December 20,</w:t>
              </w:r>
            </w:hyperlink>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 w:type="dxa"/>
            <w:vAlign w:val="bottom"/>
          </w:tcPr>
          <w:p>
            <w:pPr>
              <w:spacing w:after="0" w:line="196" w:lineRule="exact"/>
              <w:rPr>
                <w:rFonts w:ascii="Times New Roman" w:cs="Times New Roman" w:eastAsia="Times New Roman" w:hAnsi="Times New Roman"/>
                <w:sz w:val="18"/>
                <w:szCs w:val="18"/>
                <w:color w:val="0000FF"/>
                <w:w w:val="90"/>
              </w:rPr>
            </w:pPr>
            <w:hyperlink r:id="rId426">
              <w:r>
                <w:rPr>
                  <w:rFonts w:ascii="Times New Roman" w:cs="Times New Roman" w:eastAsia="Times New Roman" w:hAnsi="Times New Roman"/>
                  <w:sz w:val="18"/>
                  <w:szCs w:val="18"/>
                  <w:color w:val="0000FF"/>
                  <w:w w:val="90"/>
                </w:rPr>
                <w:t>2023).</w:t>
              </w:r>
            </w:hyperlink>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Form of Stock Option Grant Notice and Stock Option Agreement under the 2023 Inducement Plan (incorporated by reference to Exhibit</w:t>
              </w:r>
            </w:hyperlink>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Current Report on Form 8-K (File No. 001-39536) filed with the Securities and Exchange Commission on</w:t>
              </w:r>
            </w:hyperlink>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December 20, 2023).</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Amendment to 2023 Inducement Plan (incorporated by reference to Exhibit 99.6 to the Company’s Registration Statement on Form S-8</w:t>
              </w:r>
            </w:hyperlink>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(File No. 333-284167) filed with the Securities and Exchange Commission on January 7, 2025).</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19.1*</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24.1*</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563C1"/>
              </w:rPr>
              <w:t>Power of Attorney (included on signature page)</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563C1"/>
            </w:tcBorders>
            <w:gridSpan w:val="2"/>
            <w:shd w:val="clear" w:color="auto" w:fill="0563C1"/>
          </w:tcPr>
          <w:p>
            <w:pPr>
              <w:spacing w:after="0" w:line="20" w:lineRule="exact"/>
              <w:rPr>
                <w:sz w:val="1"/>
                <w:szCs w:val="1"/>
                <w:color w:val="auto"/>
              </w:rPr>
            </w:pPr>
          </w:p>
        </w:tc>
        <w:tc>
          <w:tcPr>
            <w:tcW w:w="2520" w:type="dxa"/>
            <w:vAlign w:val="bottom"/>
            <w:gridSpan w:val="4"/>
            <w:shd w:val="clear" w:color="auto" w:fill="0563C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1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8160" w:type="dxa"/>
            <w:vAlign w:val="bottom"/>
            <w:tcBorders>
              <w:right w:val="single" w:sz="8" w:color="0000FF"/>
            </w:tcBorders>
            <w:gridSpan w:val="7"/>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32.1*##</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w:t>
            </w:r>
          </w:p>
        </w:tc>
      </w:tr>
      <w:tr>
        <w:trPr>
          <w:trHeight w:val="20"/>
        </w:trPr>
        <w:tc>
          <w:tcPr>
            <w:tcW w:w="100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8160" w:type="dxa"/>
            <w:vAlign w:val="bottom"/>
            <w:tcBorders>
              <w:right w:val="single" w:sz="8" w:color="0000FF"/>
            </w:tcBorders>
            <w:gridSpan w:val="7"/>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9"/>
              </w:rPr>
              <w:t>32.2*##</w:t>
            </w: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000" w:type="dxa"/>
            <w:vAlign w:val="bottom"/>
          </w:tcPr>
          <w:p>
            <w:pPr>
              <w:spacing w:after="0" w:line="20" w:lineRule="exact"/>
              <w:rPr>
                <w:sz w:val="1"/>
                <w:szCs w:val="1"/>
                <w:color w:val="auto"/>
              </w:rPr>
            </w:pPr>
          </w:p>
        </w:tc>
        <w:tc>
          <w:tcPr>
            <w:tcW w:w="9060" w:type="dxa"/>
            <w:vAlign w:val="bottom"/>
            <w:tcBorders>
              <w:right w:val="single" w:sz="8" w:color="0000FF"/>
            </w:tcBorders>
            <w:gridSpan w:val="9"/>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Taysha Gene Therapies, Inc. Incentive Compensation Recoupment Policy (incorporated by reference to Exhibit 97.1 to the Company's</w:t>
              </w:r>
            </w:hyperlink>
          </w:p>
        </w:tc>
      </w:tr>
      <w:tr>
        <w:trPr>
          <w:trHeight w:val="20"/>
        </w:trPr>
        <w:tc>
          <w:tcPr>
            <w:tcW w:w="1000" w:type="dxa"/>
            <w:vAlign w:val="bottom"/>
          </w:tcPr>
          <w:p>
            <w:pPr>
              <w:spacing w:after="0" w:line="20" w:lineRule="exact"/>
              <w:rPr>
                <w:sz w:val="1"/>
                <w:szCs w:val="1"/>
                <w:color w:val="auto"/>
              </w:rPr>
            </w:pPr>
          </w:p>
        </w:tc>
        <w:tc>
          <w:tcPr>
            <w:tcW w:w="9060" w:type="dxa"/>
            <w:vAlign w:val="bottom"/>
            <w:tcBorders>
              <w:right w:val="single" w:sz="8" w:color="0000FF"/>
            </w:tcBorders>
            <w:gridSpan w:val="9"/>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40" w:type="dxa"/>
            <w:vAlign w:val="bottom"/>
            <w:gridSpan w:val="15"/>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Annual Report on Form 10-K (File No. 001-39536), filed with the Securities and Exchange Commission on March 19, 2024).</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60" w:type="dxa"/>
            <w:vAlign w:val="bottom"/>
            <w:tcBorders>
              <w:right w:val="single" w:sz="8" w:color="0000EE"/>
            </w:tcBorders>
            <w:gridSpan w:val="9"/>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r>
      <w:tr>
        <w:trPr>
          <w:trHeight w:val="218"/>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00" w:type="dxa"/>
            <w:vAlign w:val="bottom"/>
          </w:tcPr>
          <w:p>
            <w:pPr>
              <w:spacing w:after="0"/>
              <w:rPr>
                <w:sz w:val="18"/>
                <w:szCs w:val="18"/>
                <w:color w:val="auto"/>
              </w:rPr>
            </w:pP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4560" w:firstLine="21"/>
        <w:spacing w:after="0" w:line="505" w:lineRule="auto"/>
        <w:tabs>
          <w:tab w:leader="none" w:pos="114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9512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140" w:firstLine="8"/>
        <w:spacing w:after="0" w:line="282" w:lineRule="auto"/>
        <w:tabs>
          <w:tab w:leader="none" w:pos="1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(indicated by asterisks) have been omitted because the registrant has determined they are not material and would likely cause competitive harm to the registrant if publicly disclosed.</w:t>
      </w:r>
    </w:p>
    <w:p>
      <w:pPr>
        <w:spacing w:after="0" w:line="54" w:lineRule="exact"/>
        <w:rPr>
          <w:sz w:val="20"/>
          <w:szCs w:val="20"/>
          <w:color w:val="auto"/>
        </w:rPr>
      </w:pPr>
    </w:p>
    <w:p>
      <w:pPr>
        <w:ind w:right="280" w:firstLine="8"/>
        <w:spacing w:after="0" w:line="282" w:lineRule="auto"/>
        <w:tabs>
          <w:tab w:leader="none" w:pos="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right="60" w:firstLine="8"/>
        <w:spacing w:after="0" w:line="266"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11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64" w:lineRule="exact"/>
        <w:rPr>
          <w:sz w:val="20"/>
          <w:szCs w:val="20"/>
          <w:color w:val="auto"/>
        </w:rPr>
      </w:pPr>
    </w:p>
    <w:p>
      <w:pPr>
        <w:ind w:left="60"/>
        <w:spacing w:after="0"/>
        <w:tabs>
          <w:tab w:leader="none" w:pos="5780" w:val="left"/>
          <w:tab w:leader="none" w:pos="6580" w:val="left"/>
        </w:tabs>
        <w:rPr>
          <w:sz w:val="20"/>
          <w:szCs w:val="20"/>
          <w:color w:val="auto"/>
        </w:rPr>
      </w:pPr>
      <w:r>
        <w:rPr>
          <w:rFonts w:ascii="Times New Roman" w:cs="Times New Roman" w:eastAsia="Times New Roman" w:hAnsi="Times New Roman"/>
          <w:sz w:val="18"/>
          <w:szCs w:val="18"/>
          <w:color w:val="auto"/>
        </w:rPr>
        <w:t>Date: February 26</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34290</wp:posOffset>
            </wp:positionV>
            <wp:extent cx="29743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8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Sean Nolan</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Sean Nolan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40" w:type="dxa"/>
            <w:vAlign w:val="bottom"/>
          </w:tcPr>
          <w:p>
            <w:pPr>
              <w:spacing w:after="0"/>
              <w:rPr>
                <w:sz w:val="18"/>
                <w:szCs w:val="18"/>
                <w:color w:val="auto"/>
              </w:rPr>
            </w:pPr>
          </w:p>
        </w:tc>
        <w:tc>
          <w:tcPr>
            <w:tcW w:w="4940" w:type="dxa"/>
            <w:vAlign w:val="bottom"/>
          </w:tcPr>
          <w:p>
            <w:pPr>
              <w:ind w:left="23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40" w:type="dxa"/>
            <w:vAlign w:val="bottom"/>
          </w:tcPr>
          <w:p>
            <w:pPr>
              <w:spacing w:after="0"/>
              <w:rPr>
                <w:sz w:val="18"/>
                <w:szCs w:val="18"/>
                <w:color w:val="auto"/>
              </w:rPr>
            </w:pPr>
          </w:p>
        </w:tc>
        <w:tc>
          <w:tcPr>
            <w:tcW w:w="208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Sean Nolan</w:t>
            </w:r>
          </w:p>
        </w:tc>
        <w:tc>
          <w:tcPr>
            <w:tcW w:w="340" w:type="dxa"/>
            <w:vAlign w:val="bottom"/>
          </w:tcPr>
          <w:p>
            <w:pPr>
              <w:spacing w:after="0"/>
              <w:rPr>
                <w:sz w:val="24"/>
                <w:szCs w:val="24"/>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Sean Nolan</w:t>
            </w:r>
          </w:p>
        </w:tc>
        <w:tc>
          <w:tcPr>
            <w:tcW w:w="34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Kamran Alam</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43"/>
        </w:trPr>
        <w:tc>
          <w:tcPr>
            <w:tcW w:w="3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w:t>
            </w:r>
          </w:p>
        </w:tc>
        <w:tc>
          <w:tcPr>
            <w:tcW w:w="24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Kamran Alam</w:t>
            </w:r>
          </w:p>
        </w:tc>
        <w:tc>
          <w:tcPr>
            <w:tcW w:w="34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Phillip B. Donenberg</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Phillip B. Donenberg</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Sean Stalfort</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Sean Stalfort</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Sukumar Nagendran, M.D.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Sukumar Nagendran, M.D.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Alison Long, M.D., Ph.D.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Alison Long, M.D., Ph.D.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Laura Sepp-Lorenzino, Ph.D.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Laura Sepp-Lorenzino, Ph.D.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9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TAYSHA GENE THERAPIES, INC.</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 on</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ntroduction</w:t>
      </w:r>
    </w:p>
    <w:p>
      <w:pPr>
        <w:spacing w:after="0" w:line="20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This policy determines acceptable transactions in the securities of Taysha Gene Therapies,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by our employees, directors and consultants. During the course of your employment, directorship or consultancy with the Company, you may receive important information that is not yet publicly available about the Company or about other publicly-traded companies with which the Company has business dealings (“</w:t>
      </w:r>
      <w:r>
        <w:rPr>
          <w:rFonts w:ascii="Times New Roman" w:cs="Times New Roman" w:eastAsia="Times New Roman" w:hAnsi="Times New Roman"/>
          <w:sz w:val="21"/>
          <w:szCs w:val="21"/>
          <w:b w:val="1"/>
          <w:bCs w:val="1"/>
          <w:i w:val="1"/>
          <w:iCs w:val="1"/>
          <w:color w:val="auto"/>
        </w:rPr>
        <w:t>inside information</w:t>
      </w:r>
      <w:r>
        <w:rPr>
          <w:rFonts w:ascii="Times New Roman" w:cs="Times New Roman" w:eastAsia="Times New Roman" w:hAnsi="Times New Roman"/>
          <w:sz w:val="21"/>
          <w:szCs w:val="21"/>
          <w:color w:val="auto"/>
        </w:rPr>
        <w:t>”).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6" w:lineRule="exact"/>
        <w:rPr>
          <w:sz w:val="20"/>
          <w:szCs w:val="20"/>
          <w:color w:val="auto"/>
        </w:rPr>
      </w:pPr>
    </w:p>
    <w:p>
      <w:pPr>
        <w:jc w:val="both"/>
        <w:ind w:left="1500" w:hanging="743"/>
        <w:spacing w:after="0" w:line="235" w:lineRule="auto"/>
        <w:tabs>
          <w:tab w:leader="none" w:pos="15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Securities Transactions. </w:t>
      </w:r>
      <w:r>
        <w:rPr>
          <w:rFonts w:ascii="Times New Roman" w:cs="Times New Roman" w:eastAsia="Times New Roman" w:hAnsi="Times New Roman"/>
          <w:sz w:val="22"/>
          <w:szCs w:val="22"/>
          <w:color w:val="auto"/>
        </w:rPr>
        <w:t>Use of inside information by someone for personal gain, or to pass on, or “tip,”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e.g., 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spacing w:after="0" w:line="178" w:lineRule="exact"/>
        <w:rPr>
          <w:rFonts w:ascii="Times New Roman" w:cs="Times New Roman" w:eastAsia="Times New Roman" w:hAnsi="Times New Roman"/>
          <w:sz w:val="22"/>
          <w:szCs w:val="22"/>
          <w:b w:val="1"/>
          <w:bCs w:val="1"/>
          <w:color w:val="auto"/>
        </w:rPr>
      </w:pPr>
    </w:p>
    <w:p>
      <w:pPr>
        <w:jc w:val="both"/>
        <w:ind w:left="1500" w:hanging="743"/>
        <w:spacing w:after="0" w:line="245" w:lineRule="auto"/>
        <w:tabs>
          <w:tab w:leader="none" w:pos="150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Inside Information. </w:t>
      </w:r>
      <w:r>
        <w:rPr>
          <w:rFonts w:ascii="Times New Roman" w:cs="Times New Roman" w:eastAsia="Times New Roman" w:hAnsi="Times New Roman"/>
          <w:sz w:val="21"/>
          <w:szCs w:val="21"/>
          <w:color w:val="auto"/>
        </w:rPr>
        <w:t>As a practical matter, it is sometimes difficult to determine whether you possess inside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xml:space="preserve">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includes engaging in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2" w:name="page143"/>
    <w:bookmarkEnd w:id="142"/>
    <w:p>
      <w:pPr>
        <w:ind w:left="1500"/>
        <w:spacing w:after="0"/>
        <w:rPr>
          <w:sz w:val="20"/>
          <w:szCs w:val="20"/>
          <w:color w:val="auto"/>
        </w:rPr>
      </w:pPr>
      <w:r>
        <w:rPr>
          <w:rFonts w:ascii="Times New Roman" w:cs="Times New Roman" w:eastAsia="Times New Roman" w:hAnsi="Times New Roman"/>
          <w:sz w:val="22"/>
          <w:szCs w:val="22"/>
          <w:color w:val="auto"/>
        </w:rPr>
        <w:t>sales, transactions in put or call options, hedging transactions and other inherently speculative transactions.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is no bright-line standard for assessing materiality; rather, materiality is based on an assessment of all of the facts and circumstances, and is often evaluated by relevant enforcement authorities with the benefit of hindsight. Although by no means an all-inclusive list, information about the following items may be considered to be inside information until it is publicly disseminated:</w:t>
      </w:r>
    </w:p>
    <w:p>
      <w:pPr>
        <w:spacing w:after="0" w:line="180" w:lineRule="exact"/>
        <w:rPr>
          <w:sz w:val="20"/>
          <w:szCs w:val="20"/>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financial results or forecasts;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communications with government agencies, such as the FDA;</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strategic plans;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discovery and development of new product candidates and new technology;</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details or results of clinical trials of the Company’s product candidates;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changes or developments in suppliers;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acquisitions or dispositions of assets, divisions, companies, etc.;</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pending public or private sales of debt or equity securities;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declaration of stock splits, dividends or changes in dividend policy;</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major contract awards or cancellations;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regulatory or legislative developments;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major new drugs, processes or services, or many developments related to the same;</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top management or control changes;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possible tender offers or proxy fights;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writeoffs;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actual or threatened significant litigation, or the resolution of such litigation;</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impending bankruptcy of the Company or its key collaborators or partners;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gain or loss of significant partners, customers or suppliers;</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pricing changes or discount policies;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ind w:left="2260" w:right="20" w:hanging="755"/>
        <w:spacing w:after="0" w:line="258" w:lineRule="auto"/>
        <w:tabs>
          <w:tab w:leader="none" w:pos="22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establishment of or developments related to corporate partner relationships, strategic partnerships, joint ventures or other collaborations; and</w:t>
      </w:r>
    </w:p>
    <w:p>
      <w:pPr>
        <w:spacing w:after="0" w:line="158"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notice of issuance of patents.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 by</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fficers and</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Because the officers and directors and certain members of management of the Company are the most visible to the public and are most likely, in the view of the public, to possess inside information about the Company, we require them to do more than refrain from insider trading and require that they notify, and receive approval from, a Clearing Officer (as defined below) prior to engaging in transactions in the Company’s stock and observe other restrictions designed to minimize the risk of apparent or actual insider trading.</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 Covered Insiders. </w:t>
      </w:r>
      <w:r>
        <w:rPr>
          <w:rFonts w:ascii="Times New Roman" w:cs="Times New Roman" w:eastAsia="Times New Roman" w:hAnsi="Times New Roman"/>
          <w:sz w:val="22"/>
          <w:szCs w:val="22"/>
          <w:color w:val="auto"/>
        </w:rPr>
        <w:t>The provisions outlined in this stock trading policy apply to all directors, officers and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Generally, any entities or family members whose trading activities are controlled or influenced by any of such persons should be considered to be subject to the same restrictions.</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 Trading Blackouts. </w:t>
      </w:r>
      <w:r>
        <w:rPr>
          <w:rFonts w:ascii="Times New Roman" w:cs="Times New Roman" w:eastAsia="Times New Roman" w:hAnsi="Times New Roman"/>
          <w:sz w:val="22"/>
          <w:szCs w:val="22"/>
          <w:color w:val="auto"/>
        </w:rPr>
        <w:t>From time to time, an event may occur that is material to the Company and is known by only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few directors, officers and/or employees. So long as the event remains material and nonpublic, the persons designated by the Chief Executive Officer or Chief Financial Officer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event-driven trading blackouts do not apply to those transactions to which this policy does not apply, as described under the heading “Exceptions to Trading Blackouts” below.</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As of the effective date of this policy, the Company has not instituted an earnings window period. In the event the Company institutes an earnings window period after the effective date of this policy, subject to certain exceptions, officers, directors and employees will be permitted to trade only during a “</w:t>
      </w:r>
      <w:r>
        <w:rPr>
          <w:rFonts w:ascii="Times New Roman" w:cs="Times New Roman" w:eastAsia="Times New Roman" w:hAnsi="Times New Roman"/>
          <w:sz w:val="22"/>
          <w:szCs w:val="22"/>
          <w:b w:val="1"/>
          <w:bCs w:val="1"/>
          <w:i w:val="1"/>
          <w:iCs w:val="1"/>
          <w:color w:val="auto"/>
        </w:rPr>
        <w:t>window period</w:t>
      </w:r>
      <w:r>
        <w:rPr>
          <w:rFonts w:ascii="Times New Roman" w:cs="Times New Roman" w:eastAsia="Times New Roman" w:hAnsi="Times New Roman"/>
          <w:sz w:val="22"/>
          <w:szCs w:val="22"/>
          <w:color w:val="auto"/>
        </w:rPr>
        <w:t>” that opens after a specified number of trading days have elapsed after the public dissemination of the Company’s annual or quarterly financial results and closes a specified number of days before the end of the quarter.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1500" w:hanging="743"/>
        <w:spacing w:after="0"/>
        <w:tabs>
          <w:tab w:leader="none" w:pos="15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Trading Blackouts.</w:t>
      </w:r>
    </w:p>
    <w:p>
      <w:pPr>
        <w:spacing w:after="0" w:line="204" w:lineRule="exact"/>
        <w:rPr>
          <w:rFonts w:ascii="Times New Roman" w:cs="Times New Roman" w:eastAsia="Times New Roman" w:hAnsi="Times New Roman"/>
          <w:sz w:val="22"/>
          <w:szCs w:val="22"/>
          <w:b w:val="1"/>
          <w:bCs w:val="1"/>
          <w:color w:val="auto"/>
        </w:rPr>
      </w:pPr>
    </w:p>
    <w:p>
      <w:pPr>
        <w:jc w:val="both"/>
        <w:ind w:firstLine="1505"/>
        <w:spacing w:after="0" w:line="247" w:lineRule="auto"/>
        <w:tabs>
          <w:tab w:leader="none" w:pos="2036"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Option Exercises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officers and employees may exercise options for cash granted under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Company’s stock option plans without restriction. However, the subsequent </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xml:space="preserve"> of the stock (including sales of stock in a cashless exercise) acquired upon the exercise of options is subject to all provisions of this policy.</w:t>
      </w:r>
    </w:p>
    <w:p>
      <w:pPr>
        <w:spacing w:after="0" w:line="16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Tax Withholding Transactions. </w:t>
      </w:r>
      <w:r>
        <w:rPr>
          <w:rFonts w:ascii="Times New Roman" w:cs="Times New Roman" w:eastAsia="Times New Roman" w:hAnsi="Times New Roman"/>
          <w:sz w:val="22"/>
          <w:szCs w:val="22"/>
          <w:color w:val="auto"/>
        </w:rPr>
        <w:t>This Policy does not apply to the surrender of shares directly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to satisfy tax withholding obligations as a result of the issuance of shares upon vesting or exercise of restricted stock units, options or other equity awards granted under the Company’s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7" w:lineRule="auto"/>
        <w:tabs>
          <w:tab w:leader="none" w:pos="2036"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ESPP. </w:t>
      </w:r>
      <w:r>
        <w:rPr>
          <w:rFonts w:ascii="Times New Roman" w:cs="Times New Roman" w:eastAsia="Times New Roman" w:hAnsi="Times New Roman"/>
          <w:sz w:val="22"/>
          <w:szCs w:val="22"/>
          <w:color w:val="auto"/>
        </w:rPr>
        <w:t>This policy does not apply to the purchase of stock by employees under the Company’s Employee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Purchase 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on periodic designated dates in accordance with the ESPP. This policy does, however, apply to any sale of stock acquired pursuant to the ESPP.</w:t>
      </w:r>
    </w:p>
    <w:p>
      <w:pPr>
        <w:spacing w:after="0" w:line="163" w:lineRule="exact"/>
        <w:rPr>
          <w:rFonts w:ascii="Times New Roman" w:cs="Times New Roman" w:eastAsia="Times New Roman" w:hAnsi="Times New Roman"/>
          <w:sz w:val="22"/>
          <w:szCs w:val="22"/>
          <w:b w:val="1"/>
          <w:bCs w:val="1"/>
          <w:color w:val="auto"/>
        </w:rPr>
      </w:pPr>
    </w:p>
    <w:p>
      <w:pPr>
        <w:jc w:val="both"/>
        <w:ind w:firstLine="1505"/>
        <w:spacing w:after="0"/>
        <w:tabs>
          <w:tab w:leader="none" w:pos="2036"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10b5-1 Automatic Trading Programs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addition, purchases or sales of the Company’s securities made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pursuant to, and in compliance with, a written plan established by a director or employee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that meets the requirements of Rule 10b5-1 under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xml:space="preserve">”) may be made without restriction to any particular period provided that the Trading Plan is properly established. </w:t>
      </w:r>
      <w:r>
        <w:rPr>
          <w:rFonts w:ascii="Times New Roman" w:cs="Times New Roman" w:eastAsia="Times New Roman" w:hAnsi="Times New Roman"/>
          <w:sz w:val="19"/>
          <w:szCs w:val="19"/>
          <w:color w:val="auto"/>
        </w:rPr>
        <w:t>To be properly established,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Trading Plan must be established in compliance with the requirements of Rule 10b5-1 of the Exchange Act and any applicable 10b5-1 trading plan guidelines of the Company. Moreover, all Trading Plans must be reviewed and approved by the Company before being established to confirm that the Trading Plan complies with all pertinent Company policies and applicable securities laws. </w:t>
      </w:r>
      <w:r>
        <w:rPr>
          <w:rFonts w:ascii="Times New Roman" w:cs="Times New Roman" w:eastAsia="Times New Roman" w:hAnsi="Times New Roman"/>
          <w:sz w:val="21"/>
          <w:szCs w:val="21"/>
          <w:color w:val="auto"/>
        </w:rPr>
        <w:t>The 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must be notified of the establishment of any such Trading Plan, any amendments to such Trading Plan and the termination of such Trading Plan.</w:t>
      </w:r>
    </w:p>
    <w:p>
      <w:pPr>
        <w:spacing w:after="0" w:line="200" w:lineRule="exact"/>
        <w:rPr>
          <w:rFonts w:ascii="Times New Roman" w:cs="Times New Roman" w:eastAsia="Times New Roman" w:hAnsi="Times New Roman"/>
          <w:sz w:val="22"/>
          <w:szCs w:val="22"/>
          <w:b w:val="1"/>
          <w:bCs w:val="1"/>
          <w:color w:val="auto"/>
        </w:rPr>
      </w:pPr>
    </w:p>
    <w:p>
      <w:pPr>
        <w:spacing w:after="0" w:line="20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Gifts. </w:t>
      </w:r>
      <w:r>
        <w:rPr>
          <w:rFonts w:ascii="Times New Roman" w:cs="Times New Roman" w:eastAsia="Times New Roman" w:hAnsi="Times New Roman"/>
          <w:sz w:val="22"/>
          <w:szCs w:val="22"/>
          <w:color w:val="auto"/>
        </w:rPr>
        <w:t>This Policy does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gifts of Company securities that have been pre-cleared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Clearing Officer or his designee. Whether a gift is truly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will depend on the facts and circumstances surrounding each gift. Pre-clearance must be obtained at least two business days in advance of the proposed gift, and pre-cleared gifts not completed within five business days will require new pre-clearance. The Company may choose to shorten this period.</w:t>
      </w:r>
    </w:p>
    <w:p>
      <w:pPr>
        <w:spacing w:after="0" w:line="173"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and Advance Notice of Transactions. </w:t>
      </w:r>
      <w:r>
        <w:rPr>
          <w:rFonts w:ascii="Times New Roman" w:cs="Times New Roman" w:eastAsia="Times New Roman" w:hAnsi="Times New Roman"/>
          <w:sz w:val="22"/>
          <w:szCs w:val="22"/>
          <w:color w:val="auto"/>
        </w:rPr>
        <w:t>In addition to the requirements of paragraph B above,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directors may not engage in any transaction in the Company’s securities, including any purchase or sale in the open market, loan, or other transfer of beneficial ownership without first obtaining pre-clearance of the transaction from the Company’s Chief Financial Officer or his designee (each, a “</w:t>
      </w:r>
      <w:r>
        <w:rPr>
          <w:rFonts w:ascii="Times New Roman" w:cs="Times New Roman" w:eastAsia="Times New Roman" w:hAnsi="Times New Roman"/>
          <w:sz w:val="22"/>
          <w:szCs w:val="22"/>
          <w:b w:val="1"/>
          <w:bCs w:val="1"/>
          <w:i w:val="1"/>
          <w:iCs w:val="1"/>
          <w:color w:val="auto"/>
        </w:rPr>
        <w:t>Clearing Officer</w:t>
      </w:r>
      <w:r>
        <w:rPr>
          <w:rFonts w:ascii="Times New Roman" w:cs="Times New Roman" w:eastAsia="Times New Roman" w:hAnsi="Times New Roman"/>
          <w:sz w:val="22"/>
          <w:szCs w:val="22"/>
          <w:color w:val="auto"/>
        </w:rPr>
        <w:t>”) at least two business days in advance of the proposed transaction. The Clearing Officer will then determine whether the transaction may proceed and, if so, will direct the Compliance Officer (as identified in the Company’s Section 16 Compliance Program) to assist in complying with the reporting requirements under Section 16(a) of the Exchange Act, if any. Pre-cleared transactions not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completed within ten business days shall require new pre-clearance under the provisions of this paragraph. The Company may, at its discretion, shorten such period of time.</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Advance notice of gifts or an intent to exercise an outstanding stock option shall be given to a Clearing Officer. To the extent possible, advance notice of upcoming transactions to be effected pursuant to an established Trading Plan under Section III.C.2 above shall also be given to a Clearing Officer. Upon completion of any transaction, the officer or director or other member of management must immediately notify the Compliance Officer and any other individuals identified in Section 3 of the Company’s Section 16 Compliance Program so that the Company may assist in any Section 16 reporting obligations.</w:t>
      </w:r>
    </w:p>
    <w:p>
      <w:pPr>
        <w:spacing w:after="0" w:line="173" w:lineRule="exact"/>
        <w:rPr>
          <w:sz w:val="20"/>
          <w:szCs w:val="20"/>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Prohibition of Speculative or Short-term Trading. </w:t>
      </w:r>
      <w:r>
        <w:rPr>
          <w:rFonts w:ascii="Times New Roman" w:cs="Times New Roman" w:eastAsia="Times New Roman" w:hAnsi="Times New Roman"/>
          <w:sz w:val="22"/>
          <w:szCs w:val="22"/>
          <w:color w:val="auto"/>
        </w:rPr>
        <w:t>No employee or director may engage in short sales,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put or call options, hedging transactions, margin accounts or other inherently speculative transactions with respect to the Company’s stock at any time.</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Short-Swing Trading/Control Stock/Section 16 Reports. </w:t>
      </w:r>
      <w:r>
        <w:rPr>
          <w:rFonts w:ascii="Times New Roman" w:cs="Times New Roman" w:eastAsia="Times New Roman" w:hAnsi="Times New Roman"/>
          <w:sz w:val="22"/>
          <w:szCs w:val="22"/>
          <w:color w:val="auto"/>
        </w:rPr>
        <w:t>Officers and directors subject to the reporting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76"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Prohibition of Trading During Pension Fund Blackouts. </w:t>
      </w:r>
      <w:r>
        <w:rPr>
          <w:rFonts w:ascii="Times New Roman" w:cs="Times New Roman" w:eastAsia="Times New Roman" w:hAnsi="Times New Roman"/>
          <w:sz w:val="22"/>
          <w:szCs w:val="22"/>
          <w:color w:val="auto"/>
        </w:rPr>
        <w:t>In accordance with Regulation BTR under the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306(a)(1) of the Sarbanes-Oxley Act of 2002 (as set forth in Regulation BTR),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etc. The Company shall timely notify each director and executive officer of any blackout periods in accordance with the provisions of Regulation BTR.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uration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pplicability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continues to apply to your transactions in the Company’s stock or the stock of other public companies engaged in business transactions with the Company even after your employment or directorship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ndividual</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esponsibility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the Company or any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“Penalties”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enalties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Clearing Officer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TAYSHA GENE THERAPIES,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Taysha Gene Therapies, Inc.</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 ________________________, have received and read a copy of the Taysha Gene Therapies, Inc. Insider Trading</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Policy. I hereby agree to comply with the specific requirements of the policy in all respects during my employment or other service relationship with Taysha Gene Therapies, Inc. I understand that this policy constitutes a material term of my employment or other service relationship with Taysha Gene Therapies, Inc. (or a subsidiary thereof) and that my failure to comply in all respects with the policy is a basis for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274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74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74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8" w:name="page149"/>
    <w:bookmarkEnd w:id="148"/>
    <w:p>
      <w:pPr>
        <w:jc w:val="right"/>
        <w:spacing w:after="0"/>
        <w:rPr>
          <w:sz w:val="20"/>
          <w:szCs w:val="20"/>
          <w:color w:val="auto"/>
        </w:rPr>
      </w:pPr>
      <w:r>
        <w:rPr>
          <w:rFonts w:ascii="Verdana" w:cs="Verdana" w:eastAsia="Verdana" w:hAnsi="Verdana"/>
          <w:sz w:val="16"/>
          <w:szCs w:val="16"/>
          <w:b w:val="1"/>
          <w:bCs w:val="1"/>
          <w:color w:val="666666"/>
        </w:rPr>
        <w:t>Exhibit 23.1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666666"/>
        </w:rPr>
        <w:t>CONSENT OF INDEPENDENT REGISTERED PUBLIC ACCOUNTING FIRM</w:t>
      </w:r>
    </w:p>
    <w:p>
      <w:pPr>
        <w:spacing w:after="0" w:line="157" w:lineRule="exact"/>
        <w:rPr>
          <w:sz w:val="20"/>
          <w:szCs w:val="20"/>
          <w:color w:val="auto"/>
        </w:rPr>
      </w:pPr>
    </w:p>
    <w:p>
      <w:pPr>
        <w:jc w:val="both"/>
        <w:spacing w:after="0" w:line="256" w:lineRule="auto"/>
        <w:rPr>
          <w:sz w:val="20"/>
          <w:szCs w:val="20"/>
          <w:color w:val="auto"/>
        </w:rPr>
      </w:pPr>
      <w:r>
        <w:rPr>
          <w:rFonts w:ascii="Verdana" w:cs="Verdana" w:eastAsia="Verdana" w:hAnsi="Verdana"/>
          <w:sz w:val="16"/>
          <w:szCs w:val="16"/>
          <w:color w:val="auto"/>
        </w:rPr>
        <w:t>We consent to the incorporation by reference in Registration Statement Nos. 333-260069, 333-271144 and 333-274264 on Form S-3 and Registration Statement Nos. 333-249130, 333-256013, 333-264025, 333-270915 and 333-276161 on Form S-8 of our report dated February 26, 2025, relating to the financial statements of Taysha Gene Therapies, Inc. appearing in this Annual Report on Form 10-K for the year ended December 31, 2024.</w:t>
      </w:r>
    </w:p>
    <w:p>
      <w:pPr>
        <w:spacing w:after="0" w:line="129"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/s/ DELOITTE &amp; TOUCHE LLP</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Dallas, Texas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225"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firstLine="517"/>
        <w:spacing w:after="0" w:line="282" w:lineRule="auto"/>
        <w:tabs>
          <w:tab w:leader="none" w:pos="10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firstLine="517"/>
        <w:spacing w:after="0" w:line="282" w:lineRule="auto"/>
        <w:tabs>
          <w:tab w:leader="none" w:pos="10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32.2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1322070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endash "/>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lvl w:ilvl="1">
      <w:lvlJc w:val="left"/>
      <w:lvlText w:val="%2"/>
      <w:numFmt w:val="decimal"/>
      <w:start w:val="104"/>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upperLetter"/>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20"/>
    </w:lvl>
  </w:abstractNum>
  <w:abstractNum w:abstractNumId="56">
    <w:nsid w:val="15B5AF5C"/>
    <w:multiLevelType w:val="hybridMultilevel"/>
    <w:lvl w:ilvl="0">
      <w:lvlJc w:val="left"/>
      <w:lvlText w:val="%1."/>
      <w:numFmt w:val="upperLetter"/>
      <w:start w:val="3"/>
    </w:lvl>
    <w:lvl w:ilvl="1">
      <w:lvlJc w:val="left"/>
      <w:lvlText w:val="%2."/>
      <w:numFmt w:val="decimal"/>
      <w:start w:val="1"/>
    </w:lvl>
  </w:abstractNum>
  <w:abstractNum w:abstractNumId="57">
    <w:nsid w:val="741226BB"/>
    <w:multiLevelType w:val="hybridMultilevel"/>
    <w:lvl w:ilvl="0">
      <w:lvlJc w:val="left"/>
      <w:lvlText w:val="%1."/>
      <w:numFmt w:val="upperLetter"/>
      <w:start w:val="5"/>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337" Type="http://schemas.openxmlformats.org/officeDocument/2006/relationships/hyperlink" Target="https://www.sec.gov/Archives/edgar/data/1806310/000119312520257858/d78879dex31.htm" TargetMode="External"/><Relationship Id="rId338" Type="http://schemas.openxmlformats.org/officeDocument/2006/relationships/hyperlink" Target="https://www.sec.gov/Archives/edgar/data/1806310/000119312520247565/d938924dex34.htm" TargetMode="External"/><Relationship Id="rId339" Type="http://schemas.openxmlformats.org/officeDocument/2006/relationships/hyperlink" Target="https://www.sec.gov/Archives/edgar/data/1806310/000119312523277914/d941656dex31.htm" TargetMode="External"/><Relationship Id="rId340" Type="http://schemas.openxmlformats.org/officeDocument/2006/relationships/hyperlink" Target="https://www.sec.gov/Archives/edgar/data/1806310/000119312520238197/d938924dex41.htm" TargetMode="External"/><Relationship Id="rId341" Type="http://schemas.openxmlformats.org/officeDocument/2006/relationships/hyperlink" Target="https://www.sec.gov/Archives/edgar/data/1806310/000095017024095082/tsha-ex4_1.htm" TargetMode="External"/><Relationship Id="rId342" Type="http://schemas.openxmlformats.org/officeDocument/2006/relationships/hyperlink" Target="https://www.sec.gov/Archives/edgar/data/1806310/000119312523211456/d497848dex41.htm" TargetMode="External"/><Relationship Id="rId343" Type="http://schemas.openxmlformats.org/officeDocument/2006/relationships/hyperlink" Target="https://www.sec.gov/Archives/edgar/data/1806310/000119312523092350/d407595dex45.htm" TargetMode="External"/><Relationship Id="rId344" Type="http://schemas.openxmlformats.org/officeDocument/2006/relationships/hyperlink" Target="https://www.sec.gov/Archives/edgar/data/1806310/000119312524169191/d857341dex41.htm" TargetMode="External"/><Relationship Id="rId345" Type="http://schemas.openxmlformats.org/officeDocument/2006/relationships/hyperlink" Target="https://www.sec.gov/Archives/edgar/data/1806310/000119312520238197/d938924dex101.htm" TargetMode="External"/><Relationship Id="rId346" Type="http://schemas.openxmlformats.org/officeDocument/2006/relationships/hyperlink" Target="https://www.sec.gov/Archives/edgar/data/1806310/000119312520238197/d938924dex102.htm" TargetMode="External"/><Relationship Id="rId347" Type="http://schemas.openxmlformats.org/officeDocument/2006/relationships/hyperlink" Target="https://www.sec.gov/Archives/edgar/data/1806310/000119312520238197/d938924dex103.htm" TargetMode="External"/><Relationship Id="rId348" Type="http://schemas.openxmlformats.org/officeDocument/2006/relationships/hyperlink" Target="https://www.sec.gov/Archives/edgar/data/1806310/000119312520238197/d938924dex104.htm" TargetMode="External"/><Relationship Id="rId351" Type="http://schemas.openxmlformats.org/officeDocument/2006/relationships/hyperlink" Target="https://www.sec.gov/Archives/edgar/data/0001806310/000156459021010433/tsha-ex105_792.htm" TargetMode="External"/><Relationship Id="rId355" Type="http://schemas.openxmlformats.org/officeDocument/2006/relationships/hyperlink" Target="https://www.sec.gov/Archives/edgar/data/1806310/000119312520247565/d938924dex105.htm" TargetMode="External"/><Relationship Id="rId359" Type="http://schemas.openxmlformats.org/officeDocument/2006/relationships/hyperlink" Target="https://www.sec.gov/Archives/edgar/data/1806310/000119312520247565/d938924dex106.htm" TargetMode="External"/><Relationship Id="rId363" Type="http://schemas.openxmlformats.org/officeDocument/2006/relationships/hyperlink" Target="https://www.sec.gov/Archives/edgar/data/1806310/000119312520247565/d938924dex107.htm" TargetMode="External"/><Relationship Id="rId366" Type="http://schemas.openxmlformats.org/officeDocument/2006/relationships/hyperlink" Target="https://www.sec.gov/Archives/edgar/data/1806310/000119312520247565/d938924dex108.htm" TargetMode="External"/><Relationship Id="rId369" Type="http://schemas.openxmlformats.org/officeDocument/2006/relationships/hyperlink" Target="https://www.sec.gov/Archives/edgar/data/1806310/000095017023042089/tsha-ex10_1.htm" TargetMode="External"/><Relationship Id="rId372" Type="http://schemas.openxmlformats.org/officeDocument/2006/relationships/hyperlink" Target="https://www.sec.gov/Archives/edgar/data/1806310/000119312520247565/d938924dex1011.htm" TargetMode="External"/><Relationship Id="rId375" Type="http://schemas.openxmlformats.org/officeDocument/2006/relationships/hyperlink" Target="https://www.sec.gov/Archives/edgar/data/0001806310/000156459021010433/tsha-ex1013_851.htm" TargetMode="External"/><Relationship Id="rId379" Type="http://schemas.openxmlformats.org/officeDocument/2006/relationships/hyperlink" Target="https://www.sec.gov/Archives/edgar/data/0001806310/000156459021010433/tsha-ex1015_1051.htm" TargetMode="External"/><Relationship Id="rId383" Type="http://schemas.openxmlformats.org/officeDocument/2006/relationships/hyperlink" Target="https://www.sec.gov/Archives/edgar/data/0001806310/000156459021044462/tsha-ex101_249.htm" TargetMode="External"/><Relationship Id="rId387" Type="http://schemas.openxmlformats.org/officeDocument/2006/relationships/hyperlink" Target="https://www.sec.gov/Archives/edgar/data/1806310/000156459022012782/tsha-ex1018_1303.htm" TargetMode="External"/><Relationship Id="rId391" Type="http://schemas.openxmlformats.org/officeDocument/2006/relationships/hyperlink" Target="https://www.sec.gov/Archives/edgar/data/1806310/000119312521292221/d250700dex12.htm" TargetMode="External"/><Relationship Id="rId395" Type="http://schemas.openxmlformats.org/officeDocument/2006/relationships/hyperlink" Target="https://www.sec.gov/Archives/edgar/data/1806310/000156459022012782/tsha-ex1019_1587.htm" TargetMode="External"/><Relationship Id="rId399" Type="http://schemas.openxmlformats.org/officeDocument/2006/relationships/hyperlink" Target="https://www.sec.gov/Archives/edgar/data/1806310/000119312522273298/d395338dex101.htm" TargetMode="External"/><Relationship Id="rId402" Type="http://schemas.openxmlformats.org/officeDocument/2006/relationships/hyperlink" Target="https://www.sec.gov/Archives/edgar/data/1806310/000119312522273298/d395338dex102.htm" TargetMode="External"/><Relationship Id="rId406" Type="http://schemas.openxmlformats.org/officeDocument/2006/relationships/hyperlink" Target="https://www.sec.gov/Archives/edgar/data/1806310/000119312522273298/d395338dex103.htm" TargetMode="External"/><Relationship Id="rId410" Type="http://schemas.openxmlformats.org/officeDocument/2006/relationships/hyperlink" Target="https://www.sec.gov/Archives/edgar/data/1806310/000095017023010343/tsha-ex10_23.htm" TargetMode="External"/><Relationship Id="rId414" Type="http://schemas.openxmlformats.org/officeDocument/2006/relationships/hyperlink" Target="https://www.sec.gov/Archives/edgar/data/1806310/000095017023010343/tsha-ex10_24.htm" TargetMode="External"/><Relationship Id="rId418" Type="http://schemas.openxmlformats.org/officeDocument/2006/relationships/hyperlink" Target="https://www.sec.gov/Archives/edgar/data/1806310/000095017023063734/tsha-ex10_2.htm" TargetMode="External"/><Relationship Id="rId422" Type="http://schemas.openxmlformats.org/officeDocument/2006/relationships/hyperlink" Target="https://www.sec.gov/Archives/edgar/data/1806310/000119312523299942/d574908dex101.htm" TargetMode="External"/><Relationship Id="rId426" Type="http://schemas.openxmlformats.org/officeDocument/2006/relationships/hyperlink" Target="https://www.sec.gov/Archives/edgar/data/1806310/000119312523299942/d574908dex102.htm" TargetMode="External"/><Relationship Id="rId427" Type="http://schemas.openxmlformats.org/officeDocument/2006/relationships/hyperlink" Target="https://www.sec.gov/Archives/edgar/data/1806310/000119312523299942/d574908dex103.htm" TargetMode="External"/><Relationship Id="rId428" Type="http://schemas.openxmlformats.org/officeDocument/2006/relationships/hyperlink" Target="https://www.sec.gov/Archives/edgar/data/1806310/000119312525002868/d879414dex996.htm" TargetMode="External"/><Relationship Id="rId429" Type="http://schemas.openxmlformats.org/officeDocument/2006/relationships/hyperlink" Target="https://www.sec.gov/Archives/edgar/data/1806310/000095017024033484/tsh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2025-02-26T08:02:07Z</dcterms:created>
  <dcterms:modified xsi:type="dcterms:W3CDTF">2025-02-26T08:02:07Z</dcterms:modified>
</cp:coreProperties>
</file>