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Taysha Gene Therapies,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60" w:type="dxa"/>
            <w:vAlign w:val="bottom"/>
          </w:tcPr>
          <w:p>
            <w:pPr>
              <w:jc w:val="center"/>
              <w:ind w:right="19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001-39536</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84-3199512</w:t>
            </w:r>
          </w:p>
        </w:tc>
      </w:tr>
      <w:tr>
        <w:trPr>
          <w:trHeight w:val="149"/>
        </w:trPr>
        <w:tc>
          <w:tcPr>
            <w:tcW w:w="3660" w:type="dxa"/>
            <w:vAlign w:val="bottom"/>
          </w:tcPr>
          <w:p>
            <w:pPr>
              <w:jc w:val="center"/>
              <w:ind w:right="19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60" w:type="dxa"/>
            <w:vAlign w:val="bottom"/>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6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3000 Pegasus Park Drive, Suite 1430</w:t>
            </w:r>
          </w:p>
        </w:tc>
        <w:tc>
          <w:tcPr>
            <w:tcW w:w="23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6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23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75247</w:t>
            </w:r>
          </w:p>
        </w:tc>
      </w:tr>
      <w:tr>
        <w:trPr>
          <w:trHeight w:val="190"/>
        </w:trPr>
        <w:tc>
          <w:tcPr>
            <w:tcW w:w="36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(214) 612-0000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TSHA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June 24, 2026, Taysha Gene Therapies,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an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with Jefferies LLC and Goldman Sachs &amp; Co. LLC, as representatives of the several underwriters set forth therein (collectively,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to issue and sell 32,500,001 shares of common stock of the Company, par value $0.00001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in lieu of common stock to certain investors, pre-funded warrants to purchase 833,333 shares of its Common Stock, in an underwritten public offering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pursuant to an effective shelf registration statement on Form S-3ASR (File No. 333-291244)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and a related prospectus and prospectus supplement, in each case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The offering price to the public is $6.00 per share of Common Stock and $5.999 per pre-funded warrant, which is the price to the public of each share of Common Stock sold in the Offering, minus the $0.001 exercise price per pre-funded warrant. The Underwriters have agreed to purchase the shares and the pre-funded warrants from the Company pursuant to the Underwriting Agreement at a price of $5.64 per share and $5.639 per pre-funded warrant, respectively. In addition, the Company granted the Underwriters an option to purchase, for a period of 30 days, up to an additional 5,000,000 shares of Common Stock. The Company estimates that the net proceeds from the Offering will be approximately $187.4 million, or approximately $215.6 million if the Underwriters exercise in full their option to purchase additional shares of Common Stock, in each case after deducting underwriting discounts and commissions and estimated offering expenses. The closing of the Offering is expected to occur on June 26, 2026, subject to customary closing conditions.</w:t>
      </w:r>
    </w:p>
    <w:p>
      <w:pPr>
        <w:spacing w:after="0" w:line="19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Each pre-funded warrant will have an initial exercise price per share of $0.001, subject to certain adjustments. The pre-funded warrants may be exercised at any time until exercised in full, except that a holder will not be entitled to exercise any portion of any pre-funded warrant, which, upon giving effect to such exercise would cause (i) the aggregate number of shares of Common Stock beneficially owned by the holder (together with its affiliates) to exceed 4.99% or 9.99%, as the case may be, of the number of shares of Common Stock outstanding immediately prior to or after giving effect to the exercise, or (ii) the combined voting power of the Company’s securities beneficially owned by the holder (together with its affiliates) to exceed 4.99% or 9.99%, as the case may be, of the combined voting power of all of the Company’s securities then outstanding immediately prior to or after giving effect to the exercise, as such percentage ownership is determined in accordance with the terms of the pre-funded warrants, subject to such holder’s rights under the pre-funded warrant to increase or decrease such percentage to another percentage not in excess of 19.99% upon 61 days’ prior notice from such holder to the Company.</w:t>
      </w:r>
    </w:p>
    <w:p>
      <w:pPr>
        <w:spacing w:after="0" w:line="18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covenants and agreements by the Company,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Copies of the Underwriting Agreement and form of pre-funded warrant are filed as Exhibit 1.1 and 4.1 to this Current Report on Form 8-K, respectively, and are incorporated herein by reference. The foregoing descriptions of the Underwriting Agreement and the form of pre-funded warrant are qualified in their entirety by reference to such exhibits. A copy of the opinion of Cooley LLP as to the legality of the issuance and sale of the securities in the Offering and related consent is filed as Exhibit 5.1 to this Current Report on Form 8-K.</w:t>
      </w:r>
    </w:p>
    <w:p>
      <w:pPr>
        <w:sectPr>
          <w:pgSz w:w="11900" w:h="16838" w:orient="portrait"/>
          <w:cols w:equalWidth="0" w:num="1">
            <w:col w:w="10980"/>
          </w:cols>
          <w:pgMar w:left="440" w:top="293" w:right="47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Launch and Pricing of the Offering</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June 24, 2026, the Company issued a press release announcing that it had commenced the Offering. A copy of the press release is attached hereto as Exhibit 99.1 to this Current Report on Form 8-K and is incorporated herein by reference.</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June 24, 2026, the Company issued a press release announcing that it had priced the Offering. A copy of the press release is attached hereto as Exhibit 99.2 to this Current Report on Form 8-K and is incorporated herein by reference.</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believes that the net proceeds from the Offering, together with its existing cash and cash equivalents, will be sufficient to enable the Company to fund its operating expenses and capital expenditure requirements into the second half of 2028.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Words such as “anticipates,” “believes,” “expects,” “intends,” “projects,” “plans,” and “future” or similar expressions are intended to identify forward-looking statements. Forward-looking statements include statements concerning the Offering, including the uncertainties related to market conditions, the completion of the Offering on the anticipated terms, if at all, the net proceeds of the Offering and the Company’s expected cash runway. Forward-looking statements are based on management’s current expectations and are subject to various risks and uncertainties that could cause actual results to differ materially and adversely from those expressed or implied by such forward-looking statements. Accordingly, these forward-looking statements do not constitute guarantees of future performance, and you are cautioned not to place undue reliance on these forward-looking statements. Risks regarding the Company’s business are described in detail in its SEC filings, including in the Company’s Annual Report on Form 10-K for the year ended December 31, 2025 and Quarterly Report on Form 10-Q for the quarter ended March 31, 2026, which are available on the SEC’s website at www.sec.gov. Additional information will be made available in other filings that the Company makes from time to time with the SEC. These forward-looking statements speak only as of the date hereof, and the Company disclaims any obligation to update these statements except as may be required by law.</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0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367"/>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204"/>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34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99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Underwriting Agreement by and between Taysha Gene Therapies, Inc. and Jefferies LLC and Goldman Sachs &amp; Co. LLC, dated June 24,</w:t>
            </w:r>
          </w:p>
        </w:tc>
      </w:tr>
      <w:tr>
        <w:trPr>
          <w:trHeight w:val="196"/>
        </w:trPr>
        <w:tc>
          <w:tcPr>
            <w:tcW w:w="1040" w:type="dxa"/>
            <w:vAlign w:val="bottom"/>
          </w:tcPr>
          <w:p>
            <w:pPr>
              <w:spacing w:after="0"/>
              <w:rPr>
                <w:sz w:val="17"/>
                <w:szCs w:val="17"/>
                <w:color w:val="auto"/>
              </w:rPr>
            </w:pPr>
          </w:p>
        </w:tc>
        <w:tc>
          <w:tcPr>
            <w:tcW w:w="17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2026.</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34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9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Form of Pre-Funded Warrant.</w:t>
            </w: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7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Opinion of Cooley LLP.</w:t>
            </w:r>
          </w:p>
        </w:tc>
        <w:tc>
          <w:tcPr>
            <w:tcW w:w="380" w:type="dxa"/>
            <w:vAlign w:val="bottom"/>
            <w:tcBorders>
              <w:top w:val="single" w:sz="8" w:color="0000EE"/>
            </w:tcBorders>
          </w:tcPr>
          <w:p>
            <w:pPr>
              <w:spacing w:after="0"/>
              <w:rPr>
                <w:sz w:val="24"/>
                <w:szCs w:val="24"/>
                <w:color w:val="auto"/>
              </w:rPr>
            </w:pPr>
          </w:p>
        </w:tc>
        <w:tc>
          <w:tcPr>
            <w:tcW w:w="7780" w:type="dxa"/>
            <w:vAlign w:val="bottom"/>
            <w:gridSpan w:val="3"/>
          </w:tcPr>
          <w:p>
            <w:pPr>
              <w:spacing w:after="0"/>
              <w:rPr>
                <w:sz w:val="24"/>
                <w:szCs w:val="24"/>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9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Consent of Cooley LLP (included in Exhibit 5.1).</w:t>
            </w: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5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Press Release, dated June 24, 2026.</w:t>
            </w:r>
          </w:p>
        </w:tc>
        <w:tc>
          <w:tcPr>
            <w:tcW w:w="1000" w:type="dxa"/>
            <w:vAlign w:val="bottom"/>
            <w:tcBorders>
              <w:top w:val="single" w:sz="8" w:color="0000EE"/>
            </w:tcBorders>
          </w:tcPr>
          <w:p>
            <w:pPr>
              <w:spacing w:after="0"/>
              <w:rPr>
                <w:sz w:val="24"/>
                <w:szCs w:val="24"/>
                <w:color w:val="auto"/>
              </w:rPr>
            </w:pPr>
          </w:p>
        </w:tc>
        <w:tc>
          <w:tcPr>
            <w:tcW w:w="6340" w:type="dxa"/>
            <w:vAlign w:val="bottom"/>
          </w:tcPr>
          <w:p>
            <w:pPr>
              <w:spacing w:after="0"/>
              <w:rPr>
                <w:sz w:val="24"/>
                <w:szCs w:val="24"/>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25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Press Release, dated June 24, 2026.</w:t>
            </w:r>
          </w:p>
        </w:tc>
        <w:tc>
          <w:tcPr>
            <w:tcW w:w="7340" w:type="dxa"/>
            <w:vAlign w:val="bottom"/>
            <w:gridSpan w:val="2"/>
          </w:tcPr>
          <w:p>
            <w:pPr>
              <w:spacing w:after="0"/>
              <w:rPr>
                <w:sz w:val="24"/>
                <w:szCs w:val="24"/>
                <w:color w:val="auto"/>
              </w:rPr>
            </w:pPr>
          </w:p>
        </w:tc>
      </w:tr>
      <w:tr>
        <w:trPr>
          <w:trHeight w:val="3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bl>
    <w:p>
      <w:pPr>
        <w:sectPr>
          <w:pgSz w:w="11900" w:h="16838" w:orient="portrait"/>
          <w:cols w:equalWidth="0" w:num="1">
            <w:col w:w="10980"/>
          </w:cols>
          <w:pgMar w:left="440" w:top="293" w:right="4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tc>
      </w:tr>
      <w:tr>
        <w:trPr>
          <w:trHeight w:val="432"/>
        </w:trPr>
        <w:tc>
          <w:tcPr>
            <w:tcW w:w="606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Kamran Alam</w:t>
            </w:r>
          </w:p>
        </w:tc>
      </w:tr>
      <w:tr>
        <w:trPr>
          <w:trHeight w:val="205"/>
        </w:trPr>
        <w:tc>
          <w:tcPr>
            <w:tcW w:w="60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 June 25, 2026</w:t>
            </w:r>
          </w:p>
        </w:tc>
        <w:tc>
          <w:tcPr>
            <w:tcW w:w="4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Kamran Alam</w:t>
            </w:r>
          </w:p>
        </w:tc>
      </w:tr>
      <w:tr>
        <w:trPr>
          <w:trHeight w:val="234"/>
        </w:trPr>
        <w:tc>
          <w:tcPr>
            <w:tcW w:w="60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Underwriting Agreement</w:t>
      </w:r>
    </w:p>
    <w:p>
      <w:pPr>
        <w:spacing w:after="0" w:line="229" w:lineRule="exact"/>
        <w:rPr>
          <w:sz w:val="20"/>
          <w:szCs w:val="20"/>
          <w:color w:val="auto"/>
        </w:rPr>
      </w:pPr>
    </w:p>
    <w:p>
      <w:pPr>
        <w:ind w:left="10004"/>
        <w:spacing w:after="0"/>
        <w:rPr>
          <w:sz w:val="20"/>
          <w:szCs w:val="20"/>
          <w:color w:val="auto"/>
        </w:rPr>
      </w:pPr>
      <w:r>
        <w:rPr>
          <w:rFonts w:ascii="Times New Roman" w:cs="Times New Roman" w:eastAsia="Times New Roman" w:hAnsi="Times New Roman"/>
          <w:sz w:val="18"/>
          <w:szCs w:val="18"/>
          <w:color w:val="auto"/>
        </w:rPr>
        <w:t>June 24, 2026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ind w:left="164" w:hanging="164"/>
        <w:spacing w:after="0"/>
        <w:tabs>
          <w:tab w:leader="none" w:pos="16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representatives of the several Underwriters</w:t>
      </w:r>
    </w:p>
    <w:p>
      <w:pPr>
        <w:spacing w:after="0" w:line="32" w:lineRule="exact"/>
        <w:rPr>
          <w:rFonts w:ascii="Times New Roman" w:cs="Times New Roman" w:eastAsia="Times New Roman" w:hAnsi="Times New Roman"/>
          <w:sz w:val="16"/>
          <w:szCs w:val="16"/>
          <w:color w:val="auto"/>
        </w:rPr>
      </w:pPr>
    </w:p>
    <w:p>
      <w:pPr>
        <w:ind w:left="184" w:hanging="184"/>
        <w:spacing w:after="0"/>
        <w:tabs>
          <w:tab w:leader="none" w:pos="1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named in Schedule I hereto</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Taysha Gene Therapies, Inc., a Delaware corporation (the “Company”), proposes, subject to the terms and conditions stated in this agreement (this “Agreement”), to issue and sell to the Underwriters named in Schedule I hereto (the “Underwriters”), for whom you are acting as the representatives (the “Representatives”), (i) an aggregate of 32,500,001 shares (the “Firm Shares”) and, at the election of the Underwriters, up to 5,000,000 additional shares (the “Optional Shares”) of common stock, par value $0.00001 per share (“Stock”), of the Company (the Firm Shares and the Optional Shares that the Underwriters elect to purchase pursuant to Section 2 hereof being collectively called the “Shares”), and (ii) warrants of the Company to purchase 833,333 shares of Stock at an exercise price equal to $0.001 per share (the “Pre-Funded Warrants” and, together with the Firm Shares, the “Firm Securities”). As used herein, “Warrant Shares” means the shares of Stock issuable upon exercise of the Pre-Funded Warrants. The Shares and the Pre-Funded Warrants are referred to as the “Offered Securities.”</w:t>
      </w:r>
    </w:p>
    <w:p>
      <w:pPr>
        <w:spacing w:after="0" w:line="8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 The Company represents and warrants to, and agrees with, each of the Underwriters that:</w:t>
      </w:r>
    </w:p>
    <w:p>
      <w:pPr>
        <w:spacing w:after="0" w:line="117" w:lineRule="exact"/>
        <w:rPr>
          <w:sz w:val="20"/>
          <w:szCs w:val="20"/>
          <w:color w:val="auto"/>
        </w:rPr>
      </w:pPr>
    </w:p>
    <w:p>
      <w:pPr>
        <w:jc w:val="both"/>
        <w:ind w:left="4" w:right="120" w:firstLine="436"/>
        <w:spacing w:after="0" w:line="266" w:lineRule="auto"/>
        <w:tabs>
          <w:tab w:leader="none" w:pos="68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“automatic shelf registration statement” as defined under Rule 405 under the Securities Act of 1933, as amended (the “Act”) on Form S-3 (File No. 333-291244) in respect of the Offered Securities has been filed with the Securities and Exchange Commission (the “Commission”) not earlier than three years prior to the date hereof; such registration statement,</w:t>
      </w:r>
    </w:p>
    <w:p>
      <w:pPr>
        <w:sectPr>
          <w:pgSz w:w="11900" w:h="16838" w:orient="portrait"/>
          <w:cols w:equalWidth="0" w:num="1">
            <w:col w:w="11024"/>
          </w:cols>
          <w:pgMar w:left="436" w:top="117" w:right="439" w:bottom="1440" w:gutter="0" w:footer="0" w:header="0"/>
        </w:sectPr>
      </w:pPr>
    </w:p>
    <w:bookmarkStart w:id="5" w:name="page6"/>
    <w:bookmarkEnd w:id="5"/>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any post-effective amendment thereto, became effective on filing; and no stop order suspending effectiveness of such registration statement or any part thereof has been issued and no proceeding for that purpose has been initiated or, to the Company’s knowledge, threatened by the Commission, and no notice of objection of the Commission to the use of such registration statement or any post-effective amendment thereto pursuant to Rule 401(g)(2) under the Act has been received by the Company (the base prospectus filed as part of such registration statement, in the form in which it has most recently been filed with the Commission on or prior to the date of this Agreement relating to the Offered Securities, is hereinafter called the “Basic Prospectus”); any preliminary prospectus (including any preliminary prospectus supplement) relating to the Offered Securities filed with the Commission pursuant to Rule 424(b) under the Act is hereinafter called a “Preliminary Prospectus”; the various parts of such registration statement, including all exhibits thereto but excluding Form T-1 and including any prospectus supplement relating to the Offered Securities that is filed with the Commission and deemed by virtue of Rule 430B to be part of such registration statement, each as amended at the time such part of the registration statement became effective, are hereinafter collectively called the “Registration Statement”; the Basic Prospectus, as amended and supplemented immediately prior to the Applicable Time (as defined in Section 1(c) hereof), is hereinafter called the “Pricing Prospectus”; the form of the final prospectus relating to the Offered Securities filed with the Commission pursuant to Rule 424(b) under the Act in accordance with Section 5(a) hereof is hereinafter called the “Prospectus”; any reference herein to the Basic Prospectus, the Pricing Prospectus, any Preliminary Prospectus or the Prospectus shall be deemed to refer to and include the documents incorporated by reference therein pursuant to Item 12 of Form S-3 under the Act, as of the date of such prospectus; any reference to any amendment or supplement to the Basic Prospectus, any Preliminary Prospectus or the Prospectus shall be deemed to refer to and include any post-effective amendment to the Registration Statement, any prospectus supplement relating to the Offered Securities filed with the Commission pursuant to Rule 424(b) under the Act and any documents filed under the Securities Exchange Act of 1934, as amended (the “Exchange Act”), and incorporated therein, in each case after the date of the Basic Prospectus, such Preliminary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oral or written communication with potential investors undertaken in reliance on Rule 163B under the Act is hereinafter called a “Testing-the-Waters Communication”; and any Testing-the-Waters Communication that is a written communication within the meaning of Rule 405 under the Act is hereinafter called a “Written Testing-the-Waters Communication”; and any “issuer free writing prospectus” as defined in Rule 433 under the Act relating to the Offered Securities is hereinafter called an “Issuer Free Writing Prospectus”;</w:t>
      </w:r>
    </w:p>
    <w:p>
      <w:pPr>
        <w:spacing w:after="0" w:line="97" w:lineRule="exact"/>
        <w:rPr>
          <w:sz w:val="20"/>
          <w:szCs w:val="20"/>
          <w:color w:val="auto"/>
        </w:rPr>
      </w:pPr>
    </w:p>
    <w:p>
      <w:pPr>
        <w:ind w:right="20" w:firstLine="436"/>
        <w:spacing w:after="0" w:line="256"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No order preventing or suspending the use of any Preliminary Prospectus or any Issuer Free Writing Prospectus has been issued by the Commission, and (ii) any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representation and warranty shall not apply to any statements or omissions made in reliance upon and in conformity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Information (as defined in Section 9(b) of this Agreement);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6" w:name="page7"/>
    <w:bookmarkEnd w:id="6"/>
    <w:p>
      <w:pPr>
        <w:ind w:left="4" w:firstLine="436"/>
        <w:spacing w:after="0" w:line="253" w:lineRule="auto"/>
        <w:tabs>
          <w:tab w:leader="none" w:pos="68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purposes of this Agreement, the “Applicable Time” is 6:30 p.m. (Eastern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(as supplemented by any post-effective amendment thereto) will not, include any untrue statement of a material fact or omit to state any material fact necessary in order to make the statements therein, in the light of the circumstances under which they were made, not misleading; and each Issuer Free Writing Prospectus and each Testing-the-Waters Communication does not conflict with the information contained in the Registration Statement, the Pricing Prospectus or the Prospectus, and each Issuer Free Writing Prospectus and each Testing-the-Waters Communication, as supplemented by and taken together with the Pricing Disclosure Package, as of the Applicable Time, did not, and as of each Time of Delivery (as supplemented by any post-effective amendment thereto)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w:t>
      </w:r>
    </w:p>
    <w:p>
      <w:pPr>
        <w:spacing w:after="0" w:line="83" w:lineRule="exact"/>
        <w:rPr>
          <w:rFonts w:ascii="Times New Roman" w:cs="Times New Roman" w:eastAsia="Times New Roman" w:hAnsi="Times New Roman"/>
          <w:sz w:val="18"/>
          <w:szCs w:val="18"/>
          <w:color w:val="auto"/>
        </w:rPr>
      </w:pPr>
    </w:p>
    <w:p>
      <w:pPr>
        <w:ind w:left="4" w:right="80" w:firstLine="436"/>
        <w:spacing w:after="0" w:line="253" w:lineRule="auto"/>
        <w:tabs>
          <w:tab w:leader="none" w:pos="69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incorporated by reference in the Pricing Prospectus and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and any further documents so filed and incorporated by reference in the Pricing Prospectus and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and no such documents were filed with the Commission since the Commission’s close of business on the business day immediately prior to the date of this Agreement and prior to the execution of this Agreement, except as set forth on Schedule II(b) hereto;</w:t>
      </w:r>
    </w:p>
    <w:p>
      <w:pPr>
        <w:spacing w:after="0" w:line="86"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68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at the time it was declared effective, conformed, and the Prospectus and any further amendments or supplements to the Registration Statement and the Prospectus, as of the date of the Prospectus or such amendment or supplement,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80"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since the date of the latest audited financial statements included in the Pricing Prospectus and the Prospectus,</w:t>
      </w:r>
    </w:p>
    <w:p>
      <w:pPr>
        <w:spacing w:after="0" w:line="27" w:lineRule="exact"/>
        <w:rPr>
          <w:rFonts w:ascii="Times New Roman" w:cs="Times New Roman" w:eastAsia="Times New Roman" w:hAnsi="Times New Roman"/>
          <w:sz w:val="18"/>
          <w:szCs w:val="18"/>
          <w:color w:val="auto"/>
        </w:rPr>
      </w:pPr>
    </w:p>
    <w:p>
      <w:pPr>
        <w:ind w:left="4" w:right="60" w:hanging="4"/>
        <w:spacing w:after="0" w:line="253" w:lineRule="auto"/>
        <w:tabs>
          <w:tab w:leader="none" w:pos="2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any material loss or material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or incurred any liability or obligation, direct or contingent, that is material to the Company, in each case otherwise than as set forth or contemplated in the Pricing Prospectus and the Prospectus; and, since the respective dates as of which information is given in the Registration Statement, the Pricing Prospectus and the Prospectus, there has not been (x)</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7" w:name="page8"/>
    <w:bookmarkEnd w:id="7"/>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change in the capital stock (other than as a result of (i) the exercise, vesting, settlement or forfeiture, if any, of stock options or restricted stock units (including any “net” or “cashless” exercises or settlements), or the award, if any, of stock options, restricted stock units, restricted stock or any other equity awards in the ordinary course of business pursuant to the Company’s equity plans that are described in the Pricing Prospectus and the Prospectus or (ii) the issuance, if any, of stock upon conversion, vesting, settlement, exercise or exchange of Company securities as described in the Pricing Prospectus and the Prospectus) or long-term debt of the Company or (y) 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financial position, stockholders’ equity, prospects or results of operations of the Company, except as set forth or contemplated in the Pricing Prospectus and the Prospectus, or (ii) the ability of the Company to perform its obligations under this Agreement or the Pre-Funded Warrants, including the issuance and sale of the Offered Securities, or to consummate the transactions contemplated in the Pricing Prospectus and the Prospectus;</w:t>
      </w:r>
    </w:p>
    <w:p>
      <w:pPr>
        <w:spacing w:after="0" w:line="86" w:lineRule="exact"/>
        <w:rPr>
          <w:sz w:val="20"/>
          <w:szCs w:val="20"/>
          <w:color w:val="auto"/>
        </w:rPr>
      </w:pPr>
    </w:p>
    <w:p>
      <w:pPr>
        <w:ind w:right="80" w:firstLine="436"/>
        <w:spacing w:after="0" w:line="256"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good and marketable title in fee simple to all real property, if any, and good and marketable title to all personal property owned by it, in each case free and clear of all liens, encumbrances and defects except such as are described in the Pricing Prospectus and the Prospectus or such as do not materially affect the value of such property and do not materially interfere with the use made and proposed to be made of such property by the Company; and any real property and buildings held under lease by the Company are held by it under valid, subsisting and enforceable leases with such exceptions as are not material and do not materially interfere with the use made and proposed to be made of such property and buildings by the Company;</w:t>
      </w:r>
    </w:p>
    <w:p>
      <w:pPr>
        <w:spacing w:after="0" w:line="79"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(i) duly organized and is validly existing and in good standing under the laws of its jurisdiction of organization, with power and authority (corporate and other) to own and/or lease its properties and conduct its business as described in the Pricing Prospectus and the Prospectus, and (ii) duly qualified as a foreign corporation for the transaction of business and is in good standing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the Company has no “significant subsidiaries” (as defined in Rule 1-02(w) of Regulation S-X);</w:t>
      </w:r>
    </w:p>
    <w:p>
      <w:pPr>
        <w:spacing w:after="0" w:line="79" w:lineRule="exact"/>
        <w:rPr>
          <w:rFonts w:ascii="Times New Roman" w:cs="Times New Roman" w:eastAsia="Times New Roman" w:hAnsi="Times New Roman"/>
          <w:sz w:val="18"/>
          <w:szCs w:val="18"/>
          <w:color w:val="auto"/>
        </w:rPr>
      </w:pPr>
    </w:p>
    <w:p>
      <w:pPr>
        <w:ind w:right="100" w:firstLine="436"/>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authorized capitalization as set forth in the Pricing Prospectus and the Prospectus and all of the issued shares of capital stock of the Company have been duly and validly authorized and issued and are fully paid and non-assessable, have been issued in compliance with all federal and state securities laws and conform in all material respects to the description of the Stock contained in the Pricing Disclosure Package and the Prospectus. The descriptions of the Company’s stock option, stock bonus and other stock plans or arrangements, and the options or other rights granted thereunder, set forth in the Registration Statement, the Pricing Prospectus and the Prospectus accurately and fairly presents the information required to be shown with respect to such plans, arrangements, options and rights;</w:t>
      </w:r>
    </w:p>
    <w:p>
      <w:pPr>
        <w:spacing w:after="0" w:line="79" w:lineRule="exact"/>
        <w:rPr>
          <w:rFonts w:ascii="Times New Roman" w:cs="Times New Roman" w:eastAsia="Times New Roman" w:hAnsi="Times New Roman"/>
          <w:sz w:val="18"/>
          <w:szCs w:val="18"/>
          <w:color w:val="auto"/>
        </w:rPr>
      </w:pPr>
    </w:p>
    <w:p>
      <w:pPr>
        <w:ind w:right="40" w:firstLine="436"/>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issued and sold by the Company to the Underwriters hereunder have been duly and validly authorized and, when issued and delivered against payment therefor as provided herein, will be duly and validly issued and fully paid and non-assessable and will conform in all material respects to the description of the Stock contained in the Pricing Disclosure Package and the Prospectus, and the issuance of the Shares is not subject to any preemptive or similar rights, except as have been validly waived or complied with in connection with the offering of the Shares;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8" w:name="page9"/>
    <w:bookmarkEnd w:id="8"/>
    <w:p>
      <w:pPr>
        <w:ind w:firstLine="436"/>
        <w:spacing w:after="0" w:line="252"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 and sale of the Offered Securities (including the use of proceeds from the sale of the Offered Securities as described in the Registration Statement, the Pricing Prospectus and the Prospectus under the caption “Use of Proceeds”) and the compliance by the Company with this Agreement and the Pre-Funded Warrants and the consummation of the transactions contemplated by this Agreement, the Pre-Funded Warrants and the Pricing Prospectus and the Prospectus will not conflict with or result in a breach or violation of any of the terms or provisions of, or constitute a default under, (i) any indenture, mortgage, deed of trust, loan agreement, lease or other agreement or instrument to which the Company is a party or by which the Company is bound or to which any of the property or assets of the Company is subject, (ii) the certificate of incorporation or by-laws (or other applicable organizational document) of the Company, or (iii) any statute or any judgment, order, rule or regulation of any court or governmental agency or body having jurisdiction over the Company or any of its properties, except, in the case of clauses (i) and (iii) for such defaults, breaches, or violations that would not, individually or in the aggregate, reasonably be expected to have a Material Adverse Effect; and no consent, approval, authorization, order, registration or qualification of or with any such court or governmental agency or body is required for the issue and sale of the Offered Securities or the consummation by the Company of the transactions contemplated by this Agreement and the Pre-Funded Warrants, except such as have been obtained under the Act, the approval by the Financial Industry Regulatory Authority (“FINRA”) of the underwriting terms and arrangements, the approval for listing the Shares and the Warrant Shares on the Nasdaq Global Market (“Nasdaq”) and for such consents, approvals, authorizations, orders, registrations or qualifications as may be required under state securities or Blue Sky laws in connection with the purchase and distribution of the Offered Securities by the Underwriters;</w:t>
      </w:r>
    </w:p>
    <w:p>
      <w:pPr>
        <w:spacing w:after="0" w:line="87" w:lineRule="exact"/>
        <w:rPr>
          <w:rFonts w:ascii="Times New Roman" w:cs="Times New Roman" w:eastAsia="Times New Roman" w:hAnsi="Times New Roman"/>
          <w:sz w:val="18"/>
          <w:szCs w:val="18"/>
          <w:color w:val="auto"/>
        </w:rPr>
      </w:pPr>
    </w:p>
    <w:p>
      <w:pPr>
        <w:ind w:firstLine="436"/>
        <w:spacing w:after="0" w:line="25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 in violation of its certificate of incorporation or by-laws (or other applicable organizational document), (ii) in violation of any statute or any judgment, order, rule or regulation of any court or governmental agency or body having jurisdiction over the Company or any of its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Effect;</w:t>
      </w:r>
    </w:p>
    <w:p>
      <w:pPr>
        <w:spacing w:after="0" w:line="79" w:lineRule="exact"/>
        <w:rPr>
          <w:rFonts w:ascii="Times New Roman" w:cs="Times New Roman" w:eastAsia="Times New Roman" w:hAnsi="Times New Roman"/>
          <w:sz w:val="18"/>
          <w:szCs w:val="18"/>
          <w:color w:val="auto"/>
        </w:rPr>
      </w:pPr>
    </w:p>
    <w:p>
      <w:pPr>
        <w:ind w:right="180" w:firstLine="436"/>
        <w:spacing w:after="0" w:line="261" w:lineRule="auto"/>
        <w:tabs>
          <w:tab w:leader="none" w:pos="7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set forth in the Pricing Prospectus and the Prospectus under the captions “Description of Capital Stock,” insofar as they purport to constitute a summary of the terms of the Stock, are accurate, complete and fair in all material respects, and under the caption “Material U.S. Federal Income Tax Consequences,” insofar as such statements purport to summarize matters of U.S. federal income tax laws, are accurate, complete and fair in all material respects;</w:t>
      </w:r>
    </w:p>
    <w:p>
      <w:pPr>
        <w:spacing w:after="0" w:line="71" w:lineRule="exact"/>
        <w:rPr>
          <w:rFonts w:ascii="Times New Roman" w:cs="Times New Roman" w:eastAsia="Times New Roman" w:hAnsi="Times New Roman"/>
          <w:sz w:val="18"/>
          <w:szCs w:val="18"/>
          <w:color w:val="auto"/>
        </w:rPr>
      </w:pPr>
    </w:p>
    <w:p>
      <w:pPr>
        <w:ind w:right="80" w:firstLine="436"/>
        <w:spacing w:after="0" w:line="273" w:lineRule="auto"/>
        <w:tabs>
          <w:tab w:leader="none" w:pos="69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as set forth in the Pricing Prospectus, there are no legal, governmental or regulatory investigations, actions, demands, claims, suits, arbitrations, inquiries or proceedings (“Actions”) pending to which the 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if determined adversely to the Company or any of its subsidiaries (or such officer or director), would individually or in the aggregate reasonably be expected to have a Material Adverse Effect; and, to the Company’s knowledge, no such proceedings are threatened or contemplated by governmental authorities or others; there are no current or pending Actions that are required under the Act to be described in the Registration Statement or the Pricing Prospectus that are not so described therein; and there are no statutes,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9" w:name="page10"/>
    <w:bookmarkEnd w:id="9"/>
    <w:p>
      <w:pPr>
        <w:ind w:left="4"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regulations or contracts or other documents that are required under the Act to be filed as exhibits to the Registration Statement or described in the Registration Statement, the Pricing Prospectus that are not so filed as exhibits to the Registration Statement or described in the Registration Statement and the Pricing Prospectus;</w:t>
      </w:r>
    </w:p>
    <w:p>
      <w:pPr>
        <w:spacing w:after="0" w:line="68" w:lineRule="exact"/>
        <w:rPr>
          <w:sz w:val="20"/>
          <w:szCs w:val="20"/>
          <w:color w:val="auto"/>
        </w:rPr>
      </w:pPr>
    </w:p>
    <w:p>
      <w:pPr>
        <w:ind w:left="4" w:right="20" w:firstLine="436"/>
        <w:spacing w:after="0" w:line="266" w:lineRule="auto"/>
        <w:tabs>
          <w:tab w:leader="none" w:pos="69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Offered Securities and the application of the proceeds thereof as described in the Pricing Prospectus and the Prospectus, will not be an “investment company,” as such term is defined in the Investment Company Act of 1940, as amended;</w:t>
      </w:r>
    </w:p>
    <w:p>
      <w:pPr>
        <w:spacing w:after="0" w:line="67"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 At the time of filing the Registration Statement, (ii) at the time of the most recent amendment thereto for the purposes of complying with Section 10(a)(3) of the Act (whether such amendment was by post-effective amendment, incorporated report filed pursuant to Section 13 or 15(d) of the Exchange Act or form of prospectus), and (iii) at the time the Company or any person acting on its behalf (within the meaning, for this clause only, of Rule 163(c) under the Act) made any offer relating to the Offered Securities in reliance on the exemption of Rule 163 under the Act, the Company was a “well-known seasoned issuer” as defined in Rule 405 under the Act; and (B) at the time of filing the Registration Statement and any post-effective amendment thereto, at the earliest time thereafter that the Company or any offering participant made a bona fide offer (within the meaning of Rule 164(h)(2) under the Act) of the Offered Securities, and at the date hereof, the Company was not and is not an “ineligible issuer,” as defined in Rule 405 under the Act;</w:t>
      </w:r>
    </w:p>
    <w:p>
      <w:pPr>
        <w:spacing w:after="0" w:line="8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Deloitte &amp; Touche LLP, who have certified certain financial statements of the Company, are (i) independent public accountants as required by</w:t>
      </w:r>
    </w:p>
    <w:p>
      <w:pPr>
        <w:spacing w:after="0" w:line="27" w:lineRule="exact"/>
        <w:rPr>
          <w:rFonts w:ascii="Times New Roman" w:cs="Times New Roman" w:eastAsia="Times New Roman" w:hAnsi="Times New Roman"/>
          <w:sz w:val="18"/>
          <w:szCs w:val="18"/>
          <w:color w:val="auto"/>
        </w:rPr>
      </w:pPr>
    </w:p>
    <w:p>
      <w:pPr>
        <w:ind w:left="4" w:right="220" w:hanging="4"/>
        <w:spacing w:after="0" w:line="253" w:lineRule="auto"/>
        <w:tabs>
          <w:tab w:leader="none" w:pos="29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Act and the rules and regulations of the Commission thereunder and (B) the Public Company Accounting Oversight Board (“PCAOB”), (ii) in compliance with the applicable requirements relating to the qualification of accountants under Rule 2-01 of Regulation S-X under the Act and (iii) a registered public accounting firm as defined by the PCAOB whose registration has not been suspended or revoked and who has not requested such registration to be withdrawn;</w:t>
      </w:r>
    </w:p>
    <w:p>
      <w:pPr>
        <w:spacing w:after="0" w:line="80" w:lineRule="exact"/>
        <w:rPr>
          <w:rFonts w:ascii="Times New Roman" w:cs="Times New Roman" w:eastAsia="Times New Roman" w:hAnsi="Times New Roman"/>
          <w:sz w:val="18"/>
          <w:szCs w:val="18"/>
          <w:color w:val="auto"/>
        </w:rPr>
      </w:pPr>
    </w:p>
    <w:p>
      <w:pPr>
        <w:ind w:left="4" w:right="60" w:firstLine="436"/>
        <w:spacing w:after="0" w:line="253" w:lineRule="auto"/>
        <w:tabs>
          <w:tab w:leader="none" w:pos="66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control over financial reporting (as such term is defined in Rule 13a-15(f) under the Exchange Act) that (i)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 is designed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interactive data in eXtensible Business Reporting Language included or incorporated by reference in the Registration Statement, the Prospectus and the Pricing Disclosure Package fairly presents the information called for in all material respects and is prepared in accordance with the Commission’s rules and guidelines applicable thereto; and the Company is not aware of any material weaknesses in its internal control over financial reporting (it being understood that this subsection shall not require the Company to comply with Section 404 of the Sarbanes-Oxley Act of 2002, as amended (the “Sarbanes-Oxley Act”), as of an earlier date than it would otherwise be required to so comply under applicable law);</w:t>
      </w:r>
    </w:p>
    <w:p>
      <w:pPr>
        <w:spacing w:after="0" w:line="79"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latest audited financial statements included in the Pricing</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10" w:name="page11"/>
    <w:bookmarkEnd w:id="1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Prospectus and the Prospectus, there have been no significant deficiencies or material weaknesses in the Company’s internal control over financial reporting (whether or not remediated) and no change in the Company’s internal control over financial reporting that has materially and adversely affected, or is reasonably likely to materially and adversely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75" w:lineRule="exact"/>
        <w:rPr>
          <w:sz w:val="20"/>
          <w:szCs w:val="20"/>
          <w:color w:val="auto"/>
        </w:rPr>
      </w:pPr>
    </w:p>
    <w:p>
      <w:pPr>
        <w:ind w:right="100" w:firstLine="436"/>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(as such term is defined in Rules 13a-15 and 15d-15 under the Exchange Act) that have been designed to ensure that material information relating to the Company is made known to the Company’s principal executive officer and principal financial officer by others within the Company; and such disclosure controls and procedures are effective in all material respects; and the Company has carried out evaluations of the effectiveness of its disclosure controls and procedures as required by Rule 13a-15 of the Exchange Act through March 31, 2026;</w:t>
      </w:r>
    </w:p>
    <w:p>
      <w:pPr>
        <w:spacing w:after="0" w:line="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director, officer or employee nor, to the knowledge of the Company, any agent, affiliate or other person, while acting on behalf of the Company (i) has made, offered, promised or authorized any unlawful contribution, gift, entertainment or other unlawful expense or taken any act in furtherance thereof; (ii) has made, offered, promised or authorized any direct or indirect unlawful payment; (iii) has violated or is in violation of any applicable provision of the Foreign Corrupt Practices Act of 1977, as amended, or the rules and regulations thereunder, the Bribery Act 2010 of the United Kingdom or any other applicable anti-bribery, anti-corruption or related law, statute or regulation (collectively, “Anti-Corruption Laws”); or (iv) will use, directly or indirectly, the proceeds of the offering in furtherance of an offer, payment, promise to pay or authorization of the payment or the giving of money, or anything else of value, to any person in violation of any applicable Anti-Corruption Laws; and the Company has conducted its business in compliance with applicable Anti-Corruption Laws and has instituted and maintained and will continue to institute and maintain policies and procedures reasonably designed to promote and achieve compliance with such laws and with the representations and warranties contained herein;</w:t>
      </w:r>
    </w:p>
    <w:p>
      <w:pPr>
        <w:spacing w:after="0" w:line="86" w:lineRule="exact"/>
        <w:rPr>
          <w:rFonts w:ascii="Times New Roman" w:cs="Times New Roman" w:eastAsia="Times New Roman" w:hAnsi="Times New Roman"/>
          <w:sz w:val="18"/>
          <w:szCs w:val="18"/>
          <w:color w:val="auto"/>
        </w:rPr>
      </w:pPr>
    </w:p>
    <w:p>
      <w:pPr>
        <w:ind w:right="80" w:firstLine="436"/>
        <w:spacing w:after="0" w:line="255"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conducts business, the rules and regulations thereunder and any related or similar rules, regulations or guidelines issued, administered or enforced by any governmental agency (collectively, the “Money Laundering Laws”); and no action, suit or proceeding, and to the knowledge of the Company, no inquiry or investigation, by or before any court or governmental agency, authority or body or any arbitrator involving the Company with respect to the Money Laundering Laws is pending or, to the knowledge of the Company, threatened;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1" w:name="page12"/>
    <w:bookmarkEnd w:id="11"/>
    <w:p>
      <w:pPr>
        <w:ind w:firstLine="436"/>
        <w:spacing w:after="0" w:line="252"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any director, officer or employee nor, to the knowledge of the Company, any agent, affiliate or representative of the Company is an individual or entity (“Person”) that is, or is 50% or more owned or otherwise controlled by one or more Persons that are,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His Majesty’s Treasury, the United Nations Security Council, or other relevant sanctions authority (collectively, “Sanctions”); nor is the Company located, organized or resident in a country or territory that is the subject or target of comprehensive Sanctions (currently, the so-called Donetsk People’s Republic, the so-called Luhansk People’s Republic and the Crimea region and the non-government controlled areas of the Zaporizhzhia and Kherson Regions of Ukraine (or any other Covered Region of Ukraine identified pursuant to Executive Order 14065), Cuba, Iran or North Korea) (each, a “Sanctioned Jurisdiction”),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is the subject or the target of Sanctions or with a Sanctioned Jurisdiction or (ii) in any other manner that will result in a violation by any person (including any person participating in the transaction, whether as underwriter, advisor, investor or otherwise) of Sanctions; and the Company has not knowingly engaged in and is not now knowingly engaged in, and will not engage in, any dealings or transactions with any individual or entity that at the time of the dealing or transaction is or was the subject of Sanctions or with a Sanctioned Jurisdiction; the Company is not engaged in, or has not, at any time since April 24, 2019, engaged in, any dealings or transactions with or involving any individual or entity that was or is, as applicable, at the time of such dealing or transaction, the subject or target of Sanctions or with any Sanctioned Jurisdiction; and the Company has instituted, and maintains, policies and procedures designed to promote and achieve continued compliance with Sanctions;</w:t>
      </w:r>
    </w:p>
    <w:p>
      <w:pPr>
        <w:spacing w:after="0" w:line="83" w:lineRule="exact"/>
        <w:rPr>
          <w:rFonts w:ascii="Times New Roman" w:cs="Times New Roman" w:eastAsia="Times New Roman" w:hAnsi="Times New Roman"/>
          <w:sz w:val="18"/>
          <w:szCs w:val="18"/>
          <w:color w:val="auto"/>
        </w:rPr>
      </w:pPr>
    </w:p>
    <w:p>
      <w:pPr>
        <w:ind w:right="40" w:firstLine="436"/>
        <w:spacing w:after="0" w:line="253"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included in the Registration Statement, the Pricing Prospectus and the Prospectus, together with the related schedules and notes, present fairly in all material respects the financial position of the Company at the dates indicated and the statement of operations, stockholders’ equity and cash flows of the Company for the periods specified; said financial statements have been prepared in conformity with U.S. generally accepted accounting principles (“GAAP”) applied on a consistent basis throughout the periods involved. The supporting schedules, if any, present fairly in all material respects in accordance with GAAP the information required to be stated therein. Except as included therein, no historical or pro forma financial statements or supporting schedules are required to be included in the Registration Statement, the Pricing Prospectus or the Prospectus under the Act or the rules and regulations promulgated thereunder.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the Pricing Prospectus and the Prospectus;</w:t>
      </w:r>
    </w:p>
    <w:p>
      <w:pPr>
        <w:spacing w:after="0" w:line="86" w:lineRule="exact"/>
        <w:rPr>
          <w:rFonts w:ascii="Times New Roman" w:cs="Times New Roman" w:eastAsia="Times New Roman" w:hAnsi="Times New Roman"/>
          <w:sz w:val="18"/>
          <w:szCs w:val="18"/>
          <w:color w:val="auto"/>
        </w:rPr>
      </w:pPr>
    </w:p>
    <w:p>
      <w:pPr>
        <w:ind w:right="100" w:firstLine="436"/>
        <w:spacing w:after="0" w:line="266" w:lineRule="auto"/>
        <w:tabs>
          <w:tab w:leader="none" w:pos="68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persons with registration rights or other similar rights to have any securities registered pursuant to the Registration Statement or otherwise registered by the Company under the Act except as have been validly waived or complied with in connection with the offering of the Offered Securities;</w:t>
      </w:r>
    </w:p>
    <w:p>
      <w:pPr>
        <w:spacing w:after="0" w:line="68" w:lineRule="exact"/>
        <w:rPr>
          <w:sz w:val="20"/>
          <w:szCs w:val="20"/>
          <w:color w:val="auto"/>
        </w:rPr>
      </w:pPr>
    </w:p>
    <w:p>
      <w:pPr>
        <w:jc w:val="both"/>
        <w:ind w:right="660" w:firstLine="436"/>
        <w:spacing w:after="0" w:line="261" w:lineRule="auto"/>
        <w:tabs>
          <w:tab w:leader="none" w:pos="7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labor disturbance by or dispute with current or former employees or officers of the Company exists or, to the Company’s knowledge, is contemplated or threatened, and the Company is not aware of any existing or imminent labor disturbance by, or dispute with, the employees of any of the Company’s principal suppliers, manufacturers or contractors. The Company is not a party to any collective bargaining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2" w:name="page13"/>
    <w:bookmarkEnd w:id="12"/>
    <w:p>
      <w:pPr>
        <w:ind w:firstLine="436"/>
        <w:spacing w:after="0" w:line="256" w:lineRule="auto"/>
        <w:tabs>
          <w:tab w:leader="none" w:pos="7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insurance covering its respective properties, operations, personnel and businesses, including business interruption insurance, which insurance is in amounts and insures against such losses and risks as are reasonable and is ordinary and customary for comparable companies in the same or similar businesses; and the Company has not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79" w:lineRule="exact"/>
        <w:rPr>
          <w:rFonts w:ascii="Times New Roman" w:cs="Times New Roman" w:eastAsia="Times New Roman" w:hAnsi="Times New Roman"/>
          <w:sz w:val="18"/>
          <w:szCs w:val="18"/>
          <w:color w:val="auto"/>
        </w:rPr>
      </w:pPr>
    </w:p>
    <w:p>
      <w:pPr>
        <w:ind w:right="120" w:firstLine="436"/>
        <w:spacing w:after="0" w:line="266" w:lineRule="auto"/>
        <w:tabs>
          <w:tab w:leader="none" w:pos="7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meets the independence requirements of, and has established an audit committee, a compensation committee and a nominating and corporate governance committee, in each case, that meets the independence requirements of, the rules and regulations of the Commission and Nasdaq, including the phase-in periods provided by the rules and regulations of the Commission and Nasdaq;</w:t>
      </w:r>
    </w:p>
    <w:p>
      <w:pPr>
        <w:spacing w:after="0" w:line="67" w:lineRule="exact"/>
        <w:rPr>
          <w:rFonts w:ascii="Times New Roman" w:cs="Times New Roman" w:eastAsia="Times New Roman" w:hAnsi="Times New Roman"/>
          <w:sz w:val="18"/>
          <w:szCs w:val="18"/>
          <w:color w:val="auto"/>
        </w:rPr>
      </w:pPr>
    </w:p>
    <w:p>
      <w:pPr>
        <w:ind w:firstLine="436"/>
        <w:spacing w:after="0" w:line="268" w:lineRule="auto"/>
        <w:tabs>
          <w:tab w:leader="none" w:pos="78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directors, officers and employees, and to the Company’s knowledge, its respective agents, affiliates and representatives, are, and at all times have been, in material compliance with all Health Care Laws (defined herein), including, but not limited to, the rules and regulations of the Food and Drug Administration (“FDA”), the U.S. Department of Health and Human Services Office of Inspector General, the Centers for Medicare &amp; Medicaid Services, the Office for Civil Rights, the Department of Justice and any other governmental agency or body having jurisdiction over the Company or any of its properties, and has not engaged in any activities which are, as applicable, cause for false claims liability, civil penalties, or mandatory or permissive exclusion from Medicare, Medicaid, or any other local, state or federal healthcare program. For purposes of this Agreement, “Health Care Laws” shall mean the federal Anti-kickback Statute (42 U.S.C. § 1320a-7b(b)), the Physician Payments Sunshine Act (42 U.S.C. §</w:t>
      </w:r>
    </w:p>
    <w:p>
      <w:pPr>
        <w:spacing w:after="0" w:line="2" w:lineRule="exact"/>
        <w:rPr>
          <w:rFonts w:ascii="Times New Roman" w:cs="Times New Roman" w:eastAsia="Times New Roman" w:hAnsi="Times New Roman"/>
          <w:sz w:val="17"/>
          <w:szCs w:val="17"/>
          <w:color w:val="auto"/>
        </w:rPr>
      </w:pPr>
    </w:p>
    <w:p>
      <w:pPr>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1320a-7h), the civil False Claims Act (31 U.S.C. §§ 3729 et seq.), the criminal False Claims Act (42 U.S.C. § 1320a-7b(a)), all criminal laws relating to health care fraud and abuse, including but not limited to 18 U.S.C. Sections 286, 287 and 1349 and the health care fraud criminal provisions under the Health Insurance Portability and Accountability Act of 1996 (42 U.S.C. §§ 1320d et seq.) (“HIPAA”), the exclusion laws (42 U.S.C. § 1320a-7), the civil monetary penalties law (42 U.S.C. § 1320a-7a), the Stark Law (42 U.S.C. § 1395nn), the applicable provisions of HIPAA, as amended by the Health Information Technology for Economic and Clinical Health Act (42 U.S.C. §§ 17921 et seq.), the Federal Food, Drug, and Cosmetic Act (21 U.S.C. §§ 301 et seq.), Medicare (Title XVIII of the Social Security Act), Medicaid (Title XIX of the Social Security Act), the Public Health Service Act (42 U.S.C. §§ 201 et seq.), or any analogous rules and regulations of any other national, federal, state or local governmental or regulatory body or authority in any jurisdiction in which the Company conducts its business or clinical operations. The Company has filed,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The Company is neither a party to nor has any ongoing reporting obligations pursuant to any corporate integrity agreement, deferred prosecution agreement, monitoring agreement, consent decree, settlement order, plan of correction or similar agreement imposed by any governmental authority. The Company has not received any notification, correspondence or any other written communication, including, without limitation, any FDA Form 483, notice of adverse finding, warning letter, untitled letter or other correspondence or written notice from the FDA or any similar regulatory authority, or any notification of any pending or threatened claim, suit, proceeding, hearing, enforcement, investigation, arbitration or other action, from any arbitrator or regulatory or governmental authority or third party alleging potential or actual non-compliance by, or liability of, the Company under any Health Care Laws;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3" w:name="page14"/>
    <w:bookmarkEnd w:id="13"/>
    <w:p>
      <w:pPr>
        <w:ind w:left="-20" w:firstLine="436"/>
        <w:spacing w:after="0" w:line="254" w:lineRule="auto"/>
        <w:tabs>
          <w:tab w:leader="none" w:pos="7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possessed and currently possesses, and is in material compliance with the terms of, all applications, certificates, approvals, clearances, registrations, exemptions, franchises, licenses, permits, consents and other authorizations necessary to conduct its business (collectively, “Licenses”), issued by governmental authorities, including, without limitation, all Licenses required by the FDA, or any component thereof, and/or by any other U.S., state, local or foreign government or drug regulatory agency (collectively, the “Regulatory Agencies”). All Licenses are in full force and effect and the Company is not in material violation of any term or conditions of any License. The Company has materially fulfilled and performed all of its obligations with respect to the Licenses and, to the Company’s knowledge, no event has occurred which allows, or after notice or lapse of time would allow, revocation or termination thereof or result in any other impairment of the rights of the holder of any License. The Company has not received any notice of proceedings relating to the revocation or modification of any Licenses and, no Regulatory Agency has taken any action to limit, suspend or revoke any License possessed by the Company;</w:t>
      </w:r>
    </w:p>
    <w:p>
      <w:pPr>
        <w:spacing w:after="0" w:line="80" w:lineRule="exact"/>
        <w:rPr>
          <w:rFonts w:ascii="Times New Roman" w:cs="Times New Roman" w:eastAsia="Times New Roman" w:hAnsi="Times New Roman"/>
          <w:sz w:val="18"/>
          <w:szCs w:val="18"/>
          <w:color w:val="auto"/>
        </w:rPr>
      </w:pPr>
    </w:p>
    <w:p>
      <w:pPr>
        <w:ind w:left="-20" w:firstLine="436"/>
        <w:spacing w:after="0" w:line="253" w:lineRule="auto"/>
        <w:tabs>
          <w:tab w:leader="none" w:pos="70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studies and clinical trials conducted by or on behalf of the Company were and, if still pending, are being, conducted in all material respects in accordance with the protocols submitted to the FDA or any foreign governmental body exercising comparable authority and all applicable laws and regulations; the descriptions of the preclinical studies and clinical trials conducted by or, to the Company’s knowledge, on behalf of the Company, and the results thereof, contained in the Registration Statement, the Pricing Prospectus and the Prospectus are accurate and complete in all material respects and fairly present the data derived from such preclinical studies and clinical trials; except to the extent disclosed in the Registration Statement, the Pricing Prospectus and the Prospectus, the Company is not aware of any preclinical studies or clinical trials, the results of which the Company believes reasonably call into question the results of the preclinical studies or clinical trials described or referred to in the Registration Statement, the Pricing Prospectus and the Prospectus, when viewed in the context in which such results are described and the clinical stage of development; and the Company has not received any notices or correspondence from the FDA, any foreign, state or local governmental body exercising comparable authority or any Institutional Review Board requiring the termination, suspension, material modification or clinical hold of any preclinical studies or clinical trials conducted by or on behalf of the Company;</w:t>
      </w:r>
    </w:p>
    <w:p>
      <w:pPr>
        <w:spacing w:after="0" w:line="83" w:lineRule="exact"/>
        <w:rPr>
          <w:rFonts w:ascii="Times New Roman" w:cs="Times New Roman" w:eastAsia="Times New Roman" w:hAnsi="Times New Roman"/>
          <w:sz w:val="18"/>
          <w:szCs w:val="18"/>
          <w:color w:val="auto"/>
        </w:rPr>
      </w:pPr>
    </w:p>
    <w:p>
      <w:pPr>
        <w:ind w:left="-20" w:right="20" w:firstLine="436"/>
        <w:spacing w:after="0" w:line="256" w:lineRule="auto"/>
        <w:tabs>
          <w:tab w:leader="none" w:pos="7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to the knowledge of the Company, any of its officers, employees, directors, agents or clinical investigators, has been excluded, suspended, disqualified or debarred from participation in any U.S. federal health care program or human clinical research or, to the knowledge of the Company, is subject to a governmental inquiry, investigation, proceeding, or other similar action that would reasonably be expected to result in debarment, disqualification, suspension, or exclusion, and neither the Company nor, to the knowledge of the Company, any of its officers, employees, directors, agents or clinical investigators has been convicted of any crime or engaged in any conduct that would reasonably be expected to result in debarment under 21 U.S.C. § 335a or comparable foreign law;</w:t>
      </w:r>
    </w:p>
    <w:p>
      <w:pPr>
        <w:spacing w:after="0" w:line="79" w:lineRule="exact"/>
        <w:rPr>
          <w:rFonts w:ascii="Times New Roman" w:cs="Times New Roman" w:eastAsia="Times New Roman" w:hAnsi="Times New Roman"/>
          <w:sz w:val="18"/>
          <w:szCs w:val="18"/>
          <w:color w:val="auto"/>
        </w:rPr>
      </w:pPr>
    </w:p>
    <w:p>
      <w:pPr>
        <w:ind w:left="760" w:hanging="344"/>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each case as disclosed in the Pricing Prospectus and the Prospectus:</w:t>
      </w:r>
    </w:p>
    <w:p>
      <w:pPr>
        <w:spacing w:after="0" w:line="117" w:lineRule="exact"/>
        <w:rPr>
          <w:rFonts w:ascii="Times New Roman" w:cs="Times New Roman" w:eastAsia="Times New Roman" w:hAnsi="Times New Roman"/>
          <w:sz w:val="18"/>
          <w:szCs w:val="18"/>
          <w:color w:val="auto"/>
        </w:rPr>
      </w:pPr>
    </w:p>
    <w:p>
      <w:pPr>
        <w:ind w:left="-20" w:right="180" w:firstLine="987"/>
        <w:spacing w:after="0" w:line="261" w:lineRule="auto"/>
        <w:tabs>
          <w:tab w:leader="none" w:pos="126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owns or has valid licenses or other rights, or can acquire on reasonable terms rights, to practice and use all patents, patent applications, copyrights, trademarks, trademark registrations, service marks, service mark registrations, trade names, service names, know-how (including trade secrets and other unpatented and/or unpatentable proprietary or confidential information, systems or procedures), and all other intellectual property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60" w:top="270" w:right="479" w:bottom="1440" w:gutter="0" w:footer="0" w:header="0"/>
        </w:sectPr>
      </w:pPr>
    </w:p>
    <w:bookmarkStart w:id="14" w:name="page15"/>
    <w:bookmarkEnd w:id="14"/>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necessary for, or used in the conduct or the proposed conduct of, the business of the Company in the manner described in the Pricing Prospectus and the Prospectus (collectively, the “Company Intellectual Property”), except where the failure to own, possess, license, have the right to use, or the ability to acquire any of the foregoing would not reasonably be expected to result, singly or in the aggregate, in a Material Adverse Effect;</w:t>
      </w:r>
    </w:p>
    <w:p>
      <w:pPr>
        <w:spacing w:after="0" w:line="68" w:lineRule="exact"/>
        <w:rPr>
          <w:sz w:val="20"/>
          <w:szCs w:val="20"/>
          <w:color w:val="auto"/>
        </w:rPr>
      </w:pPr>
    </w:p>
    <w:p>
      <w:pPr>
        <w:ind w:right="340" w:firstLine="987"/>
        <w:spacing w:after="0" w:line="266" w:lineRule="auto"/>
        <w:tabs>
          <w:tab w:leader="none" w:pos="127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conduct of its business (including the development and commercialization of the product candidates) described in the Pricing Prospectus and the Prospectus has not and will not infringe or misappropriate any intellectual property rights of third parties;</w:t>
      </w:r>
    </w:p>
    <w:p>
      <w:pPr>
        <w:spacing w:after="0" w:line="67" w:lineRule="exact"/>
        <w:rPr>
          <w:rFonts w:ascii="Times New Roman" w:cs="Times New Roman" w:eastAsia="Times New Roman" w:hAnsi="Times New Roman"/>
          <w:sz w:val="18"/>
          <w:szCs w:val="18"/>
          <w:color w:val="auto"/>
        </w:rPr>
      </w:pPr>
    </w:p>
    <w:p>
      <w:pPr>
        <w:ind w:right="240" w:firstLine="987"/>
        <w:spacing w:after="0" w:line="282" w:lineRule="auto"/>
        <w:tabs>
          <w:tab w:leader="none" w:pos="127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there are no rights of third parties to any of the intellectual property owned by the Company, and such intellectual property is owned by the Company free and clear of all material liens, security interests, or encumbrances;</w:t>
      </w:r>
    </w:p>
    <w:p>
      <w:pPr>
        <w:spacing w:after="0" w:line="53" w:lineRule="exact"/>
        <w:rPr>
          <w:rFonts w:ascii="Times New Roman" w:cs="Times New Roman" w:eastAsia="Times New Roman" w:hAnsi="Times New Roman"/>
          <w:sz w:val="18"/>
          <w:szCs w:val="18"/>
          <w:color w:val="auto"/>
        </w:rPr>
      </w:pPr>
    </w:p>
    <w:p>
      <w:pPr>
        <w:ind w:right="60" w:firstLine="987"/>
        <w:spacing w:after="0" w:line="266" w:lineRule="auto"/>
        <w:tabs>
          <w:tab w:leader="none" w:pos="12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patents, trademarks and copyrights held or licensed by the Company included within the Company Intellectual Property, in each case, that are material to the conduct of the business of the Company as currently conducted, are not invalid, not unenforceable, and subsisting;</w:t>
      </w:r>
    </w:p>
    <w:p>
      <w:pPr>
        <w:spacing w:after="0" w:line="67" w:lineRule="exact"/>
        <w:rPr>
          <w:rFonts w:ascii="Times New Roman" w:cs="Times New Roman" w:eastAsia="Times New Roman" w:hAnsi="Times New Roman"/>
          <w:sz w:val="18"/>
          <w:szCs w:val="18"/>
          <w:color w:val="auto"/>
        </w:rPr>
      </w:pPr>
    </w:p>
    <w:p>
      <w:pPr>
        <w:ind w:right="760" w:firstLine="987"/>
        <w:spacing w:after="0" w:line="282" w:lineRule="auto"/>
        <w:tabs>
          <w:tab w:leader="none" w:pos="126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singly or in the aggregate, to have a Material Adverse Effect, to the Company’s knowledge, there is no infringement by third parties of any of the Company Intellectual Property;</w:t>
      </w:r>
    </w:p>
    <w:p>
      <w:pPr>
        <w:spacing w:after="0" w:line="53" w:lineRule="exact"/>
        <w:rPr>
          <w:rFonts w:ascii="Times New Roman" w:cs="Times New Roman" w:eastAsia="Times New Roman" w:hAnsi="Times New Roman"/>
          <w:sz w:val="18"/>
          <w:szCs w:val="18"/>
          <w:color w:val="auto"/>
        </w:rPr>
      </w:pPr>
    </w:p>
    <w:p>
      <w:pPr>
        <w:ind w:firstLine="987"/>
        <w:spacing w:after="0" w:line="252" w:lineRule="auto"/>
        <w:tabs>
          <w:tab w:leader="none" w:pos="12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is not obligated to pay a material royalty, grant a license, or provide other material consideration to any third party in connection with the Company Intellectual Property, (ii) no action, suit, claim or other proceeding is pending or, to the knowledge of the Company, is threatened, alleging that the Company is infringing, misappropriating, diluting or otherwise violating any rights of others with respect to any of the Company’s product candidates, processes or intellectual property, and the Company is unaware of any facts that could form a reasonable basis for any such action, suit, proceeding or claim, (iii) no action, suit, claim or other proceeding is pending or, to the knowledge of the Company, is threatened, challenging the validity, enforceability, scope, registration, ownership or use of any of the Company Intellectual Property, and the Company is unaware of any facts which could form a reasonable basis for any such action, suit, proceeding or claim, (iv) except as would not reasonably be expected, singly or in the aggregate, to have a Material Adverse Effect, no action, suit, claim or other proceeding is pending or, to the knowledge of the Company, is threatened, challenging the Company’s rights in or to any Company Intellectual Property, and the Company is unaware of any facts which could form a reasonable basis for any such action, suit, proceeding or claim, (v) the Company has not received written notice of any claim of infringement, misappropriation or conflict with any asserted rights of others with respect to any of the Company’s products, proposed products, processes or Company Intellectual Property, (vi) to the knowledge of the Company, the development, manufacture, sale, and any currently proposed use of any of the products, proposed products or processes of the Company referred to in the Pricing Prospectus and the Prospectus, in the current or proposed conduct of the business of the Company, do not currently, and will not upon commercialization, to the knowledge of the Company, infringe any valid patent claim or other valid intellectual property right of any third party, (vii) to the knowledge of the Company, no third party has any ownership right in or to any Company Intellectual Property in any field of use that is exclusively licensed to the Company, other than any licensor to the Company of such Company Intellectual Property, (viii) to the knowledge of the Company, no employee, consultant or independent contractor of the Company engaged in the development of Company Intellectual Property that is material to the business of the Company is in or has ever been in violation in any material respect of any term of any employment contract, patent disclosure agreement, invention</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5" w:name="page16"/>
    <w:bookmarkEnd w:id="15"/>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agreement, non-competition agreement, non-solicitation agreement, nondisclosure agreement or any restrictive covenant to or with a former employer or independent contractor where the basis of such violation relates to such employee’s employment or independent contractor’s engagement with the Company or actions undertaken while employed or engaged with the Company, (ix) the Company has taken reasonable measures to protect its confidential information and trade secrets and to maintain and safeguard the Company Intellectual Property, including the execution of appropriate nondisclosure and confidentiality agreements, and (x) the Company has complied in all material respects with the terms of each agreement pursuant to which the Company Intellectual Property has been licensed to the Company, and, to the Company’s knowledge, all such agreements are in full force and effect;</w:t>
      </w:r>
    </w:p>
    <w:p>
      <w:pPr>
        <w:spacing w:after="0" w:line="81" w:lineRule="exact"/>
        <w:rPr>
          <w:sz w:val="20"/>
          <w:szCs w:val="20"/>
          <w:color w:val="auto"/>
        </w:rPr>
      </w:pPr>
    </w:p>
    <w:p>
      <w:pPr>
        <w:ind w:right="140" w:firstLine="436"/>
        <w:spacing w:after="0" w:line="255" w:lineRule="auto"/>
        <w:tabs>
          <w:tab w:leader="none" w:pos="7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patents and patent applications owned by or licensed to the Company or under which the Company has rights have, to the knowledge of the Company, been duly and properly filed and maintained; to the knowledge of the Company, there are no material defects in any of the patents or patent applications disclosed in the Registration Statement and the Prospectus as being owned by the Company; to the knowledge of the Company, the parties prosecuting such applications have complied with their duty of candor and disclosure to the United States Patent and Trademark Office (the “USPTO”) in connection with such applications; and the Company is not aware of any facts required to be disclosed to the USPTO that were not disclosed to the USPTO and which would preclude the grant of a patent in connection with any such application or would reasonably be expected to form the basis of a finding of invalidity with respect to any patents that have issued with respect to such applications;</w:t>
      </w:r>
    </w:p>
    <w:p>
      <w:pPr>
        <w:spacing w:after="0" w:line="80" w:lineRule="exact"/>
        <w:rPr>
          <w:rFonts w:ascii="Times New Roman" w:cs="Times New Roman" w:eastAsia="Times New Roman" w:hAnsi="Times New Roman"/>
          <w:sz w:val="18"/>
          <w:szCs w:val="18"/>
          <w:color w:val="auto"/>
        </w:rPr>
      </w:pPr>
    </w:p>
    <w:p>
      <w:pPr>
        <w:ind w:right="40" w:firstLine="436"/>
        <w:spacing w:after="0" w:line="253" w:lineRule="auto"/>
        <w:tabs>
          <w:tab w:leader="none" w:pos="7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has complied and is presently in compliance, each in all material respects, with all internal and externally published privacy policies, contractual obligations, industry standards by which the Company is legally or contractually bound, applicable laws, statutes, judgments, orders, rules and regulations of any court or arbitrator or other governmental or regulatory authority and any other legal obligations, in each case, to the extent applicable and governing the collection, use, transfer, import, export, storage, protection, disposal and disclosure by the Company of personal, personally identifiable, or regulated data in the Company’s possession, custody, or control (“Data Security Obligations,” and such data, “Data”); (ii) the Company has not received any written notification of, or written complaint regarding, and is unaware of any other facts that, individually or in the aggregate, would reasonably indicate that the Company is in material violation of any Data Security Obligation; and (iii) to the knowledge of the Company, there is no action, suit or proceeding by or before any court or governmental agency, authority or body pending or threatened alleging non-compliance with any Data Security Obligation. The Company has published a privacy policy on its website that (i) complies in all material respects with applicable laws, (ii) provides materially accurate, complete and sufficient notice of the Company’s then-current privacy practices and processing governing the subject matter, and (iii) does not contain any material misrepresentations or omissions. To the knowledge of the Company, the execution, delivery and performance of this Agreement or any other agreement referred to in this Agreement will not result in a breach or violation of any Data Security Obligations;</w:t>
      </w:r>
    </w:p>
    <w:p>
      <w:pPr>
        <w:spacing w:after="0" w:line="79" w:lineRule="exact"/>
        <w:rPr>
          <w:rFonts w:ascii="Times New Roman" w:cs="Times New Roman" w:eastAsia="Times New Roman" w:hAnsi="Times New Roman"/>
          <w:sz w:val="18"/>
          <w:szCs w:val="18"/>
          <w:color w:val="auto"/>
        </w:rPr>
      </w:pPr>
    </w:p>
    <w:p>
      <w:pPr>
        <w:ind w:firstLine="436"/>
        <w:spacing w:after="0" w:line="277" w:lineRule="auto"/>
        <w:tabs>
          <w:tab w:leader="none" w:pos="78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have a Material Adverse Effect, the Company’s information technology assets and equipment, computers, systems, networks, hardware, software, websites, applications, and databases (collectively, “IT Systems”) are adequate for, and operate and perform in all respects as required in connection with the operation of the business of the Company as currently conducted. To the Company’s knowledge, the IT Systems are free and clear of all material bugs, errors, defects, Trojan horses, time bombs, malware and other corruptants. The Company has implemented and maintained commercially reasonable physical, technical, and/or administrative policies, procedures, and/or safeguards</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16" w:name="page17"/>
    <w:bookmarkEnd w:id="16"/>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designed to maintain and protect their material confidential information and the integrity, availability and security of all IT Systems and Data used in connection with the operation of the Company’s business. For the avoidance of doubt, “Data” as defined above includes all data concerning an identified or identifiable natural person, including a natural person’s name, street address, telephone number, e-mail address, photograph, social security number or tax identification number, driver’s license number, passport number, credit card number, bank information, or customer or account number; and “personal data” as defined by the General Data Protection Regulation (GDPR) and similar privacy laws applicable to the Company. Without limiting the foregoing, the Company has used reasonable efforts to establish and maintain and implement reasonable information technology, information security, cyber security and data protection controls, including, as applicable, oversight, access controls, encryption, technological and physical safeguards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business (“Breach”). Except as would not reasonably be expected to have a Material Adverse Effect, to the Company’s knowledge, there has been no such Breach, and the Company has not been notified of, and has no knowledge of any event or condition that would reasonably be expected to result in, any such Breach. The Company is presently in compliance in all material respects with all applicable laws or statutes and all judgments, orders, rules and regulations of any court or arbitrator or governmental or regulatory authority, legally binding internal policies and contractual obligations governing the privacy and security of IT Systems and Data and designed to protect such IT Systems and Data from unauthorized use, access, misappropriation or modification;</w:t>
      </w:r>
    </w:p>
    <w:p>
      <w:pPr>
        <w:spacing w:after="0" w:line="88" w:lineRule="exact"/>
        <w:rPr>
          <w:sz w:val="20"/>
          <w:szCs w:val="20"/>
          <w:color w:val="auto"/>
        </w:rPr>
      </w:pPr>
    </w:p>
    <w:p>
      <w:pPr>
        <w:ind w:left="700" w:hanging="264"/>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80" w:firstLine="436"/>
        <w:spacing w:after="0" w:line="253" w:lineRule="auto"/>
        <w:tabs>
          <w:tab w:leader="none" w:pos="8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and any “employee benefit plan” (as defined under Section 3(3) of the Employee Retirement Income Security Act of 1974, as amended, and the regulations and published interpretations thereunder (collectively, “ERISA”)) established or maintained by the Company or its subsidiaries (each, a “Plan”) is in compliance in all material respects with ERISA, except to the extent that failure to so comply, individually or in the aggregate, would not have a Material Adverse Effect. “ERISA Affiliate” means, with respect to the Company or any of its subsidiaries, any member of any group of organizations described in Sections 414(b), (c), (m) or (o) of the Internal Revenue Code of 1986, as amended, and the regulations and published interpretations thereunder (the “Code”) of which the Company or such subsidiary is a member. No “reportable event” (as defined under ERISA) has occurred or is reasonably expected to occur with respect to any Plan. No Plan or any ERISA Affiliate has sponsored, maintained or contributed to an employee benefit plan that is subject to Title IV of ERISA and neither the Company, its subsidiaries nor any of their ERISA Affiliates has incurred or reasonably expects to incur any liability under (i) Title IV of ERISA with respect to termination of, or withdrawal from, any Plan or (ii) Sections 412, 4971, 4975 or 4980B of the Code. Except as would not reasonably be expected to have a Material Adverse Effect, each Plan that is intended to be qualified under Section 401(a) of the Code is so qualified and, to the knowledge of the Company, nothing has occurred, whether by action or failure to act, which would cause the loss of such qualification;</w:t>
      </w:r>
    </w:p>
    <w:p>
      <w:pPr>
        <w:spacing w:after="0" w:line="81" w:lineRule="exact"/>
        <w:rPr>
          <w:rFonts w:ascii="Times New Roman" w:cs="Times New Roman" w:eastAsia="Times New Roman" w:hAnsi="Times New Roman"/>
          <w:sz w:val="18"/>
          <w:szCs w:val="18"/>
          <w:color w:val="auto"/>
        </w:rPr>
      </w:pPr>
    </w:p>
    <w:p>
      <w:pPr>
        <w:ind w:firstLine="436"/>
        <w:spacing w:after="0" w:line="266" w:lineRule="auto"/>
        <w:tabs>
          <w:tab w:leader="none" w:pos="7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statistical, industry-related and market-related data included in the Pricing Prospectus and the Prospectus are based on or derived from sources that the Company believes, after reasonable inquiry, to be reliable and accurate and, to the extent required, the Company has obtained the written consent to the use of such data from such sources, if required;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17" w:name="page18"/>
    <w:bookmarkEnd w:id="17"/>
    <w:p>
      <w:pPr>
        <w:ind w:right="40" w:firstLine="436"/>
        <w:spacing w:after="0" w:line="256" w:lineRule="auto"/>
        <w:tabs>
          <w:tab w:leader="none" w:pos="7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income tax returns of the Company required by law to be filed have been filed (or the Company has properly requested extensions thereof) and all taxes shown as due on such returns or that otherwise have been assessed, which are due and payable, have been paid, except as may be being contested in good faith and by appropriate proceedings, and except insofar as any failure to file a tax return or to pay a tax would not, individually or in the aggregate, reasonably be expected to have a Material Adverse Effect. The Company has made adequate charges, accruals and reserves in the applicable financial statements referred to in Section 1(y) above in respect of all federal, state and foreign income and franchise taxes for all periods as to which the tax liability of the Company or any of its subsidiaries has not been finally determined;</w:t>
      </w:r>
    </w:p>
    <w:p>
      <w:pPr>
        <w:spacing w:after="0" w:line="79" w:lineRule="exact"/>
        <w:rPr>
          <w:rFonts w:ascii="Times New Roman" w:cs="Times New Roman" w:eastAsia="Times New Roman" w:hAnsi="Times New Roman"/>
          <w:sz w:val="18"/>
          <w:szCs w:val="18"/>
          <w:color w:val="auto"/>
        </w:rPr>
      </w:pPr>
    </w:p>
    <w:p>
      <w:pPr>
        <w:ind w:right="100" w:firstLine="436"/>
        <w:spacing w:after="0" w:line="282" w:lineRule="auto"/>
        <w:tabs>
          <w:tab w:leader="none" w:pos="7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and will not take, directly or indirectly, any action that is designed to or that has constituted or might reasonably be expected to cause or result in stabilization or manipulation of the price of the Offered Securities;</w:t>
      </w:r>
    </w:p>
    <w:p>
      <w:pPr>
        <w:spacing w:after="0" w:line="53" w:lineRule="exact"/>
        <w:rPr>
          <w:rFonts w:ascii="Times New Roman" w:cs="Times New Roman" w:eastAsia="Times New Roman" w:hAnsi="Times New Roman"/>
          <w:sz w:val="18"/>
          <w:szCs w:val="18"/>
          <w:color w:val="auto"/>
        </w:rPr>
      </w:pPr>
    </w:p>
    <w:p>
      <w:pPr>
        <w:ind w:firstLine="436"/>
        <w:spacing w:after="0" w:line="266" w:lineRule="auto"/>
        <w:tabs>
          <w:tab w:leader="none" w:pos="7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contract, agreement or understanding with any person (other than this Agreement) that would give rise to a valid claim against the Company or any Underwriter for a brokerage commission, finder’s fee or like payment in connection with the offering and sale of the Offered Securities;</w:t>
      </w:r>
    </w:p>
    <w:p>
      <w:pPr>
        <w:spacing w:after="0" w:line="67" w:lineRule="exact"/>
        <w:rPr>
          <w:rFonts w:ascii="Times New Roman" w:cs="Times New Roman" w:eastAsia="Times New Roman" w:hAnsi="Times New Roman"/>
          <w:sz w:val="18"/>
          <w:szCs w:val="18"/>
          <w:color w:val="auto"/>
        </w:rPr>
      </w:pPr>
    </w:p>
    <w:p>
      <w:pPr>
        <w:ind w:right="20" w:firstLine="436"/>
        <w:spacing w:after="0" w:line="266" w:lineRule="auto"/>
        <w:tabs>
          <w:tab w:leader="none" w:pos="7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relationship, direct or indirect, exists between or among the Company, on the one hand, and the directors, officers, stockholders, customers or suppliers of the Company, on the other, that is required by the Act to be described in the Registration Statement and the Prospectus and that is not so described in such documents and in the Registration Statement, the Pricing Disclosure Package and the Prospectus;</w:t>
      </w:r>
    </w:p>
    <w:p>
      <w:pPr>
        <w:spacing w:after="0" w:line="67" w:lineRule="exact"/>
        <w:rPr>
          <w:rFonts w:ascii="Times New Roman" w:cs="Times New Roman" w:eastAsia="Times New Roman" w:hAnsi="Times New Roman"/>
          <w:sz w:val="18"/>
          <w:szCs w:val="18"/>
          <w:color w:val="auto"/>
        </w:rPr>
      </w:pPr>
    </w:p>
    <w:p>
      <w:pPr>
        <w:ind w:right="140" w:firstLine="436"/>
        <w:spacing w:after="0" w:line="282" w:lineRule="auto"/>
        <w:tabs>
          <w:tab w:leader="none" w:pos="7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arrangements or documents which are required to be described in the Registration Statement or to be filed as exhibits thereto which have not been so described and filed as required;</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firstLine="436"/>
        <w:spacing w:after="0" w:line="261" w:lineRule="auto"/>
        <w:tabs>
          <w:tab w:leader="none" w:pos="7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director and officer of the Company, in their capacities as such, are in compliance, to the extent required, with all provisions of the Sarbanes-Oxley Act, and all rules and regulations promulgated thereunder applicable to the Company at such time, and the Company is taking steps designed to ensure that it will be in compliance, at all times, with the other provisions of the Sarbanes-Oxley Act when they become applicable to the Company;</w:t>
      </w:r>
    </w:p>
    <w:p>
      <w:pPr>
        <w:spacing w:after="0" w:line="71" w:lineRule="exact"/>
        <w:rPr>
          <w:rFonts w:ascii="Times New Roman" w:cs="Times New Roman" w:eastAsia="Times New Roman" w:hAnsi="Times New Roman"/>
          <w:sz w:val="18"/>
          <w:szCs w:val="18"/>
          <w:color w:val="auto"/>
        </w:rPr>
      </w:pPr>
    </w:p>
    <w:p>
      <w:pPr>
        <w:ind w:right="80" w:firstLine="436"/>
        <w:spacing w:after="0" w:line="282" w:lineRule="auto"/>
        <w:tabs>
          <w:tab w:leader="none" w:pos="7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included in the Registration Statement fairly presents the information called for in all material respects and has been prepared in accordance with the Commission’s rules and guidelines applicable thereto;</w:t>
      </w:r>
    </w:p>
    <w:p>
      <w:pPr>
        <w:spacing w:after="0" w:line="53"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 “experienced issuer,” as defined in FINRA Conduct Rule 5110;</w:t>
      </w:r>
    </w:p>
    <w:p>
      <w:pPr>
        <w:spacing w:after="0" w:line="117" w:lineRule="exact"/>
        <w:rPr>
          <w:rFonts w:ascii="Times New Roman" w:cs="Times New Roman" w:eastAsia="Times New Roman" w:hAnsi="Times New Roman"/>
          <w:sz w:val="18"/>
          <w:szCs w:val="18"/>
          <w:color w:val="auto"/>
        </w:rPr>
      </w:pPr>
    </w:p>
    <w:p>
      <w:pPr>
        <w:ind w:right="40" w:firstLine="436"/>
        <w:spacing w:after="0" w:line="266" w:lineRule="auto"/>
        <w:tabs>
          <w:tab w:leader="none" w:pos="7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forward-looking statement (within the meaning of Section 27A of the Act and Section 21E of the Exchange Act) included or incorporated by reference in any of the Registration Statement, the Pricing Prospectus or the Prospectus has been made or reaffirmed without a reasonable basis or has been disclosed other than in good faith;</w:t>
      </w:r>
    </w:p>
    <w:p>
      <w:pPr>
        <w:spacing w:after="0" w:line="67" w:lineRule="exact"/>
        <w:rPr>
          <w:rFonts w:ascii="Times New Roman" w:cs="Times New Roman" w:eastAsia="Times New Roman" w:hAnsi="Times New Roman"/>
          <w:sz w:val="18"/>
          <w:szCs w:val="18"/>
          <w:color w:val="auto"/>
        </w:rPr>
      </w:pPr>
    </w:p>
    <w:p>
      <w:pPr>
        <w:jc w:val="both"/>
        <w:ind w:right="200" w:firstLine="436"/>
        <w:spacing w:after="0" w:line="281" w:lineRule="auto"/>
        <w:tabs>
          <w:tab w:leader="none" w:pos="78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(including the Shares and Warrant Shares) is registered pursuant to Section 12(b) or 12(g) of the Exchange Act and are listed on Nasdaq, and the Company has taken no action designed to, or likely to have the effect of, terminating the registration of the Stock under the Exchange Act or delisting the Stock from the Nasdaq nor has the Company received any notification that the Commission or the Nasdaq is contemplating terminating such registration or listing. To the Company’s knowledge, it is in compliance with all applicable listing requirements of Nasdaq;</w:t>
      </w:r>
    </w:p>
    <w:p>
      <w:pPr>
        <w:spacing w:after="0" w:line="56" w:lineRule="exact"/>
        <w:rPr>
          <w:rFonts w:ascii="Times New Roman" w:cs="Times New Roman" w:eastAsia="Times New Roman" w:hAnsi="Times New Roman"/>
          <w:sz w:val="17"/>
          <w:szCs w:val="17"/>
          <w:color w:val="auto"/>
        </w:rPr>
      </w:pPr>
    </w:p>
    <w:p>
      <w:pPr>
        <w:ind w:right="100" w:firstLine="436"/>
        <w:spacing w:after="0" w:line="282" w:lineRule="auto"/>
        <w:tabs>
          <w:tab w:leader="none" w:pos="7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8" w:name="page19"/>
    <w:bookmarkEnd w:id="18"/>
    <w:p>
      <w:pPr>
        <w:jc w:val="both"/>
        <w:ind w:firstLine="436"/>
        <w:spacing w:after="0" w:line="266" w:lineRule="auto"/>
        <w:tabs>
          <w:tab w:leader="none" w:pos="8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Company nor any of its subsidiaries is a “covered foreign person,” as that term is defined in 31 C.F.R. § 850.209 as of the date of this Agreement. Neither the Company nor any of its subsidiaries currently engage, or have plans to engage, directly or indirectly, in a covered activity as defined in 31 C.F.R. 850.208 as of the date of this Agreement;</w:t>
      </w:r>
    </w:p>
    <w:p>
      <w:pPr>
        <w:spacing w:after="0" w:line="67" w:lineRule="exact"/>
        <w:rPr>
          <w:rFonts w:ascii="Times New Roman" w:cs="Times New Roman" w:eastAsia="Times New Roman" w:hAnsi="Times New Roman"/>
          <w:sz w:val="18"/>
          <w:szCs w:val="18"/>
          <w:color w:val="auto"/>
        </w:rPr>
      </w:pPr>
    </w:p>
    <w:p>
      <w:pPr>
        <w:ind w:right="80" w:firstLine="436"/>
        <w:spacing w:after="0" w:line="258" w:lineRule="auto"/>
        <w:tabs>
          <w:tab w:leader="none" w:pos="8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own any “margin securities” as that term is defined in Regulation U of the Board of Governors of the Federal Reserve System (the “Federal Reserve Board”), and none of the proceeds of the sale of the Offered Securities will be used, directly or indirectly, for the purpose of purchasing or carrying any margin security, for the purpose of reducing or retiring any indebtedness which was originally incurred to purchase or carry any margin security or for any other purpose which might cause any of the Securities to be considered a “purpose credit” within the meanings of Regulation T, U or X of the Federal Reserve Board; and</w:t>
      </w:r>
    </w:p>
    <w:p>
      <w:pPr>
        <w:spacing w:after="0" w:line="75" w:lineRule="exact"/>
        <w:rPr>
          <w:rFonts w:ascii="Times New Roman" w:cs="Times New Roman" w:eastAsia="Times New Roman" w:hAnsi="Times New Roman"/>
          <w:sz w:val="18"/>
          <w:szCs w:val="18"/>
          <w:color w:val="auto"/>
        </w:rPr>
      </w:pPr>
    </w:p>
    <w:p>
      <w:pPr>
        <w:ind w:firstLine="436"/>
        <w:spacing w:after="0" w:line="254" w:lineRule="auto"/>
        <w:tabs>
          <w:tab w:leader="none" w:pos="8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Pre-Funded Warrants have been duly authorized by the Company and, when executed and delivered by the Company, will be valid and binding agreements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The Warrant Shares have been duly authorized and validly reserved for issuance upon exercise of the Pre-Funded Warrants in a number sufficient to meet the current exercise requirements. The Warrant Shares, when issued and delivered upon exercise of the Pre-Funded Warrants and in accordance therewith, will be validly issued, fully paid and nonassessable, and the issuance of the Warrant Shares is not subject to any preemptive rights, rights of first refusal or other similar rights to subscribe for or purchase the Warrant Shares. The Pre-Funded Warrants (including the Warrant Shares) conform in all material respects to the description thereof contained in the Pricing Disclosure Package and the Prospectus.</w:t>
      </w:r>
    </w:p>
    <w:p>
      <w:pPr>
        <w:spacing w:after="0" w:line="84" w:lineRule="exact"/>
        <w:rPr>
          <w:sz w:val="20"/>
          <w:szCs w:val="20"/>
          <w:color w:val="auto"/>
        </w:rPr>
      </w:pPr>
    </w:p>
    <w:p>
      <w:pPr>
        <w:ind w:firstLine="436"/>
        <w:spacing w:after="0" w:line="253"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herein set forth, (a) the Company agrees to issue and sell to each of the Underwriters, and each of the Underwriters agrees, severally and not jointly, to purchase from the Company, at a purchase price per share of $5.64 and a purchase price per Pre-Funded Warrant of $5.639, the number of Firm Shares and Pre-Funded Warrants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the Representatives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9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The Company hereby grants to the Underwriters the right to purchase at their election up to 5,000,000 Optional Shares, at the purchase price per share set forth in the paragraph above,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the Representatives to the Company, given within a period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9" w:name="page20"/>
    <w:bookmarkEnd w:id="19"/>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30 calendar days after the date of this Agreement, setting forth the aggregate number of Optional Shares to be purchased and the date on which such Optional Shares are to be delivered, as determined by the Representatives but in no event earlier than the First Time of Delivery (as defined in Section 4 hereof) or, unless the Representatives and the Company otherwise agree in writing, earlier than one or later than ten business days after the date of such notice.</w:t>
      </w:r>
    </w:p>
    <w:p>
      <w:pPr>
        <w:spacing w:after="0" w:line="72" w:lineRule="exact"/>
        <w:rPr>
          <w:sz w:val="20"/>
          <w:szCs w:val="20"/>
          <w:color w:val="auto"/>
        </w:rPr>
      </w:pPr>
    </w:p>
    <w:p>
      <w:pPr>
        <w:ind w:right="720" w:firstLine="436"/>
        <w:spacing w:after="0" w:line="282" w:lineRule="auto"/>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authorization by the Representatives of the release of the Firm Securities, the several Underwriters propose to offer the Firm Securities for sale upon the terms and conditions set forth in the Pricing Disclosure Package and the Prospectus.</w:t>
      </w:r>
    </w:p>
    <w:p>
      <w:pPr>
        <w:spacing w:after="0" w:line="53" w:lineRule="exact"/>
        <w:rPr>
          <w:rFonts w:ascii="Times New Roman" w:cs="Times New Roman" w:eastAsia="Times New Roman" w:hAnsi="Times New Roman"/>
          <w:sz w:val="18"/>
          <w:szCs w:val="18"/>
          <w:color w:val="auto"/>
        </w:rPr>
      </w:pPr>
    </w:p>
    <w:p>
      <w:pPr>
        <w:ind w:right="20" w:firstLine="436"/>
        <w:spacing w:after="0" w:line="268"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Shares to be purchased by each Underwriter hereunder, in definitive or book-entry form, and in such authorized denominations and registered in such names as the Representatives may request upon at least twenty-four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twenty-four hours in advance. The Company will cause the certificates, if any, representing the Offered Securities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Securities, 9:30 a.m., New York City time, on June 26, 2026 or such other time and date as the Representatives and the Company may agree upon in writing, and, with respect to the Optional Shares, 9:30 a.m., New York City time, on the date specified by the Representatives in the written notice given by the Representatives of the Underwriters’ election to purchase such Optional Shares, or such other time and date as the Representatives and the Company may agree upon in writing. Such time and date for delivery of the Firm Securities is herein called the “First Time of Delivery,” such time and date for delivery of the Optional Shares, if not the First Time of Delivery, is herein called the “Second Time of Delivery,” and each such time and date for delivery is herein called a “Time of Delivery.” The Company shall deliver, or cause to be delivered, the Pre-Funded Warrants at the First Time of Delivery, against the irrevocable release of a wire transfer of immediately available funds for the amount of the purchase price therefor.</w:t>
      </w:r>
    </w:p>
    <w:p>
      <w:pPr>
        <w:spacing w:after="0" w:line="76" w:lineRule="exact"/>
        <w:rPr>
          <w:sz w:val="20"/>
          <w:szCs w:val="20"/>
          <w:color w:val="auto"/>
        </w:rPr>
      </w:pPr>
    </w:p>
    <w:p>
      <w:pPr>
        <w:ind w:firstLine="436"/>
        <w:spacing w:after="0" w:line="254"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to be delivered at each Time of Delivery by or on behalf of the parties hereto pursuant to Section 8 hereof, including the cross receipt for the Offered Securities and any additional documents requested by the Underwriters pursuant to Section 8(l) hereof, will be delivered at the offices of Goodwin Procter LLP, 620 Eighth Avenue, New York, New York, 10018 (the “Closing Location”), and the Offered Securities will be delivered at the Designated Office, all at such Time of Delivery. A meeting will be held at the Closing Location at 5:00 p.m., New York City time, on the New York Business Day immediately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pacing w:after="0" w:line="83" w:lineRule="exact"/>
        <w:rPr>
          <w:rFonts w:ascii="Times New Roman" w:cs="Times New Roman" w:eastAsia="Times New Roman" w:hAnsi="Times New Roman"/>
          <w:sz w:val="18"/>
          <w:szCs w:val="18"/>
          <w:color w:val="auto"/>
        </w:rPr>
      </w:pPr>
    </w:p>
    <w:p>
      <w:pPr>
        <w:jc w:val="both"/>
        <w:ind w:right="180" w:firstLine="436"/>
        <w:spacing w:after="0" w:line="261"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Company and the Representatives shall instruct purchasers of the Pre-Funded Warrants to make payment for the Pre-Funded Warrants on the First Time of Delivery to the Company by wire transfer in immediately available funds to the account specified by the Company at a purchase price of $5.999 per Pre-Funded Warrant, in lieu of payment by the Underwriters for such Pre-Funded Warrants, and the Company shall deliver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0" w:name="page21"/>
    <w:bookmarkEnd w:id="20"/>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Pre-Funded Warrants to such purchasers on the First Time of Delivery in definitive form against such payment, in lieu of the Company’s obligation to deliver such Pre-Funded Warrants to the Underwriters; provided that, the Underwriters shall withhold $0.36 per Pre-Funded Warrant with respect to such Pre-Funded Warrants as an offset effected by the Company of its claim for payment by the Underwriters to the Company for the Firm Securities and Optional Shares (only to the extent the Underwriters’ option under Section 2 hereof is exercised concurrently to close on the First Time of Delivery) against the Company’s obligation to pay the amount so withheld with respect to such Pre-Funded Warrants to the Underwriters. In the event that any purchaser of the Pre-Funded Warrants fails to make payment to the Company for all or part of the Pre-Funded Warrants on the First Time of Delivery, the Representatives shall either (i) make payment to the Company for such Pre-Funded Warrants at the combined purchase price specified in Section 2 or (ii) elect, by written notice to the Company, to receive Stock at the combined purchase price specified in Section 2 in lieu of all or a portion of such Pre-Funded Warrants contemplated to be sold under this Agreement.</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 The Company agrees with each of the Underwriters:</w:t>
      </w:r>
    </w:p>
    <w:p>
      <w:pPr>
        <w:spacing w:after="0" w:line="117" w:lineRule="exact"/>
        <w:rPr>
          <w:sz w:val="20"/>
          <w:szCs w:val="20"/>
          <w:color w:val="auto"/>
        </w:rPr>
      </w:pPr>
    </w:p>
    <w:p>
      <w:pPr>
        <w:ind w:firstLine="436"/>
        <w:spacing w:after="0" w:line="252" w:lineRule="auto"/>
        <w:tabs>
          <w:tab w:leader="none" w:pos="6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Prospectus in a form approved by the Representatives and to file such Prospectus pursuant to Rule 424(b) under the Act prior to the earlier of the (i) First Time of Delivery and (ii) the Commission’s close of business on the second business day following the execution and delivery of this Agreement, or, if applicable, such earlier time as may be required by Rule 430(a)(3) under the Act; to make no further amendment or any supplement to the Registration Statement, the Basic Prospectus or the Prospectus prior to the last Time of Delivery which shall be disapproved by the Representatives promptly after reasonable notice thereof; to advise the Representatives, promptly after it receives notice thereof, of the time when any amendment to the Registration Statement has been filed or becomes effective or any amendment or supplement to the Prospectus has been filed and to furnish the Representatives with copies thereof; to file promptly all material required to be filed by the Company with the Commission pursuant to Rule 433(d) under the Act;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Offered Securities; to advise the Representatives, promptly after it receives notice thereof, of the issuance by the Commission of any stop order or of any order preventing or suspending the use of any Preliminary Prospectus or other prospectus in respect of the Offered Securities, of any notice of objection of the Commission to the use of the Registration Statement or any post-effective amendment thereto pursuant to Rule 401(g)(2) under the Act, of the suspension of the qualification of the Offered Securities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 and in the event of any such issuance of a notice of objection, promptly to take such steps including, without limitation, amending the Registration Statement or filing a new registration statement, at its own expense, as may be necessary to permit offers and sales of the Offered Securities by the Underwriters (references herein to the Registration Statement shall include any such amendment or new registration statement);</w:t>
      </w:r>
    </w:p>
    <w:p>
      <w:pPr>
        <w:spacing w:after="0" w:line="81"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Rule 430B(h) under the Act, to prepare a form of prospectus in a form approved by the Representatives and to file such form of prospectus pursuant to Rule 424(b) under the Act not later than may be required by Rule 424(b) under the Act; and to make no further amendment or supplement to such form of prospectus which shall be disapproved by the Representatives promptly after reasonable notice thereof;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1" w:name="page22"/>
    <w:bookmarkEnd w:id="21"/>
    <w:p>
      <w:pPr>
        <w:ind w:right="160" w:firstLine="436"/>
        <w:spacing w:after="0" w:line="272" w:lineRule="auto"/>
        <w:tabs>
          <w:tab w:leader="none" w:pos="68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by the third anniversary (the “Renewal Deadline”) of the initial effective date of the Registration Statement, any of the Offered Securities remain unsold by the Underwriters, the Company will file, if it has not already done so and is eligible to do so, a new automatic shelf registration statement relating to the Offered Securities, in a form satisfactory to the Representatives. If at the Renewal Deadline the Company is no longer eligible to file an automatic shelf registration statement, the Company will, if it has not already done so, file a new shelf registration statement relating to the Offered Securities, in a form satisfactory to the Representatives and will use its best efforts to cause such registration statement to be declared effective within 180 days after the Renewal Deadline. The Company will take all other action necessary or appropriate to permit the public offering and sale of the Offered Securities to continue as contemplated in the expired registration statement relating to the Offered Securities. References herein to the Registration Statement shall include such new automatic shelf registration statement or such new shelf registration statement, as the case may be;</w:t>
      </w:r>
    </w:p>
    <w:p>
      <w:pPr>
        <w:spacing w:after="0" w:line="63" w:lineRule="exact"/>
        <w:rPr>
          <w:rFonts w:ascii="Times New Roman" w:cs="Times New Roman" w:eastAsia="Times New Roman" w:hAnsi="Times New Roman"/>
          <w:sz w:val="17"/>
          <w:szCs w:val="17"/>
          <w:color w:val="auto"/>
        </w:rPr>
      </w:pPr>
    </w:p>
    <w:p>
      <w:pPr>
        <w:ind w:firstLine="436"/>
        <w:spacing w:after="0" w:line="252"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10:00 a.m., New York City time, on the New York Business Day next succeeding the date of this Agreement (or such other time as may be agreed to by the Representatives and the Company) and from time to time, to furnish the Underwriters with written and electronic copies of the Prospectus in New York City in such quantities as the Representatives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Offered Securities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or to file under the Exchange Act any document incorporated by reference in the Prospectus in order to comply with the Act or the Exchange Act, to notify the Representatives and upon the Representatives’ request to file such document and to prepare and furnish without charge to each Underwriter and to any dealer in securities as many written and electronic copies as the Representatives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Offered Securities at any time nine months or more after the time of issue of the Prospectus, upon the Representatives’ request but at the expense of such Underwriter, to prepare and deliver to such Underwriter as many written and electronic copies as the Representatives may request of an amended or supplemented Prospectus complying with Section 10(a)(3) of the Act;</w:t>
      </w:r>
    </w:p>
    <w:p>
      <w:pPr>
        <w:spacing w:after="0" w:line="86" w:lineRule="exact"/>
        <w:rPr>
          <w:rFonts w:ascii="Times New Roman" w:cs="Times New Roman" w:eastAsia="Times New Roman" w:hAnsi="Times New Roman"/>
          <w:sz w:val="18"/>
          <w:szCs w:val="18"/>
          <w:color w:val="auto"/>
        </w:rPr>
      </w:pPr>
    </w:p>
    <w:p>
      <w:pPr>
        <w:jc w:val="both"/>
        <w:ind w:right="20" w:firstLine="436"/>
        <w:spacing w:after="0" w:line="261" w:lineRule="auto"/>
        <w:tabs>
          <w:tab w:leader="none" w:pos="6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its security 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(which need not be audited) complying with Section 11(a) of the Act and the rules and regulations of the Commission thereunder (including, at the option of the Company, Rule 158);</w:t>
      </w:r>
    </w:p>
    <w:p>
      <w:pPr>
        <w:spacing w:after="0" w:line="71" w:lineRule="exact"/>
        <w:rPr>
          <w:rFonts w:ascii="Times New Roman" w:cs="Times New Roman" w:eastAsia="Times New Roman" w:hAnsi="Times New Roman"/>
          <w:sz w:val="18"/>
          <w:szCs w:val="18"/>
          <w:color w:val="auto"/>
        </w:rPr>
      </w:pPr>
    </w:p>
    <w:p>
      <w:pPr>
        <w:ind w:right="100" w:firstLine="436"/>
        <w:spacing w:after="0" w:line="282" w:lineRule="auto"/>
        <w:tabs>
          <w:tab w:leader="none" w:pos="6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required Commission filing fees relating to the Offered Securities within the time required by Rule 456(b)(1) under the Act without regard to the proviso therein and otherwise in accordance with Rules 456(b) and 457(r) under the Act;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22" w:name="page23"/>
    <w:bookmarkEnd w:id="22"/>
    <w:p>
      <w:pPr>
        <w:ind w:left="4" w:right="60" w:firstLine="436"/>
        <w:spacing w:after="0" w:line="267" w:lineRule="auto"/>
        <w:tabs>
          <w:tab w:leader="none" w:pos="699"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period beginning from the date hereof and continuing to and including the date that is 60 days after the date of the Prospectus (the “Lock-Up Period”), not to (i) offer,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Offered Securities, including but not limited to any options or warrants to purchase shares of Stock or any securities that are convertible into or exchangeable for, or that represent the right to receive, Stock or any such substantially similar securities,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(other than the Offered Securities to be sold hereunder or pursuant to employee stock option plans, as described in the Pricing Prospectus and Prospectus, existing on, or upon the conversion or exchange of convertible or exchangeable securities outstanding as of, the date of this Agreement), or</w:t>
      </w:r>
    </w:p>
    <w:p>
      <w:pPr>
        <w:spacing w:after="0" w:line="5" w:lineRule="exact"/>
        <w:rPr>
          <w:rFonts w:ascii="Times New Roman" w:cs="Times New Roman" w:eastAsia="Times New Roman" w:hAnsi="Times New Roman"/>
          <w:sz w:val="17"/>
          <w:szCs w:val="17"/>
          <w:color w:val="auto"/>
        </w:rPr>
      </w:pPr>
    </w:p>
    <w:p>
      <w:pPr>
        <w:ind w:left="4" w:hanging="4"/>
        <w:spacing w:after="0" w:line="250" w:lineRule="auto"/>
        <w:tabs>
          <w:tab w:leader="none" w:pos="3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do any of the foregoing described in either (i) or (ii) above, in each case, without the Representatives’ prior written consent; provided, however, that the restrictions in the foregoing sentence shall not apply to (a) the Offered Securities to be sold hereunder and the delivery of the Warrant Shares upon exercise of the Pre-Funded Warrants; (b) any shares of Stock issued upon the exercise of outstanding warrants or upon conversion of convertible preferred stock outstanding on the date of this Agreement; (c) shares of Stock or any securities (including without limitation options, restricted stock or restricted stock units) convertible into, or exercisable for, shares of Stock pursuant to any employee stock option plan, incentive plan, stock plan, dividend reinvestment plan or otherwise in equity compensation arrangements in place as of the Applicable Time and as described in the Pricing Disclosure Package; (d) the grant of awards pursuant to employee equity-based compensation plans, incentive plans, stock plans, or other arrangements in place as of the Applicable Time and described in the Pricing Disclosure Package; (e) the filing of a registration statement on Form S-8 in connection with the registration of shares of Stock issuable under any employee equity-based compensation plan, incentive plan, stock plan, dividend reinvestment plan adopted and approved by the Company’s board of directors prior to the Applicable Time and described in the Pricing Disclosure Package; (f) the issuance of up to 5% of the outstanding shares of Stock in connection with the acquisition of the assets of, or a majority or controlling portion of the equity of, or a joint venture with another entity in connection with its acquisition by the Company of such entity;</w:t>
      </w:r>
    </w:p>
    <w:p>
      <w:pPr>
        <w:spacing w:after="0" w:line="4" w:lineRule="exact"/>
        <w:rPr>
          <w:rFonts w:ascii="Times New Roman" w:cs="Times New Roman" w:eastAsia="Times New Roman" w:hAnsi="Times New Roman"/>
          <w:sz w:val="18"/>
          <w:szCs w:val="18"/>
          <w:color w:val="auto"/>
        </w:rPr>
      </w:pPr>
    </w:p>
    <w:p>
      <w:pPr>
        <w:ind w:left="4" w:hanging="4"/>
        <w:spacing w:after="0" w:line="251" w:lineRule="auto"/>
        <w:tabs>
          <w:tab w:leader="none" w:pos="2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any director or officer of the Company pursuant to Rule 10b5-1 under the Exchange Act for the transfer of shares of Stock, provided that (i) such plan does not provide for the transfer of shares of Stock during the Lock-Up Period and (ii) no public report or filing shall be made during the Lock-Up Period unless required by the Exchange Act and such report or filing shall include a statement to the effect that no transfer of Stock may be made under such plan during the Lock-Up Period and (h) sales of Stock pursuant to that Sales Agreement, dated October 5, 2021, as amended to date, by and among the Company, Goldman Sachs &amp; Co. LLC and Wells Fargo Securities, LLC, provided, that no sales shall be made until the earlier of the (i) exercise in full by the Underwriters of their option to purchase the Optional Shares and (ii) 30 days from the date of the Prospectus; provided that each newly appointed director or executive officer that is a recipient of any shares of Stock issued or sold pursuant to clause (c) or (d) or each recipient of any Stock issued or sold pursuant to clause (f) above executes and delivers to the Representatives, prior to such issuance or sale (as the case may be), an agreement having substantially the same terms as the lock-up letters described in Section 8(j) of this Agreement.</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70" w:right="479" w:bottom="1440" w:gutter="0" w:footer="0" w:header="0"/>
        </w:sectPr>
      </w:pPr>
    </w:p>
    <w:bookmarkStart w:id="23" w:name="page24"/>
    <w:bookmarkEnd w:id="23"/>
    <w:p>
      <w:pPr>
        <w:ind w:left="4" w:right="20" w:firstLine="436"/>
        <w:spacing w:after="0" w:line="253" w:lineRule="auto"/>
        <w:tabs>
          <w:tab w:leader="none" w:pos="69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a period of three years from the effective date of the Registration Statement, so long as the Company is subject to the 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for such quarter in reasonable detail; provided that no reports, documents or other information need to be furnished pursuant to this</w:t>
      </w:r>
    </w:p>
    <w:p>
      <w:pPr>
        <w:spacing w:after="0" w:line="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5(h) to the extent that they are available on EDGAR;</w:t>
      </w:r>
    </w:p>
    <w:p>
      <w:pPr>
        <w:spacing w:after="0" w:line="98" w:lineRule="exact"/>
        <w:rPr>
          <w:rFonts w:ascii="Times New Roman" w:cs="Times New Roman" w:eastAsia="Times New Roman" w:hAnsi="Times New Roman"/>
          <w:sz w:val="18"/>
          <w:szCs w:val="18"/>
          <w:color w:val="auto"/>
        </w:rPr>
      </w:pPr>
    </w:p>
    <w:p>
      <w:pPr>
        <w:ind w:left="4" w:right="120" w:firstLine="436"/>
        <w:spacing w:after="0" w:line="270" w:lineRule="auto"/>
        <w:tabs>
          <w:tab w:leader="none" w:pos="659"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 period of three years from the effective date of the Registration Statement, so long as the Company is subject to the reporting requirements of either Section 13 or Section 15(d) of the Exchange Act, to furnish to the Representatives copies of all reports or other communications (financial or other) furnished to stockholders, and to deliver to the Representatives (i) as soon as they are available, copies of any reports and financial statements furnished to or filed with the Commission or any national securities exchange on which any class of securities of the Company is listed; and</w:t>
      </w:r>
    </w:p>
    <w:p>
      <w:pPr>
        <w:spacing w:after="0" w:line="2" w:lineRule="exact"/>
        <w:rPr>
          <w:rFonts w:ascii="Times New Roman" w:cs="Times New Roman" w:eastAsia="Times New Roman" w:hAnsi="Times New Roman"/>
          <w:sz w:val="17"/>
          <w:szCs w:val="17"/>
          <w:color w:val="auto"/>
        </w:rPr>
      </w:pPr>
    </w:p>
    <w:p>
      <w:pPr>
        <w:jc w:val="both"/>
        <w:ind w:left="4" w:right="160" w:hanging="4"/>
        <w:spacing w:after="0" w:line="253" w:lineRule="auto"/>
        <w:tabs>
          <w:tab w:leader="none" w:pos="26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additional information concerning the business and financial condition of the Company as the Representatives may from time to time reasonably request (such financial statements to be on a consolidated basis to the extent the accounts of the Company and any subsidiaries are consolidated in reports furnished to its stockholders generally or to the Commission); provided that no reports, documents or other information need to be furnished pursuant to this Section 5(i)to the extent that they are available on EDGAR;</w:t>
      </w:r>
    </w:p>
    <w:p>
      <w:pPr>
        <w:spacing w:after="0" w:line="80" w:lineRule="exact"/>
        <w:rPr>
          <w:rFonts w:ascii="Times New Roman" w:cs="Times New Roman" w:eastAsia="Times New Roman" w:hAnsi="Times New Roman"/>
          <w:sz w:val="18"/>
          <w:szCs w:val="18"/>
          <w:color w:val="auto"/>
        </w:rPr>
      </w:pPr>
    </w:p>
    <w:p>
      <w:pPr>
        <w:ind w:left="4" w:right="100" w:firstLine="436"/>
        <w:spacing w:after="0" w:line="282" w:lineRule="auto"/>
        <w:tabs>
          <w:tab w:leader="none" w:pos="65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the net proceeds received by it from the sale of the Offered Securities pursuant to this Agreement in the manner specified in the Pricing Prospectus and the Prospectus under the caption “Use of Proceeds”;</w:t>
      </w:r>
    </w:p>
    <w:p>
      <w:pPr>
        <w:spacing w:after="0" w:line="53"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date of this Agreement, the Company shall have delivered to the Underwriters a certificate satisfying the beneficial ownership due diligence requirements of the Financial Crimes Enforcement Network from the Company in form and substance reasonably satisfactory to the Underwriters, along with such additional supporting documentation as the Underwriters have requested or may reasonably request in connection with the verification of the foregoing certificate;</w:t>
      </w:r>
    </w:p>
    <w:p>
      <w:pPr>
        <w:spacing w:after="0" w:line="71" w:lineRule="exact"/>
        <w:rPr>
          <w:rFonts w:ascii="Times New Roman" w:cs="Times New Roman" w:eastAsia="Times New Roman" w:hAnsi="Times New Roman"/>
          <w:sz w:val="18"/>
          <w:szCs w:val="18"/>
          <w:color w:val="auto"/>
        </w:rPr>
      </w:pPr>
    </w:p>
    <w:p>
      <w:pPr>
        <w:ind w:left="4" w:right="160" w:firstLine="436"/>
        <w:spacing w:after="0" w:line="261" w:lineRule="auto"/>
        <w:tabs>
          <w:tab w:leader="none" w:pos="65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Offered Securities (the “License”); provided, however, that the License shall be used solely for the purpose described above, is granted without any fee and may not be assigned or transferred;</w:t>
      </w:r>
    </w:p>
    <w:p>
      <w:pPr>
        <w:spacing w:after="0" w:line="71"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its best efforts to list, subject to notice of issuance, the Shares and Warrant Shares on Nasdaq;</w:t>
      </w:r>
    </w:p>
    <w:p>
      <w:pPr>
        <w:spacing w:after="0" w:line="117" w:lineRule="exact"/>
        <w:rPr>
          <w:rFonts w:ascii="Times New Roman" w:cs="Times New Roman" w:eastAsia="Times New Roman" w:hAnsi="Times New Roman"/>
          <w:sz w:val="18"/>
          <w:szCs w:val="18"/>
          <w:color w:val="auto"/>
        </w:rPr>
      </w:pPr>
    </w:p>
    <w:p>
      <w:pPr>
        <w:ind w:left="4" w:right="20" w:firstLine="436"/>
        <w:spacing w:after="0" w:line="256" w:lineRule="auto"/>
        <w:tabs>
          <w:tab w:leader="none" w:pos="69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Underwriters acquire knowledge, as that term is defined in 31 C.F.R. § 850.216 as of the date of this Agreement, at any time, including before or after Closing, that the transactions contemplated by this Agreement are or were a “covered transaction” as defined in 31 C.F.R. § 850.210 as of the date of this Agreement, the Company shall, and shall cause its respective controlled Affiliates to, promptly provide to the Underwriters all information and documentary materials as may be reasonably necessary, proper, or advisable for the Underwriters to fully comply with Executive Order 14105 on </w:t>
      </w:r>
      <w:r>
        <w:rPr>
          <w:rFonts w:ascii="Times New Roman" w:cs="Times New Roman" w:eastAsia="Times New Roman" w:hAnsi="Times New Roman"/>
          <w:sz w:val="18"/>
          <w:szCs w:val="18"/>
          <w:i w:val="1"/>
          <w:iCs w:val="1"/>
          <w:color w:val="auto"/>
        </w:rPr>
        <w:t>Addressing United States Investments in Certain National Security Technologies and Products in Countries of Concern</w:t>
      </w:r>
      <w:r>
        <w:rPr>
          <w:rFonts w:ascii="Times New Roman" w:cs="Times New Roman" w:eastAsia="Times New Roman" w:hAnsi="Times New Roman"/>
          <w:sz w:val="18"/>
          <w:szCs w:val="18"/>
          <w:color w:val="auto"/>
        </w:rPr>
        <w:t>, 88 Fed. Reg. 54867 (Aug. 9, 2023), including all implementing regulations thereof as set forth in the United States Code of Federal Regulations (“C.F.R.”);</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24" w:name="page25"/>
    <w:bookmarkEnd w:id="24"/>
    <w:p>
      <w:pPr>
        <w:ind w:right="160" w:firstLine="436"/>
        <w:spacing w:after="0" w:line="266"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at all times while the Company is subject to the reporting requirements of Section 13 or 15(d) of the Exchange Act and any Pre-Funded Warrants are outstanding, use its best efforts to maintain a registration statement covering the issuance and sale of the Warrant Shares; and</w:t>
      </w:r>
    </w:p>
    <w:p>
      <w:pPr>
        <w:spacing w:after="0" w:line="67" w:lineRule="exact"/>
        <w:rPr>
          <w:rFonts w:ascii="Times New Roman" w:cs="Times New Roman" w:eastAsia="Times New Roman" w:hAnsi="Times New Roman"/>
          <w:sz w:val="18"/>
          <w:szCs w:val="18"/>
          <w:color w:val="auto"/>
        </w:rPr>
      </w:pPr>
    </w:p>
    <w:p>
      <w:pPr>
        <w:ind w:right="260" w:firstLine="436"/>
        <w:spacing w:after="0" w:line="261"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all times while any Pre-Funded Warrants are outstanding, reserve and keep available out of the aggregate of its authorized but unissued and otherwise unreserved shares of Stock, solely for the purpose of enabling it to issue Warrant Shares upon exercise of such Pre-Funded Warrants, the number of Warrant Shares that are initially issuable and deliverable upon the exercise of the then-outstanding Pre-Funded Warrants.</w:t>
      </w:r>
    </w:p>
    <w:p>
      <w:pPr>
        <w:spacing w:after="0" w:line="72" w:lineRule="exact"/>
        <w:rPr>
          <w:sz w:val="20"/>
          <w:szCs w:val="20"/>
          <w:color w:val="auto"/>
        </w:rPr>
      </w:pPr>
    </w:p>
    <w:p>
      <w:pPr>
        <w:ind w:firstLine="436"/>
        <w:spacing w:after="0" w:line="258" w:lineRule="auto"/>
        <w:tabs>
          <w:tab w:leader="none" w:pos="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represents and agrees that, without the prior consent of the Representatives, it has not made and will not make any offer relating to the Offered Securities that would constitute a “free writing prospectus” as defined in Rule 405 under the Act; each Underwriter represents and agrees that, without the prior consent of the Company and the Representatives, it has not made and will not make any offer relating to the Offered Securities that would constitute a free writing prospectus required to be filed with the Commission; any such free writing prospectus the use of which has been consented to by the Company and the Representatives is listed on Schedule II(a) or Schedule II(c) hereto;</w:t>
      </w:r>
    </w:p>
    <w:p>
      <w:pPr>
        <w:spacing w:after="0" w:line="75" w:lineRule="exact"/>
        <w:rPr>
          <w:sz w:val="20"/>
          <w:szCs w:val="20"/>
          <w:color w:val="auto"/>
        </w:rPr>
      </w:pPr>
    </w:p>
    <w:p>
      <w:pPr>
        <w:ind w:right="40" w:firstLine="436"/>
        <w:spacing w:after="0" w:line="266"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roadshow;</w:t>
      </w:r>
    </w:p>
    <w:p>
      <w:pPr>
        <w:spacing w:after="0" w:line="67" w:lineRule="exact"/>
        <w:rPr>
          <w:rFonts w:ascii="Times New Roman" w:cs="Times New Roman" w:eastAsia="Times New Roman" w:hAnsi="Times New Roman"/>
          <w:sz w:val="18"/>
          <w:szCs w:val="18"/>
          <w:color w:val="auto"/>
        </w:rPr>
      </w:pPr>
    </w:p>
    <w:p>
      <w:pPr>
        <w:ind w:firstLine="436"/>
        <w:spacing w:after="0" w:line="254" w:lineRule="auto"/>
        <w:tabs>
          <w:tab w:leader="none" w:pos="68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provided, however, that this covenant shall not apply to any statements or omissions in an Issuer Free Writing Prospectus or Written Testing-the-Waters Communication prepared or authorized by the Company made in reliance upon and in conformity with the Underwriter Information;</w:t>
      </w:r>
    </w:p>
    <w:p>
      <w:pPr>
        <w:spacing w:after="0" w:line="80" w:lineRule="exact"/>
        <w:rPr>
          <w:rFonts w:ascii="Times New Roman" w:cs="Times New Roman" w:eastAsia="Times New Roman" w:hAnsi="Times New Roman"/>
          <w:sz w:val="18"/>
          <w:szCs w:val="18"/>
          <w:color w:val="auto"/>
        </w:rPr>
      </w:pPr>
    </w:p>
    <w:p>
      <w:pPr>
        <w:ind w:right="120" w:firstLine="436"/>
        <w:spacing w:after="0" w:line="274" w:lineRule="auto"/>
        <w:tabs>
          <w:tab w:leader="none" w:pos="69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or (a)(8) under the Act; and (ii) it has not distributed, or authorized any other person to distribute, any Written Testing-the-Waters Communications, other than those distributed with the prior consent of the Representatives that are listed on Schedule III(d) hereto; and the Company reconfirms that the Underwriters have been authorized to act on its behalf in engaging in Testing-the-Waters Communications; and</w:t>
      </w:r>
    </w:p>
    <w:p>
      <w:pPr>
        <w:spacing w:after="0" w:line="64" w:lineRule="exact"/>
        <w:rPr>
          <w:rFonts w:ascii="Times New Roman" w:cs="Times New Roman" w:eastAsia="Times New Roman" w:hAnsi="Times New Roman"/>
          <w:sz w:val="17"/>
          <w:szCs w:val="17"/>
          <w:color w:val="auto"/>
        </w:rPr>
      </w:pPr>
    </w:p>
    <w:p>
      <w:pPr>
        <w:ind w:right="180" w:firstLine="436"/>
        <w:spacing w:after="0" w:line="266"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represents and agrees that any Written Testing-the-Waters Communications undertaken by it were with entities that such Underwriter reasonably believes are qualified institutional buyers as defined in Rule 144A under the Act or institutions that are accredited investors as defined in Rule 501(a)(1), (a)(2), (a)(3), (a)(7) or (a)(8) under the Act.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5" w:name="page26"/>
    <w:bookmarkEnd w:id="25"/>
    <w:p>
      <w:pPr>
        <w:ind w:left="4" w:firstLine="436"/>
        <w:spacing w:after="0" w:line="251" w:lineRule="auto"/>
        <w:tabs>
          <w:tab w:leader="none" w:pos="62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covenants and agrees with the several Underwriters that the Company will pay or cause to be paid the following: (i) the fees, disbursements and expenses of the Company’s counsel and accountants in connection with the registration of the Offered Securities under the Act and all other expenses in connection with the preparation, printing, reproduction and filing of the Registration Statement, the Basic Prospectus,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any Blue Sky Memorandum, closing documents (including any compilations thereof) and any other documents in connection with the offering, purchase, sale and delivery of the Offered Securities; (iii) all expenses in connection with the qualification of the Offered Securities for offering and sale under state securities laws as provided in Section 5(b) hereof, including the documented fees and disbursements of counsel for the Underwriters in connection with such qualification and in connection with the Blue Sky survey(s); (iv) the costs and expenses of the Company relating to investor presentations on any “road show” undertaken in connection with the marketing of the offering of the Offered Securities, including, without limitation, expenses associated with the preparation or dissemination of any electronic roadshow, expenses associated with the production of roadshow slides and graphics, fees and expenses of any consultants engaged in connection with the roadshow presentations (with the prior approval of the Company), travel and lodging expenses of the representatives and officers of the Company and any such consultants, and the cost of any aircraft chartered in connection with the roadshow; (v) all fees and expenses in connection with listing the Shares and Warrant Shares on Nasdaq; (vi) the filing fees incident to, and the documented fees and disbursements of counsel for the Underwriters in connection with, any required reviews by FINRA of the terms of the sale of the Offered Securities (such fees and expenses of counsel pursuant to clauses (iii) and</w:t>
      </w:r>
    </w:p>
    <w:p>
      <w:pPr>
        <w:spacing w:after="0" w:line="10" w:lineRule="exact"/>
        <w:rPr>
          <w:rFonts w:ascii="Times New Roman" w:cs="Times New Roman" w:eastAsia="Times New Roman" w:hAnsi="Times New Roman"/>
          <w:sz w:val="18"/>
          <w:szCs w:val="18"/>
          <w:color w:val="auto"/>
        </w:rPr>
      </w:pPr>
    </w:p>
    <w:p>
      <w:pPr>
        <w:ind w:left="4" w:right="60" w:hanging="4"/>
        <w:spacing w:after="0" w:line="252" w:lineRule="auto"/>
        <w:tabs>
          <w:tab w:leader="none" w:pos="30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aggregate amount not to exceed $20,000); (vii) the cost of preparing stock certificates; (viii) the cost and charges of any transfer agent or registrar; and (ix) all other costs and expenses incident to the performance of its obligations hereunder which are not otherwise specifically provided for in this Section. It is understood, however, that, except as provided in this Section, and Sections 9 and 12 hereof, the Underwriters will pay all of their own costs and expenses, including the fees of their counsel, transfer taxes on resale of any of the Offered Securities by them, and any advertising expenses connected with any offers they may make; provided, however, that the Underwriters and the Company shall each pay 50% of the cost of chartering any aircraft to be used by both the Company and the Underwriters in connection with the roadshow.</w:t>
      </w:r>
    </w:p>
    <w:p>
      <w:pPr>
        <w:spacing w:after="0" w:line="81" w:lineRule="exact"/>
        <w:rPr>
          <w:rFonts w:ascii="Times New Roman" w:cs="Times New Roman" w:eastAsia="Times New Roman" w:hAnsi="Times New Roman"/>
          <w:sz w:val="18"/>
          <w:szCs w:val="18"/>
          <w:color w:val="auto"/>
        </w:rPr>
      </w:pPr>
    </w:p>
    <w:p>
      <w:pPr>
        <w:ind w:left="4" w:right="60" w:firstLine="436"/>
        <w:spacing w:after="0" w:line="261" w:lineRule="auto"/>
        <w:tabs>
          <w:tab w:leader="none" w:pos="62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Underwriters hereunder, as to the Offered Securities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spacing w:after="0" w:line="72" w:lineRule="exact"/>
        <w:rPr>
          <w:sz w:val="20"/>
          <w:szCs w:val="20"/>
          <w:color w:val="auto"/>
        </w:rPr>
      </w:pPr>
    </w:p>
    <w:p>
      <w:pPr>
        <w:jc w:val="both"/>
        <w:ind w:left="4" w:right="80" w:firstLine="436"/>
        <w:spacing w:after="0" w:line="261" w:lineRule="auto"/>
        <w:tabs>
          <w:tab w:leader="none" w:pos="68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shall have been filed with the Commission pursuant to Rule 424(b) under the Act within the applicable time period prescribed for such filings by the rules and regulations under the Act and in accordance with Section 5(a) hereof; all materials required to be filed by the Company pursuant to Rule 433(d) under the Act shall have been filed with the Commission within the applicable time period prescribed for such filing by Rule 433; no stop order suspending the effectiveness of the Registration Statement or any part thereof shall have</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4"/>
          </w:cols>
          <w:pgMar w:left="436" w:top="270" w:right="479" w:bottom="1440" w:gutter="0" w:footer="0" w:header="0"/>
        </w:sectPr>
      </w:pPr>
    </w:p>
    <w:bookmarkStart w:id="26" w:name="page27"/>
    <w:bookmarkEnd w:id="26"/>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been issued and no proceeding for that purpose or pursuant to Section 8A of the Act shall have been initiated or threatened by the Commission and no notice of objection of the Commission to the use of the Registration Statement or any post-effective amendment thereto pursuant to Rule 401(g)(2) under the Act shall have been received; no stop order suspending or preventing the use of the Pricing Prospectus, Prospectus or any Issuer Free Writing Prospectus shall have been issued or threatened by the Commission; and all requests for additional information on the part of the Commission shall have been complied with to the Representatives’ reasonable satisfaction;</w:t>
      </w:r>
    </w:p>
    <w:p>
      <w:pPr>
        <w:spacing w:after="0" w:line="75" w:lineRule="exact"/>
        <w:rPr>
          <w:sz w:val="20"/>
          <w:szCs w:val="20"/>
          <w:color w:val="auto"/>
        </w:rPr>
      </w:pPr>
    </w:p>
    <w:p>
      <w:pPr>
        <w:ind w:right="20" w:firstLine="436"/>
        <w:spacing w:after="0" w:line="266"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Goodwin Procter LLP, counsel for the Underwriters, shall have furnished to the Representatives their written opinion and negative assurance letter, each dated such Time of Delivery, in form and substance satisfactory to the Representatives, and such counsel shall have received such papers and information as they may reasonably request to enable them to pass upon such matters;</w:t>
      </w:r>
    </w:p>
    <w:p>
      <w:pPr>
        <w:spacing w:after="0" w:line="67" w:lineRule="exact"/>
        <w:rPr>
          <w:rFonts w:ascii="Times New Roman" w:cs="Times New Roman" w:eastAsia="Times New Roman" w:hAnsi="Times New Roman"/>
          <w:sz w:val="18"/>
          <w:szCs w:val="18"/>
          <w:color w:val="auto"/>
        </w:rPr>
      </w:pPr>
    </w:p>
    <w:p>
      <w:pPr>
        <w:ind w:right="340" w:firstLine="436"/>
        <w:spacing w:after="0" w:line="282" w:lineRule="auto"/>
        <w:tabs>
          <w:tab w:leader="none" w:pos="6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Cooley LLP, counsel for the Company, shall have furnished to the Representatives their written opinion and negative assurance letter, each dated such Time of Delivery, in form and substance satisfactory to the Representatives;</w:t>
      </w:r>
    </w:p>
    <w:p>
      <w:pPr>
        <w:spacing w:after="0" w:line="53" w:lineRule="exact"/>
        <w:rPr>
          <w:rFonts w:ascii="Times New Roman" w:cs="Times New Roman" w:eastAsia="Times New Roman" w:hAnsi="Times New Roman"/>
          <w:sz w:val="18"/>
          <w:szCs w:val="18"/>
          <w:color w:val="auto"/>
        </w:rPr>
      </w:pPr>
    </w:p>
    <w:p>
      <w:pPr>
        <w:ind w:right="360" w:firstLine="436"/>
        <w:spacing w:after="0" w:line="282"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Fenwick &amp; West LLP, intellectual property counsel for the Company, shall have furnished to the Representatives their written opinion and negative assurance letter each dated such Time of Delivery, in form and substance satisfactory to the Representatives;</w:t>
      </w:r>
    </w:p>
    <w:p>
      <w:pPr>
        <w:spacing w:after="0" w:line="5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the Prospectus at a time substantially concurrent with the execution of this Agreement, on the effective date of any</w:t>
      </w:r>
    </w:p>
    <w:p>
      <w:pPr>
        <w:spacing w:after="0" w:line="27"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post-effective amendment to the Registration Statement filed subsequent to the date of this Agreement and also at each Time of Delivery, Deloitte &amp; Touche LLP shall have furnished to the Representatives a letter or letters, dated the respective dates of delivery thereof, in form and substance satisfactory to the Representatives;</w:t>
      </w:r>
    </w:p>
    <w:p>
      <w:pPr>
        <w:spacing w:after="0" w:line="78" w:lineRule="exact"/>
        <w:rPr>
          <w:sz w:val="20"/>
          <w:szCs w:val="20"/>
          <w:color w:val="auto"/>
        </w:rPr>
      </w:pPr>
    </w:p>
    <w:p>
      <w:pPr>
        <w:ind w:firstLine="436"/>
        <w:spacing w:after="0" w:line="252" w:lineRule="auto"/>
        <w:tabs>
          <w:tab w:leader="none" w:pos="6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shall not have sustained since the date of the latest audited financial statements included or incorporated by reference in the Pricing Prospectus and the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the Prospectus, and (ii) since the respective dates as of which information is given in the Pricing Prospectus and the Prospectus there shall not have been any change in the capital stock (other than as a result of the exercise, vesting, settlement or forfeiture of stock options or restricted stock units (including any “net” or “cashless” exercises or settlements), or the award of stock options, restricted stock units, restricted stock or any other equity awards in the ordinary course of business pursuant to the Company’s equity plans that are described in the Pricing Prospectus or the issuance of stock upon conversion or exercise of Company securities as described in the Pricing Prospectus) or the issuance of stock upon conversion, vesting, settlement, exercise or exchange of Company securities as described in the Pricing Prospectus or the Prospectus or long-term debt of the Company or any change or effect, or any development involving a prospective change or effect, in or affecting (x) the business, properties, general affairs, management, financial position, stockholders’ equity, prospects or results of operations of the Company, except as set forth or contemplated in the Pricing Prospectus and the Prospectus, or (y) the ability of the Company to perform its obligations under this Agreement, including the issuance and sale of the Offered Securities, or to consummate the transactions contemplated in the Pricing Prospectus and the Prospectus, the effect of which, in any such case described in clause (i) or (ii), is in the Representatives’ judgment so material and adverse as to make it impracticable or inadvisable to proceed with the public offering or the delivery of the Offered Securities being delivered at such Time of Delivery on the terms and in the manner contemplated in the Pricing Prospectus and the Prospectus;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27" w:name="page28"/>
    <w:bookmarkEnd w:id="27"/>
    <w:p>
      <w:pPr>
        <w:ind w:left="4" w:right="380" w:firstLine="436"/>
        <w:spacing w:after="0" w:line="276" w:lineRule="auto"/>
        <w:tabs>
          <w:tab w:leader="none" w:pos="699"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or after the Applicable Time (i) no downgrading shall have occurred in the rating accorded the Company’s debt securities by any “nationally recognized statistical rating organization,” as that term is defined by the Commission for purposes of Rule 436(g)(2) under the Act, and</w:t>
      </w:r>
    </w:p>
    <w:p>
      <w:pPr>
        <w:ind w:left="4" w:right="120" w:hanging="4"/>
        <w:spacing w:after="0" w:line="260" w:lineRule="auto"/>
        <w:tabs>
          <w:tab w:leader="none" w:pos="26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organization shall have publicly announced that it has under surveillance or review, with possible negative implications, its rating of any of the Company’s debt securities;</w:t>
      </w:r>
    </w:p>
    <w:p>
      <w:pPr>
        <w:spacing w:after="0" w:line="73"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9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Applicable Time there shall not have occurred any of the following: (i) a suspension or material limitation in trading in securities generally on Nasdaq or the New York Stock Exchange; (ii) a suspension or material limitation in trading in the Company’s securities on Nasdaq;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Representatives’ judgment makes it impracticable or inadvisable to proceed with the public offering or the delivery of the Offered Securities being delivered at such Time of Delivery on the terms and in the manner contemplated in the Pricing Prospectus and the Prospectus;</w:t>
      </w:r>
    </w:p>
    <w:p>
      <w:pPr>
        <w:spacing w:after="0" w:line="83"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and Warrant Shares to be sold at such Time of Delivery shall have been duly listed for quotation on Nasdaq;</w:t>
      </w:r>
    </w:p>
    <w:p>
      <w:pPr>
        <w:spacing w:after="0" w:line="117" w:lineRule="exact"/>
        <w:rPr>
          <w:rFonts w:ascii="Times New Roman" w:cs="Times New Roman" w:eastAsia="Times New Roman" w:hAnsi="Times New Roman"/>
          <w:sz w:val="18"/>
          <w:szCs w:val="18"/>
          <w:color w:val="auto"/>
        </w:rPr>
      </w:pPr>
    </w:p>
    <w:p>
      <w:pPr>
        <w:ind w:left="4" w:right="360" w:firstLine="436"/>
        <w:spacing w:after="0" w:line="282" w:lineRule="auto"/>
        <w:tabs>
          <w:tab w:leader="none" w:pos="65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and delivered to the Underwriters executed copies of an agreement from each director and officer of the Company, substantially to the effect set forth in Annex I hereto in form and substance satisfactory to the Representatives;</w:t>
      </w:r>
    </w:p>
    <w:p>
      <w:pPr>
        <w:spacing w:after="0" w:line="53" w:lineRule="exact"/>
        <w:rPr>
          <w:rFonts w:ascii="Times New Roman" w:cs="Times New Roman" w:eastAsia="Times New Roman" w:hAnsi="Times New Roman"/>
          <w:sz w:val="18"/>
          <w:szCs w:val="18"/>
          <w:color w:val="auto"/>
        </w:rPr>
      </w:pPr>
    </w:p>
    <w:p>
      <w:pPr>
        <w:ind w:left="4" w:right="140" w:firstLine="436"/>
        <w:spacing w:after="0" w:line="282" w:lineRule="auto"/>
        <w:tabs>
          <w:tab w:leader="none" w:pos="69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complied with the provisions of Section 5(d) hereof with respect to the furnishing of prospectuses on the New York Business Day next succeeding the date of this Agreement; and</w:t>
      </w:r>
    </w:p>
    <w:p>
      <w:pPr>
        <w:spacing w:after="0" w:line="53" w:lineRule="exact"/>
        <w:rPr>
          <w:rFonts w:ascii="Times New Roman" w:cs="Times New Roman" w:eastAsia="Times New Roman" w:hAnsi="Times New Roman"/>
          <w:sz w:val="18"/>
          <w:szCs w:val="18"/>
          <w:color w:val="auto"/>
        </w:rPr>
      </w:pPr>
    </w:p>
    <w:p>
      <w:pPr>
        <w:ind w:left="4" w:firstLine="436"/>
        <w:spacing w:after="0" w:line="261" w:lineRule="auto"/>
        <w:tabs>
          <w:tab w:leader="none" w:pos="65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or caused to be furnished to the Representatives at such Time of Delivery certificates of officers of the Company satisfactory to the Representatives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(f) of this Section and as to such other matters as the Representatives may reasonably request.</w:t>
      </w:r>
    </w:p>
    <w:p>
      <w:pPr>
        <w:spacing w:after="0" w:line="72" w:lineRule="exact"/>
        <w:rPr>
          <w:sz w:val="20"/>
          <w:szCs w:val="20"/>
          <w:color w:val="auto"/>
        </w:rPr>
      </w:pPr>
    </w:p>
    <w:p>
      <w:pPr>
        <w:ind w:left="4" w:right="120" w:firstLine="436"/>
        <w:spacing w:after="0" w:line="254" w:lineRule="auto"/>
        <w:tabs>
          <w:tab w:leader="none" w:pos="6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Basic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4"/>
          </w:cols>
          <w:pgMar w:left="436" w:top="270" w:right="479" w:bottom="1440" w:gutter="0" w:footer="0" w:header="0"/>
        </w:sectPr>
      </w:pPr>
    </w:p>
    <w:bookmarkStart w:id="28" w:name="page29"/>
    <w:bookmarkEnd w:id="28"/>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Basic Prospectus, the Pricing Prospectus or the Prospectus, or any amendment or supplement thereto, or any Issuer Free Writing Prospectus, any roadshow or any Testing-the-Waters Communication, in reliance upon and in conformity with the Underwriter Information.</w:t>
      </w:r>
    </w:p>
    <w:p>
      <w:pPr>
        <w:spacing w:after="0" w:line="74" w:lineRule="exact"/>
        <w:rPr>
          <w:sz w:val="20"/>
          <w:szCs w:val="20"/>
          <w:color w:val="auto"/>
        </w:rPr>
      </w:pPr>
    </w:p>
    <w:p>
      <w:pPr>
        <w:ind w:right="20" w:firstLine="436"/>
        <w:spacing w:after="0" w:line="252" w:lineRule="auto"/>
        <w:tabs>
          <w:tab w:leader="none" w:pos="6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Basic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Basic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first sentence of the third paragraph, the concession and reallowance figures appearing in the fifth paragraph under the caption “Underwriting,” and the information contained in the first sentence of the thirteenth paragraph under the caption “Underwriting”.</w:t>
      </w:r>
    </w:p>
    <w:p>
      <w:pPr>
        <w:spacing w:after="0" w:line="86" w:lineRule="exact"/>
        <w:rPr>
          <w:rFonts w:ascii="Times New Roman" w:cs="Times New Roman" w:eastAsia="Times New Roman" w:hAnsi="Times New Roman"/>
          <w:sz w:val="18"/>
          <w:szCs w:val="18"/>
          <w:color w:val="auto"/>
        </w:rPr>
      </w:pPr>
    </w:p>
    <w:p>
      <w:pPr>
        <w:ind w:firstLine="436"/>
        <w:spacing w:after="0" w:line="253" w:lineRule="auto"/>
        <w:tabs>
          <w:tab w:leader="none" w:pos="6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subsection (a) or (b)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documented legal expenses of other counsel or any other expenses, in each case subsequently incurred by such indemnified party, in connection with the defense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8" w:right="459" w:bottom="1440" w:gutter="0" w:footer="0" w:header="0"/>
        </w:sectPr>
      </w:pPr>
    </w:p>
    <w:bookmarkStart w:id="29" w:name="page30"/>
    <w:bookmarkEnd w:id="29"/>
    <w:p>
      <w:pPr>
        <w:ind w:left="4"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in form and substance reasonably satisfactory to such indemnified party, from all liability arising out of such action or claim and (ii) does not include any statement as to or an admission of fault, culpability or a failure to act, by or on behalf of any indemnified party.</w:t>
      </w:r>
    </w:p>
    <w:p>
      <w:pPr>
        <w:spacing w:after="0" w:line="79" w:lineRule="exact"/>
        <w:rPr>
          <w:sz w:val="20"/>
          <w:szCs w:val="20"/>
          <w:color w:val="auto"/>
        </w:rPr>
      </w:pPr>
    </w:p>
    <w:p>
      <w:pPr>
        <w:ind w:left="704" w:hanging="264"/>
        <w:spacing w:after="0"/>
        <w:tabs>
          <w:tab w:leader="none" w:pos="70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9 is unavailable to or insufficient to hold harmless an indemnified party under subsection</w:t>
      </w:r>
    </w:p>
    <w:p>
      <w:pPr>
        <w:spacing w:after="0" w:line="27" w:lineRule="exact"/>
        <w:rPr>
          <w:rFonts w:ascii="Times New Roman" w:cs="Times New Roman" w:eastAsia="Times New Roman" w:hAnsi="Times New Roman"/>
          <w:sz w:val="18"/>
          <w:szCs w:val="18"/>
          <w:color w:val="auto"/>
        </w:rPr>
      </w:pPr>
    </w:p>
    <w:p>
      <w:pPr>
        <w:ind w:left="4" w:hanging="4"/>
        <w:spacing w:after="0" w:line="250" w:lineRule="auto"/>
        <w:tabs>
          <w:tab w:leader="none" w:pos="24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Offered Securities.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4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4"/>
          </w:cols>
          <w:pgMar w:left="436" w:top="270" w:right="499" w:bottom="1440" w:gutter="0" w:footer="0" w:header="0"/>
        </w:sectPr>
      </w:pPr>
    </w:p>
    <w:bookmarkStart w:id="30" w:name="page31"/>
    <w:bookmarkEnd w:id="30"/>
    <w:p>
      <w:pPr>
        <w:ind w:left="-20" w:right="220" w:firstLine="436"/>
        <w:spacing w:after="0" w:line="258" w:lineRule="auto"/>
        <w:tabs>
          <w:tab w:leader="none" w:pos="66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obligations of the Company under this Section 9 shall be in addition to any liability which the Company may otherwise have and shall extend, upon the same terms and conditions, to each employee, officer and director of each Underwriter,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and to each person, if any, who controls the Company within the meaning of the Act.</w:t>
      </w:r>
    </w:p>
    <w:p>
      <w:pPr>
        <w:spacing w:after="0" w:line="75" w:lineRule="exact"/>
        <w:rPr>
          <w:sz w:val="20"/>
          <w:szCs w:val="20"/>
          <w:color w:val="auto"/>
        </w:rPr>
      </w:pPr>
    </w:p>
    <w:p>
      <w:pPr>
        <w:ind w:left="-20" w:firstLine="436"/>
        <w:spacing w:after="0" w:line="253" w:lineRule="auto"/>
        <w:tabs>
          <w:tab w:leader="none" w:pos="69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any Underwriter shall default in its obligation to purchase the Offered Securities which it has agreed to purchase hereunder at a Time of Delivery, the Representatives may in their discretion arrange for the Representatives or another party or other parties to purchase such Offered Securities on the terms contained herein. If within thirty-six hours after such default by any Underwriter the Representatives do not arrange for the purchase of such Offered Securities, then the Company shall be entitled to a further period of thirty-six hours within which to procure another party or other parties satisfactory to the Representatives to purchase such Offered Securities on such terms. In the event that, within the respective prescribed periods, the Representatives notify the Company that the Representatives have so arranged for the purchase of such Offered Securities, or the Company notifies the Representatives that it has so arranged for the purchase of such Offered Securities, the Representatives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the Representatives’ opinion may thereby be made necessary. The term “Underwriter” as used in this Agreement shall include any person substituted under this Section with like effect as if such person had originally been a party to this Agreement with respect to such Offered Securities.</w:t>
      </w:r>
    </w:p>
    <w:p>
      <w:pPr>
        <w:spacing w:after="0" w:line="82" w:lineRule="exact"/>
        <w:rPr>
          <w:sz w:val="20"/>
          <w:szCs w:val="20"/>
          <w:color w:val="auto"/>
        </w:rPr>
      </w:pPr>
    </w:p>
    <w:p>
      <w:pPr>
        <w:ind w:left="-20" w:right="160" w:firstLine="436"/>
        <w:spacing w:after="0" w:line="255" w:lineRule="auto"/>
        <w:tabs>
          <w:tab w:leader="none" w:pos="6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Offered Securities of a defaulting Underwriter or Underwriters by the Representatives and the Company as provided in subsection (a) above, the aggregate number of such Offered Securities which remains unpurchased does not exceed one-eleventh of the aggregate number of all the Offered Securities to be purchased at such Time of Delivery, then the Company shall have the right to require each non-defaulting Underwriter to purchase the number of Offered Securities which such Underwriter agreed to purchase hereunder at such Time of Delivery and, in addition, to require each non-defaulting Underwriter to purchase its pro rata share (based on the number of Offered Securities which such Underwriter agreed to purchase hereunder) of the Offered Securities of such defaulting Underwriter or Underwriters for which such arrangements have not been made; but nothing herein shall relieve a defaulting Underwriter from liability for its default.</w:t>
      </w:r>
    </w:p>
    <w:p>
      <w:pPr>
        <w:spacing w:after="0" w:line="80" w:lineRule="exact"/>
        <w:rPr>
          <w:rFonts w:ascii="Times New Roman" w:cs="Times New Roman" w:eastAsia="Times New Roman" w:hAnsi="Times New Roman"/>
          <w:sz w:val="18"/>
          <w:szCs w:val="18"/>
          <w:color w:val="auto"/>
        </w:rPr>
      </w:pPr>
    </w:p>
    <w:p>
      <w:pPr>
        <w:ind w:left="-20" w:firstLine="436"/>
        <w:spacing w:after="0" w:line="254" w:lineRule="auto"/>
        <w:tabs>
          <w:tab w:leader="none" w:pos="6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Offered Securities of a defaulting Underwriter or Underwriters by the Representatives and the Company as provided in subsection (a) above, the aggregate number of such Offered Securities which remains unpurchased exceeds one-eleventh of the aggregate number of all the Offered Securities to be purchased at such Time of Delivery, or if the Company shall not exercise the right described in subsection (b) above to require non-defaulting Underwriters to purchase Offered Securities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60" w:top="270" w:right="459" w:bottom="1440" w:gutter="0" w:footer="0" w:header="0"/>
        </w:sectPr>
      </w:pPr>
    </w:p>
    <w:bookmarkStart w:id="31" w:name="page32"/>
    <w:bookmarkEnd w:id="31"/>
    <w:p>
      <w:pPr>
        <w:ind w:right="60" w:firstLine="436"/>
        <w:spacing w:after="0" w:line="258" w:lineRule="auto"/>
        <w:tabs>
          <w:tab w:leader="none" w:pos="70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respective indemnities, rights of contribution,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affiliate or controlling person of any Underwriter, or the Company, or any officer or director or controlling person of the Company, and shall survive delivery of and payment for the Offered Securities.</w:t>
      </w:r>
    </w:p>
    <w:p>
      <w:pPr>
        <w:spacing w:after="0" w:line="75" w:lineRule="exact"/>
        <w:rPr>
          <w:rFonts w:ascii="Times New Roman" w:cs="Times New Roman" w:eastAsia="Times New Roman" w:hAnsi="Times New Roman"/>
          <w:sz w:val="18"/>
          <w:szCs w:val="18"/>
          <w:color w:val="auto"/>
        </w:rPr>
      </w:pPr>
    </w:p>
    <w:p>
      <w:pPr>
        <w:ind w:right="160" w:firstLine="436"/>
        <w:spacing w:after="0" w:line="256" w:lineRule="auto"/>
        <w:tabs>
          <w:tab w:leader="none" w:pos="71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shall be terminated pursuant to Section 10 hereof, the Company shall not then be under any liability to any Underwriter except as provided in Sections 7 and 9 hereof; but, if for any other reason, any Offered Securities are not delivered by or on behalf of the Company as provided herein or the Underwriters decline to purchase the Offered Securities for any reason permitted under this Agreement, the Company will reimburse the Underwriters through the Representatives for all out-of-pocket expenses approved in writing by the Representatives, including fees and disbursements of counsel, reasonably incurred by the Underwriters in making preparations for the purchase, sale and delivery of the Offered Securities not so delivered, but the Company shall then be under no further liability to any Underwriter except as provided in Sections 7 and 9 hereof.</w:t>
      </w:r>
    </w:p>
    <w:p>
      <w:pPr>
        <w:spacing w:after="0" w:line="79" w:lineRule="exact"/>
        <w:rPr>
          <w:rFonts w:ascii="Times New Roman" w:cs="Times New Roman" w:eastAsia="Times New Roman" w:hAnsi="Times New Roman"/>
          <w:sz w:val="18"/>
          <w:szCs w:val="18"/>
          <w:color w:val="auto"/>
        </w:rPr>
      </w:pPr>
    </w:p>
    <w:p>
      <w:pPr>
        <w:jc w:val="both"/>
        <w:ind w:right="40" w:firstLine="436"/>
        <w:spacing w:after="0" w:line="312" w:lineRule="auto"/>
        <w:tabs>
          <w:tab w:leader="none" w:pos="71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all dealings hereunder, the Representatives shall act on behalf of each of the Underwriters, and the parties hereto shall be entitled to act and rely upon any statement, request, notice or agreement on behalf of any Underwriter made or given by the Representatives on behalf of the Underwriters.</w:t>
      </w:r>
    </w:p>
    <w:p>
      <w:pPr>
        <w:spacing w:after="0" w:line="14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All statements, requests, notices and agreements hereunder shall be in writing, and (A) if to the Underwriters shall be delivered or sent by mail, telex or facsimile transmission to Jefferies LLC, Attention: Equity Syndicate Prospectus Department, 520 Madison Avenue, New York, NY 10022; Goldman Sachs &amp; Co. LLC, 200 West Street, New York, New York 10282-2198, Attention: Registration Department and registration-syndops@ny.email.gs.com; and (B) if to the Company shall be delivered or sent by mail, telex or facsimile transmission to the address of the Company set forth in the Registration Statement, Attention: Chief Executive Officer;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by the Representatives upon request. Any such statements, requests, notices or agreements shall take effect upon receipt thereof.</w:t>
      </w:r>
    </w:p>
    <w:p>
      <w:pPr>
        <w:spacing w:after="0" w:line="192" w:lineRule="exact"/>
        <w:rPr>
          <w:sz w:val="20"/>
          <w:szCs w:val="20"/>
          <w:color w:val="auto"/>
        </w:rPr>
      </w:pPr>
    </w:p>
    <w:p>
      <w:pPr>
        <w:jc w:val="both"/>
        <w:ind w:right="100" w:firstLine="440"/>
        <w:spacing w:after="0" w:line="289" w:lineRule="auto"/>
        <w:rPr>
          <w:sz w:val="20"/>
          <w:szCs w:val="20"/>
          <w:color w:val="auto"/>
        </w:rPr>
      </w:pPr>
      <w:r>
        <w:rPr>
          <w:rFonts w:ascii="Times New Roman" w:cs="Times New Roman" w:eastAsia="Times New Roman" w:hAnsi="Times New Roman"/>
          <w:sz w:val="17"/>
          <w:szCs w:val="17"/>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50" w:lineRule="exact"/>
        <w:rPr>
          <w:sz w:val="20"/>
          <w:szCs w:val="20"/>
          <w:color w:val="auto"/>
        </w:rPr>
      </w:pPr>
    </w:p>
    <w:p>
      <w:pPr>
        <w:ind w:right="40" w:firstLine="436"/>
        <w:spacing w:after="0" w:line="281" w:lineRule="auto"/>
        <w:tabs>
          <w:tab w:leader="none" w:pos="71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be binding upon, and inure solely to the benefit of, the Underwriters, the Company and, to the extent provided in Sections 9 and 11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Offered Securities from any Underwriter shall be deemed a successor or assign by reason merely of such purchase.</w:t>
      </w:r>
    </w:p>
    <w:p>
      <w:pPr>
        <w:spacing w:after="0" w:line="56" w:lineRule="exact"/>
        <w:rPr>
          <w:rFonts w:ascii="Times New Roman" w:cs="Times New Roman" w:eastAsia="Times New Roman" w:hAnsi="Times New Roman"/>
          <w:sz w:val="17"/>
          <w:szCs w:val="17"/>
          <w:color w:val="auto"/>
        </w:rPr>
      </w:pPr>
    </w:p>
    <w:p>
      <w:pPr>
        <w:ind w:right="100" w:firstLine="436"/>
        <w:spacing w:after="0" w:line="282" w:lineRule="auto"/>
        <w:tabs>
          <w:tab w:leader="none" w:pos="71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shall be of the essence of this Agreement. As used herein, the term “business day” shall mean any day when the Commission’s office in Washington, D.C. is open for business.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2" w:name="page33"/>
    <w:bookmarkEnd w:id="32"/>
    <w:p>
      <w:pPr>
        <w:ind w:left="-60" w:right="40" w:firstLine="436"/>
        <w:spacing w:after="0" w:line="253" w:lineRule="auto"/>
        <w:tabs>
          <w:tab w:leader="none" w:pos="65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acknowledges and agrees that (i) the purchase and sale of the Offered Securities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(iv) none of the activities of the Underwriters in connection with the transactions contemplated herein constitutes a recommendation, investment advice, or solicitation of any action by the Underwriters with respect to any entity or natural person and (v)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86" w:lineRule="exact"/>
        <w:rPr>
          <w:rFonts w:ascii="Times New Roman" w:cs="Times New Roman" w:eastAsia="Times New Roman" w:hAnsi="Times New Roman"/>
          <w:sz w:val="18"/>
          <w:szCs w:val="18"/>
          <w:color w:val="auto"/>
        </w:rPr>
      </w:pPr>
    </w:p>
    <w:p>
      <w:pPr>
        <w:ind w:left="-60" w:right="60" w:firstLine="436"/>
        <w:spacing w:after="0" w:line="282" w:lineRule="auto"/>
        <w:tabs>
          <w:tab w:leader="none" w:pos="65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supersedes all prior agreements and understandings (whether written or oral) between the Company and the Underwriters, or any of them, with respect to the subject matter hereof.</w:t>
      </w:r>
    </w:p>
    <w:p>
      <w:pPr>
        <w:spacing w:after="0" w:line="53" w:lineRule="exact"/>
        <w:rPr>
          <w:rFonts w:ascii="Times New Roman" w:cs="Times New Roman" w:eastAsia="Times New Roman" w:hAnsi="Times New Roman"/>
          <w:sz w:val="18"/>
          <w:szCs w:val="18"/>
          <w:color w:val="auto"/>
        </w:rPr>
      </w:pPr>
    </w:p>
    <w:p>
      <w:pPr>
        <w:ind w:left="-60" w:right="100" w:firstLine="436"/>
        <w:spacing w:after="0" w:line="256" w:lineRule="auto"/>
        <w:tabs>
          <w:tab w:leader="none" w:pos="65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79" w:lineRule="exact"/>
        <w:rPr>
          <w:rFonts w:ascii="Times New Roman" w:cs="Times New Roman" w:eastAsia="Times New Roman" w:hAnsi="Times New Roman"/>
          <w:sz w:val="18"/>
          <w:szCs w:val="18"/>
          <w:color w:val="auto"/>
        </w:rPr>
      </w:pPr>
    </w:p>
    <w:p>
      <w:pPr>
        <w:ind w:left="-60" w:right="200" w:firstLine="436"/>
        <w:spacing w:after="0" w:line="282" w:lineRule="auto"/>
        <w:tabs>
          <w:tab w:leader="none" w:pos="65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53" w:lineRule="exact"/>
        <w:rPr>
          <w:rFonts w:ascii="Times New Roman" w:cs="Times New Roman" w:eastAsia="Times New Roman" w:hAnsi="Times New Roman"/>
          <w:sz w:val="18"/>
          <w:szCs w:val="18"/>
          <w:color w:val="auto"/>
        </w:rPr>
      </w:pPr>
    </w:p>
    <w:p>
      <w:pPr>
        <w:ind w:left="-60" w:firstLine="436"/>
        <w:spacing w:after="0" w:line="258" w:lineRule="auto"/>
        <w:tabs>
          <w:tab w:leader="none" w:pos="65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75" w:lineRule="exact"/>
        <w:rPr>
          <w:rFonts w:ascii="Times New Roman" w:cs="Times New Roman" w:eastAsia="Times New Roman" w:hAnsi="Times New Roman"/>
          <w:sz w:val="18"/>
          <w:szCs w:val="18"/>
          <w:color w:val="auto"/>
        </w:rPr>
      </w:pPr>
    </w:p>
    <w:p>
      <w:pPr>
        <w:ind w:left="-60" w:right="80" w:firstLine="436"/>
        <w:spacing w:after="0" w:line="258" w:lineRule="auto"/>
        <w:tabs>
          <w:tab w:leader="none" w:pos="65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75" w:lineRule="exact"/>
        <w:rPr>
          <w:rFonts w:ascii="Times New Roman" w:cs="Times New Roman" w:eastAsia="Times New Roman" w:hAnsi="Times New Roman"/>
          <w:sz w:val="18"/>
          <w:szCs w:val="18"/>
          <w:color w:val="auto"/>
        </w:rPr>
      </w:pPr>
    </w:p>
    <w:p>
      <w:pPr>
        <w:ind w:left="640" w:hanging="264"/>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the U.S. Special Resolution Regimes.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00"/>
          </w:cols>
          <w:pgMar w:left="500" w:top="270" w:right="499" w:bottom="1440" w:gutter="0" w:footer="0" w:header="0"/>
        </w:sectPr>
      </w:pPr>
    </w:p>
    <w:bookmarkStart w:id="33" w:name="page34"/>
    <w:bookmarkEnd w:id="33"/>
    <w:p>
      <w:pPr>
        <w:ind w:right="60" w:firstLine="436"/>
        <w:spacing w:after="0" w:line="261" w:lineRule="auto"/>
        <w:tabs>
          <w:tab w:leader="none" w:pos="6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117" w:lineRule="exact"/>
        <w:rPr>
          <w:sz w:val="20"/>
          <w:szCs w:val="20"/>
          <w:color w:val="auto"/>
        </w:rPr>
      </w:pPr>
    </w:p>
    <w:p>
      <w:pPr>
        <w:ind w:left="1080" w:hanging="221"/>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34" w:name="page35"/>
    <w:bookmarkEnd w:id="34"/>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please sign and return to us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Taysha Gene Therapies,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Sean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Sean Nolan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1000"/>
          </w:cols>
          <w:pgMar w:left="440" w:top="270"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Matthew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Matthew Kim</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Lyla Bibi Maduri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Lyla Bibi Maduri</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019"/>
          </w:cols>
          <w:pgMar w:left="440" w:top="270" w:right="1440" w:bottom="1440" w:gutter="0" w:footer="0" w:header="0"/>
        </w:sectPr>
      </w:pPr>
    </w:p>
    <w:bookmarkStart w:id="36" w:name="page37"/>
    <w:bookmarkEnd w:id="3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0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Optional</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Firm</w:t>
            </w: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900" w:type="dxa"/>
            <w:vAlign w:val="bottom"/>
            <w:gridSpan w:val="2"/>
            <w:vMerge w:val="continue"/>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Which</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7460" w:type="dxa"/>
            <w:vAlign w:val="bottom"/>
            <w:vMerge w:val="restart"/>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May be</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7460" w:type="dxa"/>
            <w:vAlign w:val="bottom"/>
            <w:vMerge w:val="continue"/>
          </w:tcPr>
          <w:p>
            <w:pPr>
              <w:spacing w:after="0"/>
              <w:rPr>
                <w:sz w:val="15"/>
                <w:szCs w:val="15"/>
                <w:color w:val="auto"/>
              </w:rPr>
            </w:pPr>
          </w:p>
        </w:tc>
        <w:tc>
          <w:tcPr>
            <w:tcW w:w="1040" w:type="dxa"/>
            <w:vAlign w:val="bottom"/>
            <w:gridSpan w:val="3"/>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90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8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203"/>
        </w:trPr>
        <w:tc>
          <w:tcPr>
            <w:tcW w:w="8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Jefferies LLC</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9,750,000</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250,000</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9,750,000</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250,000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Piper Sandler &amp; Co.</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5,687,500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145,833</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875,000</w:t>
            </w:r>
          </w:p>
        </w:tc>
        <w:tc>
          <w:tcPr>
            <w:tcW w:w="0" w:type="dxa"/>
            <w:vAlign w:val="bottom"/>
          </w:tcPr>
          <w:p>
            <w:pPr>
              <w:spacing w:after="0"/>
              <w:rPr>
                <w:sz w:val="1"/>
                <w:szCs w:val="1"/>
                <w:color w:val="auto"/>
              </w:rPr>
            </w:pP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5,687,500</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145,833</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875,000</w:t>
            </w: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 Baird &amp; Co. Incorporated</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1,625,001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41,667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3"/>
        </w:trPr>
        <w:tc>
          <w:tcPr>
            <w:tcW w:w="8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32,500,001</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833,333</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37" w:name="page38"/>
    <w:bookmarkEnd w:id="37"/>
    <w:p>
      <w:pPr>
        <w:ind w:left="49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229" w:lineRule="exact"/>
        <w:rPr>
          <w:sz w:val="20"/>
          <w:szCs w:val="20"/>
          <w:color w:val="auto"/>
        </w:rPr>
      </w:pPr>
    </w:p>
    <w:p>
      <w:pPr>
        <w:ind w:left="864" w:right="3959" w:hanging="864"/>
        <w:spacing w:after="0" w:line="375" w:lineRule="auto"/>
        <w:tabs>
          <w:tab w:leader="none" w:pos="2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Free Writing Prospectuses not included in the Pricing Disclosure Package: Electronic Roadshow dated June 24, 2026.</w:t>
      </w:r>
    </w:p>
    <w:p>
      <w:pPr>
        <w:spacing w:after="0" w:line="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Documents Incorporated by Reference:</w:t>
      </w:r>
    </w:p>
    <w:p>
      <w:pPr>
        <w:spacing w:after="0" w:line="200" w:lineRule="exact"/>
        <w:rPr>
          <w:sz w:val="20"/>
          <w:szCs w:val="20"/>
          <w:color w:val="auto"/>
        </w:rPr>
      </w:pPr>
    </w:p>
    <w:p>
      <w:pPr>
        <w:spacing w:after="0" w:line="241" w:lineRule="exact"/>
        <w:rPr>
          <w:sz w:val="20"/>
          <w:szCs w:val="20"/>
          <w:color w:val="auto"/>
        </w:rPr>
      </w:pPr>
    </w:p>
    <w:p>
      <w:pPr>
        <w:ind w:left="864" w:right="3139" w:hanging="864"/>
        <w:spacing w:after="0" w:line="375" w:lineRule="auto"/>
        <w:tabs>
          <w:tab w:leader="none" w:pos="24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other than the Pricing Prospectus that comprise the Pricing Disclosure Package: The public offering price per share for the Shares is $6.00.</w:t>
      </w:r>
    </w:p>
    <w:p>
      <w:pPr>
        <w:spacing w:after="0" w:line="1" w:lineRule="exact"/>
        <w:rPr>
          <w:rFonts w:ascii="Times New Roman" w:cs="Times New Roman" w:eastAsia="Times New Roman" w:hAnsi="Times New Roman"/>
          <w:sz w:val="18"/>
          <w:szCs w:val="18"/>
          <w:color w:val="auto"/>
        </w:rPr>
      </w:pPr>
    </w:p>
    <w:p>
      <w:pPr>
        <w:ind w:left="8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per Pre-Funded Warrants is $5.999.</w:t>
      </w:r>
    </w:p>
    <w:p>
      <w:pPr>
        <w:spacing w:after="0" w:line="117" w:lineRule="exact"/>
        <w:rPr>
          <w:rFonts w:ascii="Times New Roman" w:cs="Times New Roman" w:eastAsia="Times New Roman" w:hAnsi="Times New Roman"/>
          <w:sz w:val="18"/>
          <w:szCs w:val="18"/>
          <w:color w:val="auto"/>
        </w:rPr>
      </w:pPr>
    </w:p>
    <w:p>
      <w:pPr>
        <w:ind w:left="8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purchased by the Underwriters is 32,500,001.</w:t>
      </w:r>
    </w:p>
    <w:p>
      <w:pPr>
        <w:spacing w:after="0" w:line="117" w:lineRule="exact"/>
        <w:rPr>
          <w:rFonts w:ascii="Times New Roman" w:cs="Times New Roman" w:eastAsia="Times New Roman" w:hAnsi="Times New Roman"/>
          <w:sz w:val="18"/>
          <w:szCs w:val="18"/>
          <w:color w:val="auto"/>
        </w:rPr>
      </w:pPr>
    </w:p>
    <w:p>
      <w:pPr>
        <w:ind w:left="864" w:right="179"/>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potentially issuable by the Company pursuant to the option to purchase additional shares is 5,000,000. The number of Pre-Funded Warrants is 833,333.</w:t>
      </w:r>
    </w:p>
    <w:p>
      <w:pPr>
        <w:spacing w:after="0" w:line="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Testing-the-Waters Communications:</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023"/>
          </w:cols>
          <w:pgMar w:left="436" w:top="266" w:right="1440"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WARRANT TO PURCHASE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 [•]</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 2026</w:t>
      </w:r>
    </w:p>
    <w:p>
      <w:pPr>
        <w:spacing w:after="0" w:line="113"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color w:val="auto"/>
        </w:rPr>
        <w:t>THIS PRE-FUNDED WARRANT TO PURCHASE COMMON STOCK (the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certifies that, for value received, [•] or its assigns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b w:val="1"/>
          <w:bCs w:val="1"/>
          <w:i w:val="1"/>
          <w:iCs w:val="1"/>
          <w:color w:val="auto"/>
        </w:rPr>
        <w:t>Initial Exercise Date</w:t>
      </w:r>
      <w:r>
        <w:rPr>
          <w:rFonts w:ascii="Times New Roman" w:cs="Times New Roman" w:eastAsia="Times New Roman" w:hAnsi="Times New Roman"/>
          <w:sz w:val="18"/>
          <w:szCs w:val="18"/>
          <w:color w:val="auto"/>
        </w:rPr>
        <w:t>”) until this Warrant is exercised in full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xml:space="preserve">”), to subscribe for and purchase from </w:t>
      </w:r>
      <w:r>
        <w:rPr>
          <w:rFonts w:ascii="Times New Roman" w:cs="Times New Roman" w:eastAsia="Times New Roman" w:hAnsi="Times New Roman"/>
          <w:sz w:val="18"/>
          <w:szCs w:val="18"/>
          <w:b w:val="1"/>
          <w:bCs w:val="1"/>
          <w:color w:val="auto"/>
        </w:rPr>
        <w:t>TAYSHA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GENE THERAPIES,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up to [•] shares of common stock, par value $0.00001 per share (the “</w:t>
      </w:r>
      <w:r>
        <w:rPr>
          <w:rFonts w:ascii="Times New Roman" w:cs="Times New Roman" w:eastAsia="Times New Roman" w:hAnsi="Times New Roman"/>
          <w:sz w:val="18"/>
          <w:szCs w:val="18"/>
          <w:b w:val="1"/>
          <w:bCs w:val="1"/>
          <w:i w:val="1"/>
          <w:iCs w:val="1"/>
          <w:color w:val="auto"/>
        </w:rPr>
        <w:t>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(as subject to adjustment hereunder,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The purchase price of one share of Common Stock under this Warrant shall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equal to the Exercise Price, as defined in Section 2(b).</w:t>
      </w:r>
    </w:p>
    <w:p>
      <w:pPr>
        <w:spacing w:after="0" w:line="18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dated [•], 2026, among the Company and the underwriters signatory thereto, and the following terms have the meanings indicated in this Section 1:</w:t>
      </w:r>
    </w:p>
    <w:p>
      <w:pPr>
        <w:spacing w:after="0" w:line="64"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(as defined below), any other Person controlling, controlled by or under direct or indirect common control with such Person (for the purposes of this definition “control,” when used with respect to any specified Person, shall mean the possession, direct or indirect, of the power to direct or cause the direction of the management and policies of such Person, whether through ownership of voting securities, by contract or otherwise; and the terms “</w:t>
      </w:r>
      <w:r>
        <w:rPr>
          <w:rFonts w:ascii="Times New Roman" w:cs="Times New Roman" w:eastAsia="Times New Roman" w:hAnsi="Times New Roman"/>
          <w:sz w:val="18"/>
          <w:szCs w:val="18"/>
          <w:b w:val="1"/>
          <w:bCs w:val="1"/>
          <w:i w:val="1"/>
          <w:iCs w:val="1"/>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controlled</w:t>
      </w:r>
      <w:r>
        <w:rPr>
          <w:rFonts w:ascii="Times New Roman" w:cs="Times New Roman" w:eastAsia="Times New Roman" w:hAnsi="Times New Roman"/>
          <w:sz w:val="18"/>
          <w:szCs w:val="18"/>
          <w:color w:val="auto"/>
        </w:rPr>
        <w:t>” shall have meanings correlative to the foregoing).</w:t>
      </w:r>
    </w:p>
    <w:p>
      <w:pPr>
        <w:spacing w:after="0" w:line="17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the Common Stock is then listed or quoted for trading on OTCQB or OTCQX and not a Trading Market, the volume weighted average price of the Common Stock for such date (or the nearest preceding date) on OTCQB or OTCQX as applicable, (c) if the Common Stock is not then listed or quoted for trading on a Trading Market, OTCQB or OTCQX and if prices for the Common Stock are then reported on The Pink Open Market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 day Monday through Friday on which banks are generally open for business in New York City.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right="7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person, individual, corporation, limited liability company, partnership, trust or other nongovernmental entity or any governmental agency, court, authority or other body (whether foreign, federal, state, local or otherwise).</w:t>
      </w:r>
    </w:p>
    <w:p>
      <w:pPr>
        <w:sectPr>
          <w:pgSz w:w="11900" w:h="16838" w:orient="portrait"/>
          <w:cols w:equalWidth="0" w:num="1">
            <w:col w:w="11020"/>
          </w:cols>
          <w:pgMar w:left="440" w:top="117" w:right="439" w:bottom="1440" w:gutter="0" w:footer="0" w:header="0"/>
        </w:sectPr>
      </w:pPr>
    </w:p>
    <w:bookmarkStart w:id="39" w:name="page40"/>
    <w:bookmarkEnd w:id="3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4"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ind w:left="4"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Market</w:t>
      </w:r>
      <w:r>
        <w:rPr>
          <w:rFonts w:ascii="Times New Roman" w:cs="Times New Roman" w:eastAsia="Times New Roman" w:hAnsi="Times New Roman"/>
          <w:sz w:val="18"/>
          <w:szCs w:val="18"/>
          <w:color w:val="auto"/>
        </w:rPr>
        <w:t>” means any of the following markets or exchanges on which the shares of Common Stock are listed or quoted for trading on the date in question: the NYSE American, Nasdaq, or the New York Stock Exchange (or any successors to any of the foregoing).</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 means Equiniti Trust Company, LLC or any successor transfer agent of the Company.</w:t>
      </w:r>
    </w:p>
    <w:p>
      <w:pPr>
        <w:spacing w:after="0" w:line="22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Common Stock is then listed or quoted for trading on OTCQB or OTCQX and not a Trading Market, the volume weighted average price of the Common Stock for such date (or the nearest preceding date) on OTCQB or OTCQX as applicable, (c) if the Common Stock is not then listed or quoted for trading on a Trading Market, OTCQB or OTCQX and if prices for the Common Stock are then reported on The Pink Open Market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87"/>
        <w:spacing w:after="0" w:line="272" w:lineRule="auto"/>
        <w:tabs>
          <w:tab w:leader="none" w:pos="124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Warrant</w:t>
      </w:r>
      <w:r>
        <w:rPr>
          <w:rFonts w:ascii="Times New Roman" w:cs="Times New Roman" w:eastAsia="Times New Roman" w:hAnsi="Times New Roman"/>
          <w:sz w:val="17"/>
          <w:szCs w:val="17"/>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 w:cs="Times New Roman" w:eastAsia="Times New Roman" w:hAnsi="Times New Roman"/>
          <w:sz w:val="17"/>
          <w:szCs w:val="17"/>
          <w:b w:val="1"/>
          <w:bCs w:val="1"/>
          <w:i w:val="1"/>
          <w:iCs w:val="1"/>
          <w:color w:val="auto"/>
        </w:rPr>
        <w:t>Notice of Exercise</w:t>
      </w:r>
      <w:r>
        <w:rPr>
          <w:rFonts w:ascii="Times New Roman" w:cs="Times New Roman" w:eastAsia="Times New Roman" w:hAnsi="Times New Roman"/>
          <w:sz w:val="17"/>
          <w:szCs w:val="17"/>
          <w:color w:val="auto"/>
        </w:rPr>
        <w:t>”). Within the earlier of (i) two</w:t>
      </w:r>
    </w:p>
    <w:p>
      <w:pPr>
        <w:spacing w:after="0" w:line="1" w:lineRule="exact"/>
        <w:rPr>
          <w:rFonts w:ascii="Times New Roman" w:cs="Times New Roman" w:eastAsia="Times New Roman" w:hAnsi="Times New Roman"/>
          <w:sz w:val="17"/>
          <w:szCs w:val="17"/>
          <w:color w:val="auto"/>
        </w:rPr>
      </w:pPr>
    </w:p>
    <w:p>
      <w:pPr>
        <w:ind w:left="4" w:right="40" w:hanging="4"/>
        <w:spacing w:after="0" w:line="265" w:lineRule="auto"/>
        <w:tabs>
          <w:tab w:leader="none" w:pos="259"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Days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w:t>
      </w:r>
    </w:p>
    <w:p>
      <w:pPr>
        <w:spacing w:after="0" w:line="1" w:lineRule="exact"/>
        <w:rPr>
          <w:rFonts w:ascii="Times New Roman" w:cs="Times New Roman" w:eastAsia="Times New Roman" w:hAnsi="Times New Roman"/>
          <w:sz w:val="17"/>
          <w:szCs w:val="17"/>
          <w:color w:val="auto"/>
        </w:rPr>
      </w:pPr>
    </w:p>
    <w:p>
      <w:pPr>
        <w:ind w:left="4" w:right="1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ectPr>
          <w:pgSz w:w="11900" w:h="16838" w:orient="portrait"/>
          <w:cols w:equalWidth="0" w:num="1">
            <w:col w:w="11004"/>
          </w:cols>
          <w:pgMar w:left="436" w:top="266" w:right="459" w:bottom="1440" w:gutter="0" w:footer="0" w:header="0"/>
        </w:sectPr>
      </w:pPr>
    </w:p>
    <w:bookmarkStart w:id="40" w:name="page41"/>
    <w:bookmarkEnd w:id="40"/>
    <w:p>
      <w:pPr>
        <w:ind w:left="4" w:right="20" w:firstLine="987"/>
        <w:spacing w:after="0" w:line="277" w:lineRule="auto"/>
        <w:tabs>
          <w:tab w:leader="none" w:pos="125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 Price</w:t>
      </w:r>
      <w:r>
        <w:rPr>
          <w:rFonts w:ascii="Times New Roman" w:cs="Times New Roman" w:eastAsia="Times New Roman" w:hAnsi="Times New Roman"/>
          <w:sz w:val="17"/>
          <w:szCs w:val="17"/>
          <w:color w:val="auto"/>
        </w:rPr>
        <w:t>. The aggregate exercise price of this Warrant, except for a nominal exercise price of $0.001 per Warrant Share, was pre-funded to the Company on or prior to the Initial Exercise Date and, consequently, no additional consideration (other than the nominal exercise price of $0.001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share of Common Stock under this Warrant shall be $0.001, subject to adjustment hereunder (the “</w:t>
      </w:r>
      <w:r>
        <w:rPr>
          <w:rFonts w:ascii="Times New Roman" w:cs="Times New Roman" w:eastAsia="Times New Roman" w:hAnsi="Times New Roman"/>
          <w:sz w:val="17"/>
          <w:szCs w:val="17"/>
          <w:b w:val="1"/>
          <w:bCs w:val="1"/>
          <w:i w:val="1"/>
          <w:iCs w:val="1"/>
          <w:color w:val="auto"/>
        </w:rPr>
        <w:t>Exercise Price</w:t>
      </w:r>
      <w:r>
        <w:rPr>
          <w:rFonts w:ascii="Times New Roman" w:cs="Times New Roman" w:eastAsia="Times New Roman" w:hAnsi="Times New Roman"/>
          <w:sz w:val="17"/>
          <w:szCs w:val="17"/>
          <w:color w:val="auto"/>
        </w:rPr>
        <w:t>”).</w:t>
      </w:r>
    </w:p>
    <w:p>
      <w:pPr>
        <w:spacing w:after="0" w:line="163" w:lineRule="exact"/>
        <w:rPr>
          <w:rFonts w:ascii="Times New Roman" w:cs="Times New Roman" w:eastAsia="Times New Roman" w:hAnsi="Times New Roman"/>
          <w:sz w:val="17"/>
          <w:szCs w:val="17"/>
          <w:color w:val="auto"/>
        </w:rPr>
      </w:pPr>
    </w:p>
    <w:p>
      <w:pPr>
        <w:ind w:left="4" w:firstLine="987"/>
        <w:spacing w:after="0" w:line="286" w:lineRule="auto"/>
        <w:tabs>
          <w:tab w:leader="none" w:pos="1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such time by means of a “</w:t>
      </w:r>
      <w:r>
        <w:rPr>
          <w:rFonts w:ascii="Times New Roman" w:cs="Times New Roman" w:eastAsia="Times New Roman" w:hAnsi="Times New Roman"/>
          <w:sz w:val="18"/>
          <w:szCs w:val="18"/>
          <w:b w:val="1"/>
          <w:bCs w:val="1"/>
          <w:i w:val="1"/>
          <w:iCs w:val="1"/>
          <w:color w:val="auto"/>
        </w:rPr>
        <w:t>cashless exercise</w:t>
      </w:r>
      <w:r>
        <w:rPr>
          <w:rFonts w:ascii="Times New Roman" w:cs="Times New Roman" w:eastAsia="Times New Roman" w:hAnsi="Times New Roman"/>
          <w:sz w:val="18"/>
          <w:szCs w:val="18"/>
          <w:color w:val="auto"/>
        </w:rPr>
        <w:t>” in which the Holder shall be entitled to receive a number of Warrant Shares equal to the quotient obtained by dividing [(A-B) (X)] by (A), where:</w:t>
      </w:r>
    </w:p>
    <w:p>
      <w:pPr>
        <w:spacing w:after="0" w:line="50"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w:t>
      </w:r>
    </w:p>
    <w:p>
      <w:pPr>
        <w:spacing w:after="0" w:line="27" w:lineRule="exact"/>
        <w:rPr>
          <w:rFonts w:ascii="Times New Roman" w:cs="Times New Roman" w:eastAsia="Times New Roman" w:hAnsi="Times New Roman"/>
          <w:sz w:val="18"/>
          <w:szCs w:val="18"/>
          <w:color w:val="auto"/>
        </w:rPr>
      </w:pPr>
    </w:p>
    <w:p>
      <w:pPr>
        <w:ind w:left="4" w:right="1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b w:val="1"/>
          <w:bCs w:val="1"/>
          <w:i w:val="1"/>
          <w:iCs w:val="1"/>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3"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4" w:right="200" w:hanging="4"/>
        <w:spacing w:after="0" w:line="282" w:lineRule="auto"/>
        <w:tabs>
          <w:tab w:leader="none" w:pos="29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this Warrant may be tacked on to the holding period of the Warrant Shares. The Company agrees not to take any position contrary to this Section 2(c).</w:t>
      </w:r>
    </w:p>
    <w:p>
      <w:pPr>
        <w:spacing w:after="0" w:line="176" w:lineRule="exact"/>
        <w:rPr>
          <w:sz w:val="20"/>
          <w:szCs w:val="20"/>
          <w:color w:val="auto"/>
        </w:rPr>
      </w:pPr>
    </w:p>
    <w:p>
      <w:pPr>
        <w:ind w:left="1244" w:hanging="253"/>
        <w:spacing w:after="0"/>
        <w:tabs>
          <w:tab w:leader="none" w:pos="124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60" w:firstLine="1428"/>
        <w:spacing w:after="0" w:line="252" w:lineRule="auto"/>
        <w:tabs>
          <w:tab w:leader="none" w:pos="1651"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b w:val="1"/>
          <w:bCs w:val="1"/>
          <w:i w:val="1"/>
          <w:iCs w:val="1"/>
          <w:color w:val="auto"/>
        </w:rPr>
        <w:t>DWAC</w:t>
      </w:r>
      <w:r>
        <w:rPr>
          <w:rFonts w:ascii="Times New Roman" w:cs="Times New Roman" w:eastAsia="Times New Roman" w:hAnsi="Times New Roman"/>
          <w:sz w:val="18"/>
          <w:szCs w:val="18"/>
          <w:color w:val="auto"/>
        </w:rPr>
        <w:t>”) if the Company is then a participant in such system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later of (i) the earlier of (a) two (2) Trading Days after the delivery to the Company of the Notice of Exercise and (b) the number of Trading Days comprising the Standard Settlement Period after the delivery to the Company of the Notice of Exercise, and (ii) one (1) Trading Day after delivery of the aggregate Exercise Price to the Company (provided the foregoing clause (ii) shall not apply in the event of a cashless exercise) (such date, the “</w:t>
      </w:r>
      <w:r>
        <w:rPr>
          <w:rFonts w:ascii="Times New Roman" w:cs="Times New Roman" w:eastAsia="Times New Roman" w:hAnsi="Times New Roman"/>
          <w:sz w:val="18"/>
          <w:szCs w:val="18"/>
          <w:b w:val="1"/>
          <w:bCs w:val="1"/>
          <w:i w:val="1"/>
          <w:iCs w:val="1"/>
          <w:color w:val="auto"/>
        </w:rPr>
        <w:t>Warrant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w:t>
      </w:r>
    </w:p>
    <w:p>
      <w:pPr>
        <w:spacing w:after="0" w:line="3" w:lineRule="exact"/>
        <w:rPr>
          <w:rFonts w:ascii="Times New Roman" w:cs="Times New Roman" w:eastAsia="Times New Roman" w:hAnsi="Times New Roman"/>
          <w:sz w:val="18"/>
          <w:szCs w:val="18"/>
          <w:color w:val="auto"/>
        </w:rPr>
      </w:pPr>
    </w:p>
    <w:p>
      <w:pPr>
        <w:ind w:left="4" w:right="20" w:hanging="4"/>
        <w:spacing w:after="0" w:line="251" w:lineRule="auto"/>
        <w:tabs>
          <w:tab w:leader="none" w:pos="26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b w:val="1"/>
          <w:bCs w:val="1"/>
          <w:i w:val="1"/>
          <w:iCs w:val="1"/>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principal Trading Market with respect to the Common Stock as in effect on the date of delivery of the Notice of Exercise.</w:t>
      </w:r>
    </w:p>
    <w:p>
      <w:pPr>
        <w:sectPr>
          <w:pgSz w:w="11900" w:h="16838" w:orient="portrait"/>
          <w:cols w:equalWidth="0" w:num="1">
            <w:col w:w="11004"/>
          </w:cols>
          <w:pgMar w:left="436" w:top="270" w:right="459" w:bottom="1440" w:gutter="0" w:footer="0" w:header="0"/>
        </w:sectPr>
      </w:pPr>
    </w:p>
    <w:bookmarkStart w:id="41" w:name="page42"/>
    <w:bookmarkEnd w:id="41"/>
    <w:p>
      <w:pPr>
        <w:ind w:left="4" w:right="20" w:firstLine="1428"/>
        <w:spacing w:after="0" w:line="261" w:lineRule="auto"/>
        <w:tabs>
          <w:tab w:leader="none" w:pos="170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4" w:right="320" w:firstLine="1428"/>
        <w:spacing w:after="0" w:line="282" w:lineRule="auto"/>
        <w:tabs>
          <w:tab w:leader="none" w:pos="175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61" w:lineRule="exact"/>
        <w:rPr>
          <w:rFonts w:ascii="Times New Roman" w:cs="Times New Roman" w:eastAsia="Times New Roman" w:hAnsi="Times New Roman"/>
          <w:sz w:val="18"/>
          <w:szCs w:val="18"/>
          <w:color w:val="auto"/>
        </w:rPr>
      </w:pPr>
    </w:p>
    <w:p>
      <w:pPr>
        <w:ind w:left="4" w:right="120" w:firstLine="1428"/>
        <w:spacing w:after="0" w:line="268" w:lineRule="auto"/>
        <w:tabs>
          <w:tab w:leader="none" w:pos="1741"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for Buy-In on Failure to Timely Deliver Warrant Shares Upon Exercise</w:t>
      </w:r>
      <w:r>
        <w:rPr>
          <w:rFonts w:ascii="Times New Roman" w:cs="Times New Roman" w:eastAsia="Times New Roman" w:hAnsi="Times New Roman"/>
          <w:sz w:val="17"/>
          <w:szCs w:val="17"/>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7"/>
          <w:szCs w:val="17"/>
          <w:b w:val="1"/>
          <w:bCs w:val="1"/>
          <w:i w:val="1"/>
          <w:iCs w:val="1"/>
          <w:color w:val="auto"/>
        </w:rPr>
        <w:t>Buy-In</w:t>
      </w:r>
      <w:r>
        <w:rPr>
          <w:rFonts w:ascii="Times New Roman" w:cs="Times New Roman" w:eastAsia="Times New Roman" w:hAnsi="Times New Roman"/>
          <w:sz w:val="17"/>
          <w:szCs w:val="17"/>
          <w:color w:val="auto"/>
        </w:rPr>
        <w:t>”), then the Company shall pay in cash to the Holder the amount, if any, by which (x) the Holder’s total purchase price (including brokerage commissions, if any) for the shares of Common Stock so purchased exceeds (y) the product of (1) the lesser of the (a) the number of shares of Common Stock so purchased and</w:t>
      </w:r>
    </w:p>
    <w:p>
      <w:pPr>
        <w:spacing w:after="0" w:line="2" w:lineRule="exact"/>
        <w:rPr>
          <w:rFonts w:ascii="Times New Roman" w:cs="Times New Roman" w:eastAsia="Times New Roman" w:hAnsi="Times New Roman"/>
          <w:sz w:val="17"/>
          <w:szCs w:val="17"/>
          <w:color w:val="auto"/>
        </w:rPr>
      </w:pPr>
    </w:p>
    <w:p>
      <w:pPr>
        <w:ind w:left="4" w:right="160" w:hanging="4"/>
        <w:spacing w:after="0" w:line="251" w:lineRule="auto"/>
        <w:tabs>
          <w:tab w:leader="none" w:pos="2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 Shares that the Company was required to deliver to the Holder in connection with the exercise at issue multiplied by (2) the actual sale price at which the sell order giving rise to such purchase obligation was executed (including any brokerage commissions). For example, if a Holder purchases shares of Common Stock having a total purchase price of $11,000 to cover a Buy-In with respect to an attempted exercise of Common Stock with an aggregate sale price giving rise to such purchase obligation of $10,000, the Company shall be required to pay the Holder $1,000. The Holder shall provide the Company written notice after the occurrence of a Buy-In, indicating the amounts payable to the Holder in respect of the Buy-In together with applicable confirmations and other evidence reasonably requested by the Company. Nothing herein shall limit a Holder’s right to pursue any other remedies available to it hereunder, at law or in equity including, without limitation, a decree of specific performance and/or injunctive relief with respect to the Company’s failure to timely deliver the Common Stock upon exercise of the Warrant as required pursuant to the terms hereof.</w:t>
      </w:r>
    </w:p>
    <w:p>
      <w:pPr>
        <w:spacing w:after="0" w:line="193" w:lineRule="exact"/>
        <w:rPr>
          <w:rFonts w:ascii="Times New Roman" w:cs="Times New Roman" w:eastAsia="Times New Roman" w:hAnsi="Times New Roman"/>
          <w:sz w:val="18"/>
          <w:szCs w:val="18"/>
          <w:color w:val="auto"/>
        </w:rPr>
      </w:pPr>
    </w:p>
    <w:p>
      <w:pPr>
        <w:ind w:left="4" w:firstLine="1428"/>
        <w:spacing w:after="0" w:line="261" w:lineRule="auto"/>
        <w:tabs>
          <w:tab w:leader="none" w:pos="169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ind w:left="4" w:right="200" w:firstLine="1428"/>
        <w:spacing w:after="0" w:line="254" w:lineRule="auto"/>
        <w:tabs>
          <w:tab w:leader="none" w:pos="174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provided, however,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91" w:lineRule="exact"/>
        <w:rPr>
          <w:rFonts w:ascii="Times New Roman" w:cs="Times New Roman" w:eastAsia="Times New Roman" w:hAnsi="Times New Roman"/>
          <w:sz w:val="18"/>
          <w:szCs w:val="18"/>
          <w:color w:val="auto"/>
        </w:rPr>
      </w:pPr>
    </w:p>
    <w:p>
      <w:pPr>
        <w:ind w:left="4" w:right="520" w:firstLine="1428"/>
        <w:spacing w:after="0" w:line="282" w:lineRule="auto"/>
        <w:tabs>
          <w:tab w:leader="none" w:pos="179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ectPr>
          <w:pgSz w:w="11900" w:h="16838" w:orient="portrait"/>
          <w:cols w:equalWidth="0" w:num="1">
            <w:col w:w="11024"/>
          </w:cols>
          <w:pgMar w:left="436" w:top="270" w:right="439" w:bottom="1440" w:gutter="0" w:footer="0" w:header="0"/>
        </w:sectPr>
      </w:pPr>
    </w:p>
    <w:bookmarkStart w:id="42" w:name="page43"/>
    <w:bookmarkEnd w:id="42"/>
    <w:p>
      <w:pPr>
        <w:ind w:left="-440" w:right="20" w:firstLine="987"/>
        <w:spacing w:after="0" w:line="251" w:lineRule="auto"/>
        <w:tabs>
          <w:tab w:leader="none" w:pos="79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Exercise Limitations</w:t>
      </w:r>
      <w:r>
        <w:rPr>
          <w:rFonts w:ascii="Times New Roman" w:cs="Times New Roman" w:eastAsia="Times New Roman" w:hAnsi="Times New Roman"/>
          <w:sz w:val="18"/>
          <w:szCs w:val="18"/>
          <w:color w:val="auto"/>
        </w:rPr>
        <w:t>. Notwithstanding anything to the contrary herein, the Company shall not effect any exercise of this Warrant, and a Holder shall not have the right to exercise any portion of this Warrant, pursuant to Section 2 or otherwise, to the extent that immediately prior to or after giving effect to such issuance after exercise as set forth on the applicable Notice of Exercise, the Holder (together with (i) the Holder’s Affiliates, (ii) any other Persons acting as a group together with the Holder or any of the Holder’s Affiliates and (iii) any other Persons whose beneficial ownership of Common Stock would or could be aggregated with the Holder’s for the purposes of Section 13(d) of the Exchange Act (such Persons, “</w:t>
      </w:r>
      <w:r>
        <w:rPr>
          <w:rFonts w:ascii="Times New Roman" w:cs="Times New Roman" w:eastAsia="Times New Roman" w:hAnsi="Times New Roman"/>
          <w:sz w:val="18"/>
          <w:szCs w:val="18"/>
          <w:b w:val="1"/>
          <w:bCs w:val="1"/>
          <w:i w:val="1"/>
          <w:iCs w:val="1"/>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SEC,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Limitation</w:t>
      </w:r>
      <w:r>
        <w:rPr>
          <w:rFonts w:ascii="Times New Roman" w:cs="Times New Roman" w:eastAsia="Times New Roman" w:hAnsi="Times New Roman"/>
          <w:sz w:val="18"/>
          <w:szCs w:val="18"/>
          <w:color w:val="auto"/>
        </w:rPr>
        <w:t>” shall be [4.99% / 9.99%] of the number of shares of Common Stock outstanding immediately after giving effect to the issuance of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issuable upon exercise of this Warrant. The Holder, upon notice to the Company, may increase or decrease the Beneficial Ownership Limitation provisions of this Section 2(e), provided that the Beneficial Ownership Limitation in no event exceeds [19.99]% of the number of shares of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firstLine="987"/>
        <w:spacing w:after="0" w:line="254" w:lineRule="auto"/>
        <w:tabs>
          <w:tab w:leader="none" w:pos="7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w:t>
      </w:r>
    </w:p>
    <w:p>
      <w:pPr>
        <w:sectPr>
          <w:pgSz w:w="11900" w:h="16838" w:orient="portrait"/>
          <w:cols w:equalWidth="0" w:num="1">
            <w:col w:w="10580"/>
          </w:cols>
          <w:pgMar w:left="880" w:top="270" w:right="439" w:bottom="1440" w:gutter="0" w:footer="0" w:header="0"/>
        </w:sectPr>
      </w:pPr>
    </w:p>
    <w:bookmarkStart w:id="43" w:name="page44"/>
    <w:bookmarkEnd w:id="43"/>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6" w:lineRule="exact"/>
        <w:rPr>
          <w:sz w:val="20"/>
          <w:szCs w:val="20"/>
          <w:color w:val="auto"/>
        </w:rPr>
      </w:pPr>
    </w:p>
    <w:p>
      <w:pPr>
        <w:ind w:firstLine="987"/>
        <w:spacing w:after="0" w:line="253" w:lineRule="auto"/>
        <w:tabs>
          <w:tab w:leader="none" w:pos="12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rights to purchase stock, warrants, securities or other property pro rata to the record holders of any class of Common Stock (the “</w:t>
      </w:r>
      <w:r>
        <w:rPr>
          <w:rFonts w:ascii="Times New Roman" w:cs="Times New Roman" w:eastAsia="Times New Roman" w:hAnsi="Times New Roman"/>
          <w:sz w:val="18"/>
          <w:szCs w:val="18"/>
          <w:b w:val="1"/>
          <w:bCs w:val="1"/>
          <w:i w:val="1"/>
          <w:i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91" w:lineRule="exact"/>
        <w:rPr>
          <w:rFonts w:ascii="Times New Roman" w:cs="Times New Roman" w:eastAsia="Times New Roman" w:hAnsi="Times New Roman"/>
          <w:sz w:val="18"/>
          <w:szCs w:val="18"/>
          <w:color w:val="auto"/>
        </w:rPr>
      </w:pPr>
    </w:p>
    <w:p>
      <w:pPr>
        <w:ind w:right="40" w:firstLine="987"/>
        <w:spacing w:after="0" w:line="253" w:lineRule="auto"/>
        <w:tabs>
          <w:tab w:leader="none" w:pos="12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and except as covered by Section 3(d) below,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rFonts w:ascii="Times New Roman" w:cs="Times New Roman" w:eastAsia="Times New Roman" w:hAnsi="Times New Roman"/>
          <w:sz w:val="18"/>
          <w:szCs w:val="18"/>
          <w:color w:val="auto"/>
        </w:rPr>
      </w:pPr>
    </w:p>
    <w:p>
      <w:pPr>
        <w:ind w:right="40" w:firstLine="987"/>
        <w:spacing w:after="0" w:line="252" w:lineRule="auto"/>
        <w:tabs>
          <w:tab w:leader="none" w:pos="12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shares of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securities representing more than 50% of the aggregate voting power, including the power to vote on the election of directors of the Company, of the issued and outstanding equity securities of the Company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18"/>
          <w:szCs w:val="18"/>
          <w:b w:val="1"/>
          <w:bCs w:val="1"/>
          <w:i w:val="1"/>
          <w:iCs w:val="1"/>
          <w:color w:val="auto"/>
        </w:rPr>
        <w:t>Fundamental Transaction</w:t>
      </w:r>
      <w:r>
        <w:rPr>
          <w:rFonts w:ascii="Times New Roman" w:cs="Times New Roman" w:eastAsia="Times New Roman" w:hAnsi="Times New Roman"/>
          <w:sz w:val="18"/>
          <w:szCs w:val="18"/>
          <w:color w:val="auto"/>
        </w:rPr>
        <w:t>”), then, upon any subsequent exercise of this Warrant,</w:t>
      </w:r>
    </w:p>
    <w:p>
      <w:pPr>
        <w:sectPr>
          <w:pgSz w:w="11900" w:h="16838" w:orient="portrait"/>
          <w:cols w:equalWidth="0" w:num="1">
            <w:col w:w="11000"/>
          </w:cols>
          <w:pgMar w:left="440" w:top="270" w:right="459" w:bottom="1440" w:gutter="0" w:footer="0" w:header="0"/>
        </w:sectPr>
      </w:pPr>
    </w:p>
    <w:bookmarkStart w:id="44" w:name="page45"/>
    <w:bookmarkEnd w:id="44"/>
    <w:p>
      <w:pPr>
        <w:ind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b w:val="1"/>
          <w:bCs w:val="1"/>
          <w:i w:val="1"/>
          <w:iCs w:val="1"/>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b w:val="1"/>
          <w:bCs w:val="1"/>
          <w:i w:val="1"/>
          <w:iCs w:val="1"/>
          <w:color w:val="auto"/>
        </w:rPr>
        <w:t>Successor Entity</w:t>
      </w:r>
      <w:r>
        <w:rPr>
          <w:rFonts w:ascii="Times New Roman" w:cs="Times New Roman" w:eastAsia="Times New Roman" w:hAnsi="Times New Roman"/>
          <w:sz w:val="18"/>
          <w:szCs w:val="18"/>
          <w:color w:val="auto"/>
        </w:rPr>
        <w:t>”) to assume in writing all of the obligations of the Company under this Warrant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205" w:lineRule="exact"/>
        <w:rPr>
          <w:sz w:val="20"/>
          <w:szCs w:val="20"/>
          <w:color w:val="auto"/>
        </w:rPr>
      </w:pPr>
    </w:p>
    <w:p>
      <w:pPr>
        <w:jc w:val="both"/>
        <w:ind w:right="220" w:firstLine="987"/>
        <w:spacing w:after="0" w:line="266" w:lineRule="auto"/>
        <w:tabs>
          <w:tab w:leader="none" w:pos="12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100" w:firstLine="1428"/>
        <w:spacing w:after="0" w:line="266" w:lineRule="auto"/>
        <w:tabs>
          <w:tab w:leader="none" w:pos="164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75" w:lineRule="exact"/>
        <w:rPr>
          <w:rFonts w:ascii="Times New Roman" w:cs="Times New Roman" w:eastAsia="Times New Roman" w:hAnsi="Times New Roman"/>
          <w:sz w:val="18"/>
          <w:szCs w:val="18"/>
          <w:color w:val="auto"/>
        </w:rPr>
      </w:pPr>
    </w:p>
    <w:p>
      <w:pPr>
        <w:ind w:firstLine="1428"/>
        <w:spacing w:after="0" w:line="253" w:lineRule="auto"/>
        <w:tabs>
          <w:tab w:leader="none" w:pos="169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10 calendar days prior to the applicable record or effective date hereinafter specified, a notice stating (x) the date on which a record is to be taken for the</w:t>
      </w:r>
    </w:p>
    <w:p>
      <w:pPr>
        <w:sectPr>
          <w:pgSz w:w="11900" w:h="16838" w:orient="portrait"/>
          <w:cols w:equalWidth="0" w:num="1">
            <w:col w:w="11000"/>
          </w:cols>
          <w:pgMar w:left="440" w:top="270" w:right="459" w:bottom="1440" w:gutter="0" w:footer="0" w:header="0"/>
        </w:sectPr>
      </w:pPr>
    </w:p>
    <w:bookmarkStart w:id="45" w:name="page46"/>
    <w:bookmarkEnd w:id="4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SEC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7"/>
        <w:spacing w:after="0" w:line="253" w:lineRule="auto"/>
        <w:tabs>
          <w:tab w:leader="none" w:pos="12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1"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(first above indicated)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6" w:lineRule="exact"/>
        <w:rPr>
          <w:sz w:val="20"/>
          <w:szCs w:val="20"/>
          <w:color w:val="auto"/>
        </w:rPr>
      </w:pPr>
    </w:p>
    <w:p>
      <w:pPr>
        <w:ind w:right="80" w:firstLine="987"/>
        <w:spacing w:after="0" w:line="261" w:lineRule="auto"/>
        <w:tabs>
          <w:tab w:leader="none" w:pos="12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40" w:firstLine="987"/>
        <w:spacing w:after="0" w:line="258" w:lineRule="auto"/>
        <w:tabs>
          <w:tab w:leader="none" w:pos="12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w:t>
      </w:r>
      <w:r>
        <w:rPr>
          <w:rFonts w:ascii="Times New Roman" w:cs="Times New Roman" w:eastAsia="Times New Roman" w:hAnsi="Times New Roman"/>
          <w:sz w:val="18"/>
          <w:szCs w:val="18"/>
          <w:b w:val="1"/>
          <w:bCs w:val="1"/>
          <w:i w:val="1"/>
          <w:iCs w:val="1"/>
          <w:color w:val="auto"/>
        </w:rPr>
        <w:t>cashless exercise</w:t>
      </w:r>
      <w:r>
        <w:rPr>
          <w:rFonts w:ascii="Times New Roman" w:cs="Times New Roman" w:eastAsia="Times New Roman" w:hAnsi="Times New Roman"/>
          <w:sz w:val="18"/>
          <w:szCs w:val="18"/>
          <w:color w:val="auto"/>
        </w:rPr>
        <w:t>” pursuant to Section 2(c) or to receive cash payments pursuant to Section 2(d)(i) and Section 2(d)(iv) herein, in no event shall the Company be required to net cash settle an exercise of this Warrant.</w:t>
      </w:r>
    </w:p>
    <w:p>
      <w:pPr>
        <w:sectPr>
          <w:pgSz w:w="11900" w:h="16838" w:orient="portrait"/>
          <w:cols w:equalWidth="0" w:num="1">
            <w:col w:w="11020"/>
          </w:cols>
          <w:pgMar w:left="440" w:top="270" w:right="439" w:bottom="1440" w:gutter="0" w:footer="0" w:header="0"/>
        </w:sectPr>
      </w:pPr>
    </w:p>
    <w:bookmarkStart w:id="46" w:name="page47"/>
    <w:bookmarkEnd w:id="46"/>
    <w:p>
      <w:pPr>
        <w:ind w:left="4" w:right="120" w:firstLine="987"/>
        <w:spacing w:after="0" w:line="258" w:lineRule="auto"/>
        <w:tabs>
          <w:tab w:leader="none" w:pos="125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left="4" w:right="340" w:firstLine="987"/>
        <w:spacing w:after="0" w:line="282" w:lineRule="auto"/>
        <w:tabs>
          <w:tab w:leader="none" w:pos="12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71" w:lineRule="auto"/>
        <w:rPr>
          <w:sz w:val="20"/>
          <w:szCs w:val="20"/>
          <w:color w:val="auto"/>
        </w:rPr>
      </w:pPr>
      <w:r>
        <w:rPr>
          <w:rFonts w:ascii="Times New Roman" w:cs="Times New Roman" w:eastAsia="Times New Roman" w:hAnsi="Times New Roman"/>
          <w:sz w:val="17"/>
          <w:szCs w:val="17"/>
          <w:color w:val="auto"/>
        </w:rPr>
        <w:t>The Company covenants that it will, during the period the Warrant is outstanding,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73"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w:t>
      </w:r>
    </w:p>
    <w:p>
      <w:pPr>
        <w:spacing w:after="0" w:line="3" w:lineRule="exact"/>
        <w:rPr>
          <w:sz w:val="20"/>
          <w:szCs w:val="20"/>
          <w:color w:val="auto"/>
        </w:rPr>
      </w:pPr>
    </w:p>
    <w:p>
      <w:pPr>
        <w:ind w:left="4" w:right="180" w:hanging="4"/>
        <w:spacing w:after="0" w:line="260" w:lineRule="auto"/>
        <w:tabs>
          <w:tab w:leader="none" w:pos="31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1" w:lineRule="exact"/>
        <w:rPr>
          <w:sz w:val="20"/>
          <w:szCs w:val="20"/>
          <w:color w:val="auto"/>
        </w:rPr>
      </w:pPr>
    </w:p>
    <w:p>
      <w:pPr>
        <w:jc w:val="both"/>
        <w:ind w:left="4" w:right="560" w:firstLine="440"/>
        <w:spacing w:after="0" w:line="266" w:lineRule="auto"/>
        <w:rPr>
          <w:sz w:val="20"/>
          <w:szCs w:val="20"/>
          <w:color w:val="auto"/>
        </w:rPr>
      </w:pPr>
      <w:r>
        <w:rPr>
          <w:rFonts w:ascii="Times New Roman" w:cs="Times New Roman" w:eastAsia="Times New Roman" w:hAnsi="Times New Roman"/>
          <w:sz w:val="18"/>
          <w:szCs w:val="18"/>
          <w:color w:val="auto"/>
        </w:rPr>
        <w:t>Before taking any action that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1244" w:hanging="253"/>
        <w:spacing w:after="0"/>
        <w:tabs>
          <w:tab w:leader="none" w:pos="12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40" w:firstLine="1428"/>
        <w:spacing w:after="0" w:line="266" w:lineRule="auto"/>
        <w:tabs>
          <w:tab w:leader="none" w:pos="164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shall be governed by, and construed in accordance with, the law of the State of New York without giving effect to any choice or conflict of law provision or rule (whether of the State of New York or any other jurisdiction) that would cause the application of the laws of any jurisdiction other than the State of New York.</w:t>
      </w:r>
    </w:p>
    <w:p>
      <w:pPr>
        <w:sectPr>
          <w:pgSz w:w="11900" w:h="16838" w:orient="portrait"/>
          <w:cols w:equalWidth="0" w:num="1">
            <w:col w:w="11004"/>
          </w:cols>
          <w:pgMar w:left="436" w:top="270" w:right="459" w:bottom="1440" w:gutter="0" w:footer="0" w:header="0"/>
        </w:sectPr>
      </w:pPr>
    </w:p>
    <w:bookmarkStart w:id="47" w:name="page48"/>
    <w:bookmarkEnd w:id="47"/>
    <w:p>
      <w:pPr>
        <w:ind w:left="4" w:right="120" w:firstLine="1428"/>
        <w:spacing w:after="0" w:line="273" w:lineRule="auto"/>
        <w:tabs>
          <w:tab w:leader="none" w:pos="1701" w:val="left"/>
        </w:tabs>
        <w:numPr>
          <w:ilvl w:val="2"/>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Company and the Holder irrevocably and unconditionally submits, for itself and its property, to the nonexclusive jurisdiction of the courts of the State of New York sitting in the Borough of Manhattan, New York and of the United States District Court of the Southern District of New York, and any appellate court from any thereof, in any action or proceeding arising out of or relating to this Warrant and the transactions contemplated herein, or for recognition or enforcement of any judgment, and each of the Company and the Holder irrevocably and unconditionally agrees that all claims in respect of any such action or proceeding may be heard and determined in such New York state court or, to the fullest extent permitted by applicable law, in such federal court. Each of the Company and the Holder hereto agrees that a final judgment in any such action or proceeding shall be conclusive and may be enforced in other jurisdictions by suit on the judgment or in any other manner provided by law.</w:t>
      </w:r>
    </w:p>
    <w:p>
      <w:pPr>
        <w:spacing w:after="0" w:line="171" w:lineRule="exact"/>
        <w:rPr>
          <w:rFonts w:ascii="Times New Roman" w:cs="Times New Roman" w:eastAsia="Times New Roman" w:hAnsi="Times New Roman"/>
          <w:sz w:val="17"/>
          <w:szCs w:val="17"/>
          <w:color w:val="auto"/>
        </w:rPr>
      </w:pPr>
    </w:p>
    <w:p>
      <w:pPr>
        <w:ind w:left="4" w:right="60" w:firstLine="1428"/>
        <w:spacing w:after="0" w:line="281" w:lineRule="auto"/>
        <w:tabs>
          <w:tab w:leader="none" w:pos="1751" w:val="left"/>
        </w:tabs>
        <w:numPr>
          <w:ilvl w:val="2"/>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 and the Holder irrevocably and unconditionally waives, to the fullest extent permitted by applicable law, any objection that it may now or hereafter have to the laying of venue of any action or proceeding arising out of or relating to this Warrant and the transactions contemplated herein in any court referred to in Section 5(e)(ii) hereof. Each of the Company and the Holder hereby irrevocably waives, to the fullest extent permitted by applicable law, the defense of an inconvenient forum to the maintenance of such action or proceeding in any such court.</w:t>
      </w:r>
    </w:p>
    <w:p>
      <w:pPr>
        <w:spacing w:after="0" w:line="164" w:lineRule="exact"/>
        <w:rPr>
          <w:rFonts w:ascii="Times New Roman" w:cs="Times New Roman" w:eastAsia="Times New Roman" w:hAnsi="Times New Roman"/>
          <w:sz w:val="17"/>
          <w:szCs w:val="17"/>
          <w:color w:val="auto"/>
        </w:rPr>
      </w:pPr>
    </w:p>
    <w:p>
      <w:pPr>
        <w:ind w:left="4" w:right="100" w:firstLine="1428"/>
        <w:spacing w:after="0" w:line="253" w:lineRule="auto"/>
        <w:tabs>
          <w:tab w:leader="none" w:pos="1741"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HOLDER HEREBY IRREVOCABLY WAIVES, TO THE FULLEST EXTENT PERMITTED BY APPLICABLE LAW, ANY RIGHT IT MAY HAVE TO A TRIAL BY JURY IN ANY LEGAL PROCEEDING DIRECTLY OR INDIRECTLY ARISING OUT OF OR RELATING TO THIS WARRANT OR THE TRANSACTIONS CONTEMPLATED HEREBY (WHETHER BASED ON CONTRACT, TORT OR ANY OTHER THEORY). EACH OF THE COMPANY AND THE HOLDER (A) CERTIFIES THAT NO REPRESENTATIVE, AGENT OR ATTORNEY OF ANY OTHER PERSON HAS REPRESENTED, EXPRESSLY OR OTHERWISE, THAT SUCH OTHER PERSON WOULD NOT, IN THE EVENT OF LITIGATION, SEEK TO ENFORCE THE FOREGOING WAIVER AND</w:t>
      </w:r>
    </w:p>
    <w:p>
      <w:pPr>
        <w:spacing w:after="0" w:line="5" w:lineRule="exact"/>
        <w:rPr>
          <w:rFonts w:ascii="Times New Roman" w:cs="Times New Roman" w:eastAsia="Times New Roman" w:hAnsi="Times New Roman"/>
          <w:sz w:val="18"/>
          <w:szCs w:val="18"/>
          <w:color w:val="auto"/>
        </w:rPr>
      </w:pPr>
    </w:p>
    <w:p>
      <w:pPr>
        <w:ind w:left="4" w:right="60" w:hanging="4"/>
        <w:spacing w:after="0" w:line="260" w:lineRule="auto"/>
        <w:tabs>
          <w:tab w:leader="none" w:pos="27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EACH OF THE COMPANY AND THE HOLDER HAS BEEN INDUCED TO ENTER INTO THIS WARRANT BY, AMONG OTHER THINGS, THE MUTUAL WAIVERS AND CERTIFICATIONS IN THIS SECTION.</w:t>
      </w:r>
    </w:p>
    <w:p>
      <w:pPr>
        <w:spacing w:after="0" w:line="181" w:lineRule="exact"/>
        <w:rPr>
          <w:rFonts w:ascii="Times New Roman" w:cs="Times New Roman" w:eastAsia="Times New Roman" w:hAnsi="Times New Roman"/>
          <w:sz w:val="18"/>
          <w:szCs w:val="18"/>
          <w:color w:val="auto"/>
        </w:rPr>
      </w:pPr>
    </w:p>
    <w:p>
      <w:pPr>
        <w:ind w:left="4" w:firstLine="987"/>
        <w:spacing w:after="0" w:line="256" w:lineRule="auto"/>
        <w:tabs>
          <w:tab w:leader="none" w:pos="12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Underwriting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4" w:right="120" w:firstLine="987"/>
        <w:spacing w:after="0" w:line="255" w:lineRule="auto"/>
        <w:tabs>
          <w:tab w:leader="none" w:pos="125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required or permitted hereunder shall be in writing and shall be deemed effectively given: (a) upon personal delivery to the party to be notified, (b) when sent by email or facsimile if sent during normal business hours of the recipient, and if sent at a time other than during normal business hours of the recipient, then on the next Business Day (provided, with respect to notices sent by email so long as such sent email is kept on file by the sending party and the sending party does not receive an automatically generated message from the recipient’s email server that such email could not be delivered to such recipient), (c) five days after having been sent by registered or certified mail, return receipt requested, postage prepaid, or (d) one Business Day after deposit with a nationally recognized overnight courier, specifying next day delivery, with written verification of receipt. The addresses for such communications are:</w:t>
      </w:r>
    </w:p>
    <w:p>
      <w:pPr>
        <w:sectPr>
          <w:pgSz w:w="11900" w:h="16838" w:orient="portrait"/>
          <w:cols w:equalWidth="0" w:num="1">
            <w:col w:w="10924"/>
          </w:cols>
          <w:pgMar w:left="436" w:top="270" w:right="539" w:bottom="1440" w:gutter="0" w:footer="0" w:header="0"/>
        </w:sectPr>
      </w:pP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Taysha Gene Therapies,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3000 Pegasus Park Drive, Suite 1430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75247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KAlam@tayshagtx.com</w:t>
      </w:r>
    </w:p>
    <w:p>
      <w:pPr>
        <w:sectPr>
          <w:pgSz w:w="11900" w:h="16838" w:orient="portrait"/>
          <w:cols w:equalWidth="0" w:num="2">
            <w:col w:w="2484" w:space="720"/>
            <w:col w:w="7720"/>
          </w:cols>
          <w:pgMar w:left="436" w:top="270" w:right="5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Cooley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-213360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1299 Pennsylvania Avenue, NW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Madison Jones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madison.jones@cooley.com</w:t>
      </w:r>
    </w:p>
    <w:p>
      <w:pPr>
        <w:spacing w:after="0" w:line="200" w:lineRule="exact"/>
        <w:rPr>
          <w:sz w:val="20"/>
          <w:szCs w:val="20"/>
          <w:color w:val="auto"/>
        </w:rPr>
      </w:pPr>
    </w:p>
    <w:p>
      <w:pPr>
        <w:sectPr>
          <w:pgSz w:w="11900" w:h="16838" w:orient="portrait"/>
          <w:cols w:equalWidth="0" w:num="2">
            <w:col w:w="2480" w:space="720"/>
            <w:col w:w="7800"/>
          </w:cols>
          <w:pgMar w:left="440" w:top="270" w:right="459" w:bottom="1440" w:gutter="0" w:footer="0" w:header="0"/>
        </w:sectPr>
      </w:pPr>
    </w:p>
    <w:p>
      <w:pPr>
        <w:spacing w:after="0" w:line="3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If to the Holder: To the address, email address or facsimile number set forth in the Warrant Register, or as otherwise provided by the Holder to the Company in accordance with this Section 5(g).</w:t>
      </w:r>
    </w:p>
    <w:p>
      <w:pPr>
        <w:spacing w:after="0" w:line="162" w:lineRule="exact"/>
        <w:rPr>
          <w:sz w:val="20"/>
          <w:szCs w:val="20"/>
          <w:color w:val="auto"/>
        </w:rPr>
      </w:pPr>
    </w:p>
    <w:p>
      <w:pPr>
        <w:jc w:val="both"/>
        <w:ind w:right="20" w:firstLine="987"/>
        <w:spacing w:after="0" w:line="289" w:lineRule="auto"/>
        <w:tabs>
          <w:tab w:leader="none" w:pos="1246"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57" w:lineRule="exact"/>
        <w:rPr>
          <w:rFonts w:ascii="Times New Roman" w:cs="Times New Roman" w:eastAsia="Times New Roman" w:hAnsi="Times New Roman"/>
          <w:sz w:val="17"/>
          <w:szCs w:val="17"/>
          <w:color w:val="auto"/>
        </w:rPr>
      </w:pPr>
    </w:p>
    <w:p>
      <w:pPr>
        <w:ind w:right="20" w:firstLine="987"/>
        <w:spacing w:after="0" w:line="261" w:lineRule="auto"/>
        <w:tabs>
          <w:tab w:leader="none" w:pos="120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ind w:right="140" w:firstLine="987"/>
        <w:spacing w:after="0" w:line="261" w:lineRule="auto"/>
        <w:tabs>
          <w:tab w:leader="none" w:pos="120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w:t>
      </w:r>
    </w:p>
    <w:p>
      <w:pPr>
        <w:spacing w:after="0" w:line="206" w:lineRule="exact"/>
        <w:rPr>
          <w:rFonts w:ascii="Times New Roman" w:cs="Times New Roman" w:eastAsia="Times New Roman" w:hAnsi="Times New Roman"/>
          <w:sz w:val="18"/>
          <w:szCs w:val="18"/>
          <w:color w:val="auto"/>
        </w:rPr>
      </w:pPr>
    </w:p>
    <w:p>
      <w:pPr>
        <w:ind w:right="240" w:firstLine="987"/>
        <w:spacing w:after="0" w:line="266" w:lineRule="auto"/>
        <w:tabs>
          <w:tab w:leader="none" w:pos="120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used in this Warrant are for the convenience of reference only and shall not, for any purpose, be deemed a part</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 this Warrant.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000"/>
          </w:cols>
          <w:pgMar w:left="440" w:top="270" w:right="459" w:bottom="1440" w:gutter="0" w:footer="0" w:header="0"/>
          <w:type w:val="continuous"/>
        </w:sectPr>
      </w:pPr>
    </w:p>
    <w:bookmarkStart w:id="49" w:name="page50"/>
    <w:bookmarkEnd w:id="4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Sean Nolan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900"/>
          </w:cols>
          <w:pgMar w:left="440" w:top="270" w:right="55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TAYSHA GENE THERAPIES, INC.</w:t>
      </w:r>
    </w:p>
    <w:p>
      <w:pPr>
        <w:spacing w:after="0" w:line="225" w:lineRule="exact"/>
        <w:rPr>
          <w:sz w:val="20"/>
          <w:szCs w:val="20"/>
          <w:color w:val="auto"/>
        </w:rPr>
      </w:pPr>
    </w:p>
    <w:p>
      <w:pPr>
        <w:ind w:right="460" w:firstLine="436"/>
        <w:spacing w:after="0" w:line="282" w:lineRule="auto"/>
        <w:tabs>
          <w:tab w:leader="none" w:pos="6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131" w:lineRule="exact"/>
        <w:rPr>
          <w:sz w:val="20"/>
          <w:szCs w:val="20"/>
          <w:color w:val="auto"/>
        </w:rPr>
      </w:pPr>
    </w:p>
    <w:p>
      <w:pPr>
        <w:ind w:left="420" w:right="200" w:hanging="431"/>
        <w:spacing w:after="0" w:line="266" w:lineRule="auto"/>
        <w:rPr>
          <w:sz w:val="20"/>
          <w:szCs w:val="20"/>
          <w:color w:val="auto"/>
        </w:rPr>
      </w:pPr>
      <w:r>
        <w:rPr>
          <w:rFonts w:ascii="Times New Roman" w:cs="Times New Roman" w:eastAsia="Times New Roman" w:hAnsi="Times New Roman"/>
          <w:sz w:val="18"/>
          <w:szCs w:val="18"/>
          <w:color w:val="auto"/>
        </w:rPr>
        <w:t>[  ]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6" w:lineRule="exact"/>
        <w:rPr>
          <w:sz w:val="20"/>
          <w:szCs w:val="20"/>
          <w:color w:val="auto"/>
        </w:rPr>
      </w:pPr>
    </w:p>
    <w:p>
      <w:pPr>
        <w:ind w:left="700" w:hanging="264"/>
        <w:spacing w:after="0"/>
        <w:tabs>
          <w:tab w:leader="none" w:pos="7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117"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Notice of Exercise,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2(e) of the Warrant to which this notice relates.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 of Investing Entity: 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1187450</wp:posOffset>
            </wp:positionH>
            <wp:positionV relativeFrom="paragraph">
              <wp:posOffset>-7620</wp:posOffset>
            </wp:positionV>
            <wp:extent cx="21710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71065"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gridSpan w:val="17"/>
          </w:tcPr>
          <w:p>
            <w:pPr>
              <w:spacing w:after="0"/>
              <w:rPr>
                <w:sz w:val="20"/>
                <w:szCs w:val="20"/>
                <w:color w:val="auto"/>
              </w:rPr>
            </w:pPr>
            <w:r>
              <w:rPr>
                <w:rFonts w:ascii="Times New Roman" w:cs="Times New Roman" w:eastAsia="Times New Roman" w:hAnsi="Times New Roman"/>
                <w:sz w:val="18"/>
                <w:szCs w:val="18"/>
                <w:i w:val="1"/>
                <w:iCs w:val="1"/>
                <w:color w:val="auto"/>
                <w:w w:val="98"/>
              </w:rPr>
              <w:t>Signature of Authorized Signatory of Investing</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78"/>
              </w:rPr>
              <w:t>Entity</w:t>
            </w:r>
            <w:r>
              <w:rPr>
                <w:rFonts w:ascii="Times New Roman" w:cs="Times New Roman" w:eastAsia="Times New Roman" w:hAnsi="Times New Roman"/>
                <w:sz w:val="18"/>
                <w:szCs w:val="18"/>
                <w:color w:val="auto"/>
                <w:w w:val="7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90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80" w:type="dxa"/>
            <w:vAlign w:val="bottom"/>
          </w:tcPr>
          <w:p>
            <w:pPr>
              <w:spacing w:after="0"/>
              <w:rPr>
                <w:sz w:val="17"/>
                <w:szCs w:val="17"/>
                <w:color w:val="auto"/>
              </w:rPr>
            </w:pPr>
          </w:p>
        </w:tc>
        <w:tc>
          <w:tcPr>
            <w:tcW w:w="2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8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30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6"/>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412"/>
        </w:trPr>
        <w:tc>
          <w:tcPr>
            <w:tcW w:w="2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4"/>
              </w:rPr>
              <w:t>Name of Authorized Signatory: </w:t>
            </w:r>
          </w:p>
        </w:tc>
        <w:tc>
          <w:tcPr>
            <w:tcW w:w="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 </w:t>
            </w:r>
          </w:p>
        </w:tc>
      </w:tr>
      <w:tr>
        <w:trPr>
          <w:trHeight w:val="412"/>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4"/>
              </w:rPr>
              <w:t>Title of Authorized Signatory: </w:t>
            </w: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1"/>
              </w:rPr>
              <w:t>Date: 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spacing w:after="0"/>
              <w:rPr>
                <w:sz w:val="24"/>
                <w:szCs w:val="24"/>
                <w:color w:val="auto"/>
              </w:rPr>
            </w:pP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40" w:top="266" w:right="499" w:bottom="1440" w:gutter="0" w:footer="0" w:header="0"/>
        </w:sectPr>
      </w:pPr>
    </w:p>
    <w:bookmarkStart w:id="51" w:name="page52"/>
    <w:bookmarkEnd w:id="51"/>
    <w:p>
      <w:pPr>
        <w:ind w:left="4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(To assign the foregoing Warrant, execute this form and supply required information. Do not use this form to purchase shares.)</w:t>
      </w:r>
    </w:p>
    <w:p>
      <w:pPr>
        <w:spacing w:after="0" w:line="2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Phone Number:</w:t>
      </w:r>
      <w:r>
        <w:rPr>
          <w:sz w:val="20"/>
          <w:szCs w:val="20"/>
          <w:color w:val="auto"/>
        </w:rPr>
        <w:tab/>
      </w:r>
      <w:r>
        <w:rPr>
          <w:rFonts w:ascii="Times New Roman" w:cs="Times New Roman" w:eastAsia="Times New Roman" w:hAnsi="Times New Roman"/>
          <w:sz w:val="17"/>
          <w:szCs w:val="17"/>
          <w:color w:val="auto"/>
        </w:rPr>
        <w:t>(Please Print)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-7620</wp:posOffset>
            </wp:positionV>
            <wp:extent cx="7143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ectPr>
          <w:pgSz w:w="11900" w:h="16838" w:orient="portrait"/>
          <w:cols w:equalWidth="0" w:num="1">
            <w:col w:w="10019"/>
          </w:cols>
          <w:pgMar w:left="440" w:top="266" w:right="1440"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165860" cy="3771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Madison A. Jones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+1 202 728 7087</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madison.jones@cooley.com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June 24, 2026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Taysha Gene Therapies,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3000 Pegasus Park Drive, Suite 1430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Dallas, Texas 75247</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have acted as counsel to Taysha Gene Therapies,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offering by the Company of</w:t>
      </w:r>
    </w:p>
    <w:p>
      <w:pPr>
        <w:spacing w:after="0" w:line="31" w:lineRule="exact"/>
        <w:rPr>
          <w:sz w:val="20"/>
          <w:szCs w:val="20"/>
          <w:color w:val="auto"/>
        </w:rPr>
      </w:pPr>
    </w:p>
    <w:p>
      <w:pPr>
        <w:ind w:left="4" w:right="80" w:hanging="4"/>
        <w:spacing w:after="0" w:line="250" w:lineRule="auto"/>
        <w:tabs>
          <w:tab w:leader="none" w:pos="21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37,500,001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its common stock, par value $0.00001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including up to 5,000,000 Shares that may be sold pursuant to the exercise of an option to purchase additional Shares, and (ii) pre-funded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to purchase up to</w:t>
      </w:r>
    </w:p>
    <w:p>
      <w:pPr>
        <w:ind w:left="4"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833,333 shares of Common Stock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all pursuant to a Registration Statement on Form S-3 (No. 333-291244) (the “</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prospectus included in the Registration Statement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and the prospectus supplement relating to the Shares, the Warrants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Warrant Shares dated June 24, 2026, filed with the Commission pursuant to Rule 424(b) under the Securities Act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(a) the Registration Statement and the Prospectus, (b) the form of the Warrants to be filed as an exhibit to a Current Report on Form 8-K, (c) the Company’s certificate of incorporation and bylaws, each as currently in effect, and</w:t>
      </w:r>
    </w:p>
    <w:p>
      <w:pPr>
        <w:ind w:left="4" w:right="120" w:hanging="4"/>
        <w:spacing w:after="0" w:line="271" w:lineRule="auto"/>
        <w:tabs>
          <w:tab w:leader="none" w:pos="259"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originals or copies certified to our satisfaction of such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74" w:lineRule="exact"/>
        <w:rPr>
          <w:sz w:val="20"/>
          <w:szCs w:val="20"/>
          <w:color w:val="auto"/>
        </w:rPr>
      </w:pPr>
    </w:p>
    <w:p>
      <w:pPr>
        <w:jc w:val="both"/>
        <w:ind w:left="4" w:right="120"/>
        <w:spacing w:after="0" w:line="266" w:lineRule="auto"/>
        <w:rPr>
          <w:sz w:val="20"/>
          <w:szCs w:val="20"/>
          <w:color w:val="auto"/>
        </w:rPr>
      </w:pPr>
      <w:r>
        <w:rPr>
          <w:rFonts w:ascii="Times New Roman" w:cs="Times New Roman" w:eastAsia="Times New Roman" w:hAnsi="Times New Roman"/>
          <w:sz w:val="18"/>
          <w:szCs w:val="18"/>
          <w:color w:val="auto"/>
        </w:rPr>
        <w:t>With regard to our opinion as to the Warrants and the Warrant Shares, we have assumed (i) that a sufficient number of shares of Common Stock will be available for issuance under the Company’s certificate of incorporation at the time the Warrant Shares are issued and (ii) that the consideration received by the Company upon exercise of the Warrants will at least equal to the par value of the Warrant Shares.</w:t>
      </w:r>
    </w:p>
    <w:p>
      <w:pPr>
        <w:spacing w:after="0" w:line="176"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Our opinion herein is expressed solely with respect to the General Corporation Law of the State of Delaware and, as to the Warrants constituting binding obligations of the Company, the laws of the State of New York.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regard to our opinion concerning the Warrants constituting binding obligations of the Company:</w:t>
      </w:r>
    </w:p>
    <w:p>
      <w:pPr>
        <w:spacing w:after="0" w:line="117" w:lineRule="exact"/>
        <w:rPr>
          <w:sz w:val="20"/>
          <w:szCs w:val="20"/>
          <w:color w:val="auto"/>
        </w:rPr>
      </w:pPr>
    </w:p>
    <w:p>
      <w:pPr>
        <w:ind w:left="4" w:right="300" w:firstLine="436"/>
        <w:spacing w:after="0" w:line="289" w:lineRule="auto"/>
        <w:tabs>
          <w:tab w:leader="none" w:pos="659"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opinion is subject to, and may be limited by, (a) applicable bankruptcy, reorganization, insolvency, moratorium, fraudulent conveyance, debtor and creditor, and similar laws which relate to or affect creditors’ rights generally, and (b) general principles of equity (including, without limitation, concepts of materiality, reasonableness, good faith and fair dealing) regardless of whether considered in a proceeding in equity or at law;</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Cooley LLP   1299 Pennsylvania Avenue NW   Suite 700 Washington, DC   20004-2400</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 +1 202 842 7800 f: +1 202 842 7899 cooley.com</w:t>
      </w:r>
    </w:p>
    <w:p>
      <w:pPr>
        <w:sectPr>
          <w:pgSz w:w="11900" w:h="16838" w:orient="portrait"/>
          <w:cols w:equalWidth="0" w:num="1">
            <w:col w:w="11024"/>
          </w:cols>
          <w:pgMar w:left="436" w:top="117" w:right="439" w:bottom="1440" w:gutter="0" w:footer="0" w:header="0"/>
        </w:sectPr>
      </w:pPr>
    </w:p>
    <w:bookmarkStart w:id="53" w:name="page54"/>
    <w:bookmarkEnd w:id="5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65860" cy="3771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June 24, 2026 Page Two</w:t>
      </w:r>
    </w:p>
    <w:p>
      <w:pPr>
        <w:spacing w:after="0" w:line="158" w:lineRule="exact"/>
        <w:rPr>
          <w:sz w:val="20"/>
          <w:szCs w:val="20"/>
          <w:color w:val="auto"/>
        </w:rPr>
      </w:pPr>
    </w:p>
    <w:p>
      <w:pPr>
        <w:ind w:left="4" w:right="20" w:firstLine="436"/>
        <w:spacing w:after="0" w:line="266" w:lineRule="auto"/>
        <w:tabs>
          <w:tab w:leader="none" w:pos="70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is subject to the qualification that (a) the enforceability of provisions for indemnification or limitations on liability may be limited by applicable law and by public policy considerations, and (b) the availability of specific performance, an injunction or other equitable remedies is subject to the discretion of the court before which the request is brought;</w:t>
      </w:r>
    </w:p>
    <w:p>
      <w:pPr>
        <w:spacing w:after="0" w:line="175" w:lineRule="exact"/>
        <w:rPr>
          <w:rFonts w:ascii="Times New Roman" w:cs="Times New Roman" w:eastAsia="Times New Roman" w:hAnsi="Times New Roman"/>
          <w:sz w:val="18"/>
          <w:szCs w:val="18"/>
          <w:color w:val="auto"/>
        </w:rPr>
      </w:pPr>
    </w:p>
    <w:p>
      <w:pPr>
        <w:ind w:left="4" w:firstLine="436"/>
        <w:spacing w:after="0" w:line="253" w:lineRule="auto"/>
        <w:tabs>
          <w:tab w:leader="none" w:pos="75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with respect to any provision of the Warrants that: (a) relates to the subject matter jurisdiction of any federal court of the United States of America or any federal appellate court to adjudicate any controversy related to the Warrants; (b) specifies provisions may be waived in writing, to the extent that an oral agreement or implied agreement by trade practice or course of conduct has been created that modifies such provision; (c) contains a waiver of an inconvenient forum; (d) provides for liquidated damages, default interest, late charges, monetary penalties, prepayment or make-whole payments or other economic remedies; (e) relates to advance waivers of claims, defenses, rights granted by law, or notice, opportunity for hearing, evidentiary requirements, statutes of limitations, trial by jury, service of process or procedural rights; (f) restricts non-written modifications and waivers; (g) provides for the payment of legal and other professional fees where such payment is contrary to law or public policy;</w:t>
      </w:r>
    </w:p>
    <w:p>
      <w:pPr>
        <w:spacing w:after="0" w:line="2" w:lineRule="exact"/>
        <w:rPr>
          <w:rFonts w:ascii="Times New Roman" w:cs="Times New Roman" w:eastAsia="Times New Roman" w:hAnsi="Times New Roman"/>
          <w:sz w:val="18"/>
          <w:szCs w:val="18"/>
          <w:color w:val="auto"/>
        </w:rPr>
      </w:pPr>
    </w:p>
    <w:p>
      <w:pPr>
        <w:ind w:left="4" w:right="320" w:hanging="4"/>
        <w:spacing w:after="0" w:line="260" w:lineRule="auto"/>
        <w:tabs>
          <w:tab w:leader="none" w:pos="25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exclusivity, election or accumulation of rights or remedies; or (i) provides that provisions of the Warrants are severable to the extent an essential part of the agreed exchange is determined to be invalid and unenforceable; and</w:t>
      </w:r>
    </w:p>
    <w:p>
      <w:pPr>
        <w:spacing w:after="0" w:line="181"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74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whether a state court outside of the State of New York or a federal court of the United States would give effect to the choice of New York law or jurisdiction provided for in the Warrants.</w:t>
      </w:r>
    </w:p>
    <w:p>
      <w:pPr>
        <w:spacing w:after="0" w:line="162"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(i) the Shares, when sold and issued in accordance with the Registration Statement and the Prospectus, will be validly issued, fully paid and nonassessable, (ii) the Warrants, when duly executed and delivered by the Company against payment therefor as described in the Registration Statement and the Prospectus, will be binding obligations of the Company and (iii) the Warrant Shares, when issued and paid for in accordance with the terms of the Warrants, will be validly issued, fully paid and nonassessable.</w:t>
      </w:r>
    </w:p>
    <w:p>
      <w:pPr>
        <w:spacing w:after="0" w:line="180"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Cooley LLP   1299 Pennsylvania Avenue NW   Suite 700 Washington, DC   20004-2400</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t: +1 202 842 7800 f: +1 202 842 7899 cooley.com</w:t>
      </w:r>
    </w:p>
    <w:p>
      <w:pPr>
        <w:sectPr>
          <w:pgSz w:w="11900" w:h="16838" w:orient="portrait"/>
          <w:cols w:equalWidth="0" w:num="1">
            <w:col w:w="10984"/>
          </w:cols>
          <w:pgMar w:left="436" w:top="972"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65860" cy="3771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June 24, 2026 Page Three</w:t>
      </w:r>
    </w:p>
    <w:p>
      <w:pPr>
        <w:spacing w:after="0" w:line="1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“Legal Matters” in the Prospectus and to the filing of this opinion as an exhibit to a Current Report on Form 8-K to be filed with the Commission for incorporation by reference into the Registration Statement. In giving such consents, we do not thereby admit that we are in the category of persons whose consent is required under Section 7 of the Securities Act or the rules and regulations of the Commission thereunder.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Sincerely,</w:t>
            </w:r>
          </w:p>
        </w:tc>
        <w:tc>
          <w:tcPr>
            <w:tcW w:w="314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3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Cooley LLP</w:t>
            </w:r>
          </w:p>
        </w:tc>
        <w:tc>
          <w:tcPr>
            <w:tcW w:w="314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43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7500" w:type="dxa"/>
            <w:vAlign w:val="bottom"/>
            <w:gridSpan w:val="2"/>
          </w:tcPr>
          <w:p>
            <w:pPr>
              <w:jc w:val="center"/>
              <w:ind w:right="5260"/>
              <w:spacing w:after="0"/>
              <w:rPr>
                <w:sz w:val="20"/>
                <w:szCs w:val="20"/>
                <w:color w:val="auto"/>
              </w:rPr>
            </w:pPr>
            <w:r>
              <w:rPr>
                <w:rFonts w:ascii="Times New Roman" w:cs="Times New Roman" w:eastAsia="Times New Roman" w:hAnsi="Times New Roman"/>
                <w:sz w:val="18"/>
                <w:szCs w:val="18"/>
                <w:color w:val="auto"/>
              </w:rPr>
              <w:t>/s/ Madison A. Jones</w:t>
            </w:r>
          </w:p>
        </w:tc>
      </w:tr>
      <w:tr>
        <w:trPr>
          <w:trHeight w:val="228"/>
        </w:trPr>
        <w:tc>
          <w:tcPr>
            <w:tcW w:w="3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140" w:type="dxa"/>
            <w:vAlign w:val="bottom"/>
            <w:tcBorders>
              <w:top w:val="single" w:sz="8" w:color="auto"/>
            </w:tcBorders>
          </w:tcPr>
          <w:p>
            <w:pPr>
              <w:jc w:val="center"/>
              <w:ind w:right="810"/>
              <w:spacing w:after="0"/>
              <w:rPr>
                <w:sz w:val="20"/>
                <w:szCs w:val="20"/>
                <w:color w:val="auto"/>
              </w:rPr>
            </w:pPr>
            <w:r>
              <w:rPr>
                <w:rFonts w:ascii="Times New Roman" w:cs="Times New Roman" w:eastAsia="Times New Roman" w:hAnsi="Times New Roman"/>
                <w:sz w:val="18"/>
                <w:szCs w:val="18"/>
                <w:color w:val="auto"/>
                <w:w w:val="98"/>
              </w:rPr>
              <w:t>Madison A. Jones</w:t>
            </w:r>
          </w:p>
        </w:tc>
        <w:tc>
          <w:tcPr>
            <w:tcW w:w="4360" w:type="dxa"/>
            <w:vAlign w:val="bottom"/>
          </w:tcPr>
          <w:p>
            <w:pPr>
              <w:spacing w:after="0"/>
              <w:rPr>
                <w:sz w:val="19"/>
                <w:szCs w:val="19"/>
                <w:color w:val="auto"/>
              </w:rPr>
            </w:pPr>
          </w:p>
        </w:tc>
      </w:tr>
      <w:tr>
        <w:trPr>
          <w:trHeight w:val="328"/>
        </w:trPr>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50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color w:val="auto"/>
                <w:w w:val="95"/>
              </w:rPr>
              <w:t>Cooley LLP   1299 Pennsylvania Avenue NW   Suite 700 Washington, DC   20004-2400</w:t>
            </w:r>
          </w:p>
        </w:tc>
      </w:tr>
      <w:tr>
        <w:trPr>
          <w:trHeight w:val="234"/>
        </w:trPr>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50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color w:val="auto"/>
                <w:w w:val="99"/>
              </w:rPr>
              <w:t>t: +1 202 842 7800 f: +1 202 842 7899 cooley.com</w:t>
            </w:r>
          </w:p>
        </w:tc>
      </w:tr>
    </w:tbl>
    <w:p>
      <w:pPr>
        <w:sectPr>
          <w:pgSz w:w="11900" w:h="16838" w:orient="portrait"/>
          <w:cols w:equalWidth="0" w:num="1">
            <w:col w:w="10900"/>
          </w:cols>
          <w:pgMar w:left="440" w:top="972" w:right="55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Announces Proposed Public Offering of Common Stock and Pre-Funded Warrants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DALLAS, June 24, 2026 — Taysha Gene Therapies, Inc. (Nasdaq: TSHA) (Taysha or the Company), a clinical-stage biotechnology company focused on advancing adeno-associated virus (AAV)-based gene therapies for severe monogenic diseases of the central nervous system (CNS), today announced that it has commenced an underwritten public offering of $200.0 million shares of its common stock and, in lieu of common stock to certain investors that so choose, pre-funded warrants to purchase shares of its common stock. All of the securities will be offered by Taysha. Taysha also intends to grant the underwriters a 30-day option to purchase up to an additional 15% of the shares of its common stock offered in the public offering under the same terms and conditions (including shares underlying the pre-funded warrants). The offering is subject to market conditions, and there can be no assurance as to whether or when the offering may be completed, or the actual size or terms of the offering.</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Jefferies, Goldman Sachs &amp; Co. LLC, Piper Sandler and Cantor are acting as joint book-running managers for the proposed offering. Baird is acting as lead manager for the proposed offering.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shelf registration statement relating to the securities offered in the public offering described above was filed with the Securities and Exchange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(the SEC) on November 4, 2025, and became automatically effective upon filing. The offering will be made only by means of a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and prospectus supplement that form a part of the registration statement. A preliminary prospectus supplement and accompanying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the offering will be filed with the SEC and will be available on the SEC’s website at www.sec.gov. Copies of the preliminary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 and the accompanying prospectus, when available, may also be obtained by contacting Jefferies LLC, Attention: Equity Syndicate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Department, 520 Madison Avenue, New York, NY 10022, by telephone at (877) 821-7388, or by email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Prospectus_Department@Jefferies.com; Goldman Sachs &amp; Co. LLC, Attention: Prospectus Department, 200 West Street, New York, NY 10282,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at (866) 471-2526, or by email at Prospectus-ny@ny.email.gs.com; Piper Sandler &amp; Co., Attention: Prospectus Department, 350 North 5th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Suite 1000, Minneapolis, MN 55401, or by email at prospectus@psc.com; or Cantor Fitzgerald &amp; Co., Attention: Capital Markets, 110 East 59th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6th Floor, New York, NY 10022, or by email at prospectus@cantor.com.</w:t>
      </w:r>
    </w:p>
    <w:p>
      <w:pPr>
        <w:spacing w:after="0" w:line="20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 securities being offered, nor shall there be any sale of the securities being offered in any state or other jurisdiction in which such offer, solicitation or sale would be unlawful prior to the registration or qualification under the securities laws of any such state or other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Taysha Gene Therapies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Taysha Gene Therapies (Nasdaq: TSHA) is a clinical-stage biotechnology company focused on advancing adeno-associated virus (AAV)-based gene therapies for severe monogenic diseases of the central nervous system. Its lead clinical program TSHA-102 is in development for Rett syndrome, a rare neurodevelopmental disorder with no approved disease-modifying therapies that address the genetic root cause of the disease. With a singular focus on developing transformative medicines, Taysha aims to address severe unmet medical needs and dramatically improve the lives of patients and their caregivers. The Company’s management team has proven experience in gene therapy development and commercialization. Taysha leverages this experience, its manufacturing process and a clinically and commercially proven AAV9 capsid in an effort to rapidly translate treatments from bench to bedside.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“expects,” “intends,” “projects,” “plans,” and “future” or similar expressions are intended to identify forward-looking statements. Forward-looking statements include statements concerning the potential of TSHA-102 and Taysha’s other product candidates to positively impact quality of life and alter the course of disease in the patients Taysha seeks to treat, Taysha’s research, development and regulatory plans for its product candidates and Taysha’s anticipated public offering, including the uncertainties related to market conditions and the completion of the public offering on the anticipated terms, if at all. Forward-looking statements are based on management’s current expectations and are subject to various risks and uncertainties that could cause actual results to differ materially and adversely from those expressed or implied by such forward-looking statements. Accordingly, these forward-looking statements do not constitute guarantees of</w:t>
      </w:r>
    </w:p>
    <w:p>
      <w:pPr>
        <w:sectPr>
          <w:pgSz w:w="11900" w:h="16838" w:orient="portrait"/>
          <w:cols w:equalWidth="0" w:num="1">
            <w:col w:w="11020"/>
          </w:cols>
          <w:pgMar w:left="440" w:top="117" w:right="439" w:bottom="1440" w:gutter="0" w:footer="0" w:header="0"/>
        </w:sectPr>
      </w:pPr>
    </w:p>
    <w:bookmarkStart w:id="56" w:name="page57"/>
    <w:bookmarkEnd w:id="5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future performance, and you are cautioned not to place undue reliance on these forward-looking statements. Risks regarding Taysha’s business are described in detail in its SEC filings, including in Taysha’s Annual Report on Form 10-K for the year ended December 31, 2025 and Quarterly Report on Form 10-Q for the quarter ended March 31, 2026, which are available on the SEC’s website at www.sec.gov. Additional information will be made available in other filings that Taysha makes from time to time with the SEC. These forward-looking statements speak only as of the date hereof, and Taysha disclaims any obligation to update these statements except as may be required by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Hayleigh Collins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Corporate Communications and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Taysha Gene Therapies,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hcollins@tayshagtx.com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Carolyn Hawley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Inizio Evoke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Carolyn.hawley@inizioevoke.com</w:t>
      </w:r>
    </w:p>
    <w:p>
      <w:pPr>
        <w:sectPr>
          <w:pgSz w:w="11900" w:h="16838" w:orient="portrait"/>
          <w:cols w:equalWidth="0" w:num="1">
            <w:col w:w="11020"/>
          </w:cols>
          <w:pgMar w:left="440" w:top="270" w:right="4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Taysha Gene Therapies Announces Pricing of Public Offering of Common Stock and Pre-Funded Warrants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DALLAS, June 24, 2026 — Taysha Gene Therapies, Inc. (Nasdaq: TSHA) (Taysha or the Company), a clinical-stage biotechnology company focused on advancing adeno-associated virus (AAV)-based gene therapies for severe monogenic diseases of the central nervous system (CNS), today announced the pricing of an underwritten public offering of 32,500,001 shares of its common stock at a price to the public of $6.00 per share and, in lieu of common stock to certain investors that so choose, pre-funded warrants to purchase 833,333 shares of its common stock at an offering price of $5.999 per pre-funded warrant, in each case before underwriting discounts and commissions. All of the securities are being offered by Taysha. In addition, Taysha has granted the underwriters a 30-day option to purchase up to an additional 5,000,000 shares of common stock at the public offering price, less underwriting discounts and commissions. The gross proceeds from the offering to Taysha are expected to be approximately $200.0 million, before deducting underwriting discounts and commissions and other offering expenses, excluding any exercise of the underwriters’ option to purchase additional shares. The offering is expected to close on or about June 26, 2026, subject to customary closing conditions.</w:t>
      </w:r>
    </w:p>
    <w:p>
      <w:pPr>
        <w:spacing w:after="0" w:line="18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Jefferies, Goldman Sachs &amp; Co. LLC, Piper Sandler and Cantor are acting as joint book-running managers for the proposed offering. Baird is acting as lead manager for the proposed offering.</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shelf registration statement relating to the securities offered in the public offering described above was filed with the Securities and Exchange Commission (the SEC) on November 4, 2025, and became automatically effective upon filing. The offering is being made only by means of a written prospectus and prospectus supplement that form a part of the registration statement. A preliminary prospectus supplement and accompanying prospectus relating to the offering has been filed with the SEC and is available on the SEC’s website at www.sec.gov. A final prospectus supplement and accompanying prospectus will be filed with the SEC. When available, copies of the final prospectus supplement and the accompanying prospectus may also be obtained by contacting Jefferies LLC, Attention: Equity Syndicate Prospectus Department, 520 Madison Avenue, New York, NY 10022, by telephone at (877) 821-7388, or by email at Prospectus_Department@Jefferies.com; Goldman Sachs &amp; Co. LLC, Attention: Prospectus Department, 200 West Street, New York, NY 10282, by telephone at (866) 471-2526, or by email at Prospectus-ny@ny.email.gs.com; Piper Sandler &amp; Co., Attention: Prospectus Department, 350 North 5th Street, Suite 1000, Minneapolis, MN 55401, or by email at prospectus@psc.com; or Cantor Fitzgerald &amp; Co., Attention: Capital Markets, 110 East 59th Street, 6th Floor, New York, NY 10022, or by email at prospectus@cantor.com.</w:t>
      </w:r>
    </w:p>
    <w:p>
      <w:pPr>
        <w:spacing w:after="0" w:line="19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 securities being offered, nor shall there be any sale of the securities being offered in any state or other jurisdiction in which such offer, solicitation or sale would be unlawful prior to the registration or qualification under the securities laws of any such state or other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Taysha Gene Therapies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Taysha Gene Therapies (Nasdaq: TSHA) is a clinical-stage biotechnology company focused on advancing adeno-associated virus (AAV)-based gene therapies for severe monogenic diseases of the central nervous system. Its lead clinical program TSHA-102 is in development for Rett syndrome, a rare neurodevelopmental disorder with no approved disease-modifying therapies that address the genetic root cause of the disease. With a singular focus on developing transformative medicines, Taysha aims to address severe unmet medical needs and dramatically improve the lives of patients and their caregivers. The Company’s management team has proven experience in gene therapy development and commercialization. Taysha leverages this experience, its manufacturing process and a clinically and commercially proven AAV9 capsid in an effort to rapidly translate treatments from bench to bedside.</w:t>
      </w:r>
    </w:p>
    <w:p>
      <w:pPr>
        <w:sectPr>
          <w:pgSz w:w="11900" w:h="16838" w:orient="portrait"/>
          <w:cols w:equalWidth="0" w:num="1">
            <w:col w:w="11020"/>
          </w:cols>
          <w:pgMar w:left="440" w:top="117"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“expects,” “intends,” “projects,” “plans,” and “future” or similar expressions are intended to identify forward-looking statements. Forward-looking statements include statements concerning the potential of TSHA-102 and Taysha’s other product candidates to positively impact quality of life and alter the course of disease in the patients Taysha seeks to treat, Taysha’s research, development and regulatory plans for its product candidates and Taysha’s public offering, including expected gross proceeds and anticipated closing date, the uncertainties related to market conditions and the completion of the public offering on the anticipated terms or at all. Forward-looking statements are based on management’s current expectations and are subject to various risks and uncertainties that could cause actual results to differ materially and adversely from those expressed or implied by such forward-looking statements. Accordingly, these forward-looking statements do not constitute guarantees of future performance, and you are cautioned not to place undue reliance on these forward-looking statements. Risks regarding Taysha’s business are described in detail in its SEC filings, including in Taysha’s Annual Report on Form 10-K for the year ended December 31, 2025 and Quarterly Report on Form 10-Q for the quarter ended March 31, 2026, which is available on the SEC’s website at www.sec.gov. Additional information will be made available in other filings that Taysha makes from time to time with the SEC. These forward-looking statements speak only as of the date hereof, and Taysha disclaims any obligation to update these statements except as may be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Hayleigh Collins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Corporate Communications and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Taysha Gene Therapies,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hcollins@tayshagtx.com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Carolyn Hawley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Inizio Evoke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Carolyn.hawley@inizioevoke.com</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
      <w:numFmt w:val="bullet"/>
      <w:start w:val="1"/>
    </w:lvl>
  </w:abstractNum>
  <w:abstractNum w:abstractNumId="2">
    <w:nsid w:val="2A487CB0"/>
    <w:multiLevelType w:val="hybridMultilevel"/>
    <w:lvl w:ilvl="0">
      <w:lvlJc w:val="left"/>
      <w:lvlText w:val="(%1)"/>
      <w:numFmt w:val="lowerLetter"/>
      <w:start w:val="1"/>
    </w:lvl>
  </w:abstractNum>
  <w:abstractNum w:abstractNumId="3">
    <w:nsid w:val="1D4ED43B"/>
    <w:multiLevelType w:val="hybridMultilevel"/>
    <w:lvl w:ilvl="0">
      <w:lvlJc w:val="left"/>
      <w:lvlText w:val="(%1)"/>
      <w:numFmt w:val="lowerLetter"/>
      <w:start w:val="2"/>
    </w:lvl>
  </w:abstractNum>
  <w:abstractNum w:abstractNumId="4">
    <w:nsid w:val="725A06FB"/>
    <w:multiLevelType w:val="hybridMultilevel"/>
    <w:lvl w:ilvl="0">
      <w:lvlJc w:val="left"/>
      <w:lvlText w:val="%1"/>
      <w:numFmt w:val="lowerLetter"/>
      <w:start w:val="1"/>
    </w:lvl>
    <w:lvl w:ilvl="1">
      <w:lvlJc w:val="left"/>
      <w:lvlText w:val="(%2)"/>
      <w:numFmt w:val="lowerLetter"/>
      <w:start w:val="3"/>
    </w:lvl>
  </w:abstractNum>
  <w:abstractNum w:abstractNumId="5">
    <w:nsid w:val="2CD89A32"/>
    <w:multiLevelType w:val="hybridMultilevel"/>
    <w:lvl w:ilvl="0">
      <w:lvlJc w:val="left"/>
      <w:lvlText w:val="(%1)"/>
      <w:numFmt w:val="lowerLetter"/>
      <w:start w:val="9"/>
    </w:lvl>
    <w:lvl w:ilvl="1">
      <w:lvlJc w:val="left"/>
      <w:lvlText w:val="%2"/>
      <w:numFmt w:val="lowerLetter"/>
      <w:start w:val="1"/>
    </w:lvl>
  </w:abstractNum>
  <w:abstractNum w:abstractNumId="6">
    <w:nsid w:val="57E4CCAF"/>
    <w:multiLevelType w:val="hybridMultilevel"/>
    <w:lvl w:ilvl="0">
      <w:lvlJc w:val="left"/>
      <w:lvlText w:val="(%1)"/>
      <w:numFmt w:val="lowerLetter"/>
      <w:start w:val="7"/>
    </w:lvl>
  </w:abstractNum>
  <w:abstractNum w:abstractNumId="7">
    <w:nsid w:val="7A6D8D3C"/>
    <w:multiLevelType w:val="hybridMultilevel"/>
    <w:lvl w:ilvl="0">
      <w:lvlJc w:val="left"/>
      <w:lvlText w:val="(%1)"/>
      <w:numFmt w:val="lowerLetter"/>
      <w:start w:val="11"/>
    </w:lvl>
  </w:abstractNum>
  <w:abstractNum w:abstractNumId="8">
    <w:nsid w:val="4B588F54"/>
    <w:multiLevelType w:val="hybridMultilevel"/>
    <w:lvl w:ilvl="0">
      <w:lvlJc w:val="left"/>
      <w:lvlText w:val="%1"/>
      <w:numFmt w:val="upperLetter"/>
      <w:start w:val="1"/>
    </w:lvl>
    <w:lvl w:ilvl="1">
      <w:lvlJc w:val="left"/>
      <w:lvlText w:val="(%2)"/>
      <w:numFmt w:val="lowerLetter"/>
      <w:start w:val="15"/>
    </w:lvl>
  </w:abstractNum>
  <w:abstractNum w:abstractNumId="9">
    <w:nsid w:val="542289EC"/>
    <w:multiLevelType w:val="hybridMultilevel"/>
    <w:lvl w:ilvl="0">
      <w:lvlJc w:val="left"/>
      <w:lvlText w:val="(%1)"/>
      <w:numFmt w:val="upperLetter"/>
      <w:start w:val="1"/>
    </w:lvl>
    <w:lvl w:ilvl="1">
      <w:lvlJc w:val="left"/>
      <w:lvlText w:val="(%2)"/>
      <w:numFmt w:val="lowerLetter"/>
      <w:start w:val="18"/>
    </w:lvl>
  </w:abstractNum>
  <w:abstractNum w:abstractNumId="10">
    <w:nsid w:val="6DE91B18"/>
    <w:multiLevelType w:val="hybridMultilevel"/>
    <w:lvl w:ilvl="0">
      <w:lvlJc w:val="left"/>
      <w:lvlText w:val="(%1)"/>
      <w:numFmt w:val="lowerLetter"/>
      <w:start w:val="20"/>
    </w:lvl>
  </w:abstractNum>
  <w:abstractNum w:abstractNumId="11">
    <w:nsid w:val="38437FDB"/>
    <w:multiLevelType w:val="hybridMultilevel"/>
    <w:lvl w:ilvl="0">
      <w:lvlJc w:val="left"/>
      <w:lvlText w:val="(%1)"/>
      <w:numFmt w:val="lowerLetter"/>
      <w:start w:val="24"/>
    </w:lvl>
  </w:abstractNum>
  <w:abstractNum w:abstractNumId="12">
    <w:nsid w:val="7644A45C"/>
    <w:multiLevelType w:val="hybridMultilevel"/>
    <w:lvl w:ilvl="0">
      <w:lvlJc w:val="left"/>
      <w:lvlText w:val="(%1)"/>
      <w:numFmt w:val="lowerLetter"/>
      <w:start w:val="27"/>
    </w:lvl>
  </w:abstractNum>
  <w:abstractNum w:abstractNumId="13">
    <w:nsid w:val="32FFF902"/>
    <w:multiLevelType w:val="hybridMultilevel"/>
    <w:lvl w:ilvl="0">
      <w:lvlJc w:val="left"/>
      <w:lvlText w:val="(%1)"/>
      <w:numFmt w:val="lowerLetter"/>
      <w:start w:val="28"/>
    </w:lvl>
  </w:abstractNum>
  <w:abstractNum w:abstractNumId="14">
    <w:nsid w:val="684A481A"/>
    <w:multiLevelType w:val="hybridMultilevel"/>
    <w:lvl w:ilvl="0">
      <w:lvlJc w:val="left"/>
      <w:lvlText w:val="(%1)"/>
      <w:numFmt w:val="lowerLetter"/>
      <w:start w:val="31"/>
    </w:lvl>
    <w:lvl w:ilvl="1">
      <w:lvlJc w:val="left"/>
      <w:lvlText w:val="(%2)"/>
      <w:numFmt w:val="upperLetter"/>
      <w:start w:val="1"/>
    </w:lvl>
  </w:abstractNum>
  <w:abstractNum w:abstractNumId="15">
    <w:nsid w:val="579478FE"/>
    <w:multiLevelType w:val="hybridMultilevel"/>
    <w:lvl w:ilvl="0">
      <w:lvlJc w:val="left"/>
      <w:lvlText w:val="(%1)"/>
      <w:numFmt w:val="upperLetter"/>
      <w:start w:val="2"/>
    </w:lvl>
  </w:abstractNum>
  <w:abstractNum w:abstractNumId="16">
    <w:nsid w:val="749ABB43"/>
    <w:multiLevelType w:val="hybridMultilevel"/>
    <w:lvl w:ilvl="0">
      <w:lvlJc w:val="left"/>
      <w:lvlText w:val="(%1)"/>
      <w:numFmt w:val="lowerLetter"/>
      <w:start w:val="35"/>
    </w:lvl>
  </w:abstractNum>
  <w:abstractNum w:abstractNumId="17">
    <w:nsid w:val="3DC240FB"/>
    <w:multiLevelType w:val="hybridMultilevel"/>
    <w:lvl w:ilvl="0">
      <w:lvlJc w:val="left"/>
      <w:lvlText w:val="(%1)"/>
      <w:numFmt w:val="lowerLetter"/>
      <w:start w:val="38"/>
    </w:lvl>
  </w:abstractNum>
  <w:abstractNum w:abstractNumId="18">
    <w:nsid w:val="1BA026FA"/>
    <w:multiLevelType w:val="hybridMultilevel"/>
    <w:lvl w:ilvl="0">
      <w:lvlJc w:val="left"/>
      <w:lvlText w:val="(%1)"/>
      <w:numFmt w:val="lowerLetter"/>
      <w:start w:val="41"/>
    </w:lvl>
  </w:abstractNum>
  <w:abstractNum w:abstractNumId="19">
    <w:nsid w:val="79A1DEAA"/>
    <w:multiLevelType w:val="hybridMultilevel"/>
    <w:lvl w:ilvl="0">
      <w:lvlJc w:val="left"/>
      <w:lvlText w:val="(%1)"/>
      <w:numFmt w:val="lowerLetter"/>
      <w:start w:val="53"/>
    </w:lvl>
  </w:abstractNum>
  <w:abstractNum w:abstractNumId="20">
    <w:nsid w:val="75C6C33A"/>
    <w:multiLevelType w:val="hybridMultilevel"/>
    <w:lvl w:ilvl="0">
      <w:lvlJc w:val="left"/>
      <w:lvlText w:val="%1."/>
      <w:numFmt w:val="decimal"/>
      <w:start w:val="2"/>
    </w:lvl>
  </w:abstractNum>
  <w:abstractNum w:abstractNumId="21">
    <w:nsid w:val="12E685FB"/>
    <w:multiLevelType w:val="hybridMultilevel"/>
    <w:lvl w:ilvl="0">
      <w:lvlJc w:val="left"/>
      <w:lvlText w:val="%1."/>
      <w:numFmt w:val="decimal"/>
      <w:start w:val="3"/>
    </w:lvl>
  </w:abstractNum>
  <w:abstractNum w:abstractNumId="22">
    <w:nsid w:val="70C6A529"/>
    <w:multiLevelType w:val="hybridMultilevel"/>
    <w:lvl w:ilvl="0">
      <w:lvlJc w:val="left"/>
      <w:lvlText w:val="(%1)"/>
      <w:numFmt w:val="lowerLetter"/>
      <w:start w:val="2"/>
    </w:lvl>
  </w:abstractNum>
  <w:abstractNum w:abstractNumId="23">
    <w:nsid w:val="520EEDD1"/>
    <w:multiLevelType w:val="hybridMultilevel"/>
    <w:lvl w:ilvl="0">
      <w:lvlJc w:val="left"/>
      <w:lvlText w:val="(%1)"/>
      <w:numFmt w:val="lowerLetter"/>
      <w:start w:val="1"/>
    </w:lvl>
  </w:abstractNum>
  <w:abstractNum w:abstractNumId="24">
    <w:nsid w:val="374A3FE6"/>
    <w:multiLevelType w:val="hybridMultilevel"/>
    <w:lvl w:ilvl="0">
      <w:lvlJc w:val="left"/>
      <w:lvlText w:val="(%1)"/>
      <w:numFmt w:val="lowerLetter"/>
      <w:start w:val="3"/>
    </w:lvl>
  </w:abstractNum>
  <w:abstractNum w:abstractNumId="25">
    <w:nsid w:val="4F4EF005"/>
    <w:multiLevelType w:val="hybridMultilevel"/>
    <w:lvl w:ilvl="0">
      <w:lvlJc w:val="left"/>
      <w:lvlText w:val="%1"/>
      <w:numFmt w:val="lowerLetter"/>
      <w:start w:val="1"/>
    </w:lvl>
    <w:lvl w:ilvl="1">
      <w:lvlJc w:val="left"/>
      <w:lvlText w:val="(%2)"/>
      <w:numFmt w:val="lowerLetter"/>
      <w:start w:val="7"/>
    </w:lvl>
  </w:abstractNum>
  <w:abstractNum w:abstractNumId="26">
    <w:nsid w:val="23F9C13C"/>
    <w:multiLevelType w:val="hybridMultilevel"/>
    <w:lvl w:ilvl="0">
      <w:lvlJc w:val="left"/>
      <w:lvlText w:val="(%1)"/>
      <w:numFmt w:val="lowerLetter"/>
      <w:start w:val="61"/>
    </w:lvl>
    <w:lvl w:ilvl="1">
      <w:lvlJc w:val="left"/>
      <w:lvlText w:val="%2"/>
      <w:numFmt w:val="lowerLetter"/>
      <w:start w:val="1"/>
    </w:lvl>
  </w:abstractNum>
  <w:abstractNum w:abstractNumId="27">
    <w:nsid w:val="649BB77C"/>
    <w:multiLevelType w:val="hybridMultilevel"/>
    <w:lvl w:ilvl="0">
      <w:lvlJc w:val="left"/>
      <w:lvlText w:val="(%1)"/>
      <w:numFmt w:val="lowerLetter"/>
      <w:start w:val="7"/>
    </w:lvl>
    <w:lvl w:ilvl="1">
      <w:lvlJc w:val="left"/>
      <w:lvlText w:val="%2"/>
      <w:numFmt w:val="lowerLetter"/>
      <w:start w:val="1"/>
    </w:lvl>
  </w:abstractNum>
  <w:abstractNum w:abstractNumId="28">
    <w:nsid w:val="275AC794"/>
    <w:multiLevelType w:val="hybridMultilevel"/>
    <w:lvl w:ilvl="0">
      <w:lvlJc w:val="left"/>
      <w:lvlText w:val="%1"/>
      <w:numFmt w:val="lowerLetter"/>
      <w:start w:val="1"/>
    </w:lvl>
    <w:lvl w:ilvl="1">
      <w:lvlJc w:val="left"/>
      <w:lvlText w:val="(%2)"/>
      <w:numFmt w:val="lowerLetter"/>
      <w:start w:val="8"/>
    </w:lvl>
  </w:abstractNum>
  <w:abstractNum w:abstractNumId="29">
    <w:nsid w:val="39386575"/>
    <w:multiLevelType w:val="hybridMultilevel"/>
    <w:lvl w:ilvl="0">
      <w:lvlJc w:val="left"/>
      <w:lvlText w:val="(%1)"/>
      <w:numFmt w:val="lowerLetter"/>
      <w:start w:val="35"/>
    </w:lvl>
    <w:lvl w:ilvl="1">
      <w:lvlJc w:val="left"/>
      <w:lvlText w:val="(%2)"/>
      <w:numFmt w:val="lowerLetter"/>
      <w:start w:val="10"/>
    </w:lvl>
  </w:abstractNum>
  <w:abstractNum w:abstractNumId="30">
    <w:nsid w:val="1CF10FD8"/>
    <w:multiLevelType w:val="hybridMultilevel"/>
    <w:lvl w:ilvl="0">
      <w:lvlJc w:val="left"/>
      <w:lvlText w:val="(%1)"/>
      <w:numFmt w:val="lowerLetter"/>
      <w:start w:val="15"/>
    </w:lvl>
  </w:abstractNum>
  <w:abstractNum w:abstractNumId="31">
    <w:nsid w:val="180115BE"/>
    <w:multiLevelType w:val="hybridMultilevel"/>
    <w:lvl w:ilvl="0">
      <w:lvlJc w:val="left"/>
      <w:lvlText w:val="%1."/>
      <w:numFmt w:val="decimal"/>
      <w:start w:val="6"/>
    </w:lvl>
  </w:abstractNum>
  <w:abstractNum w:abstractNumId="32">
    <w:nsid w:val="235BA861"/>
    <w:multiLevelType w:val="hybridMultilevel"/>
    <w:lvl w:ilvl="0">
      <w:lvlJc w:val="left"/>
      <w:lvlText w:val="(%1)"/>
      <w:numFmt w:val="lowerLetter"/>
      <w:start w:val="2"/>
    </w:lvl>
  </w:abstractNum>
  <w:abstractNum w:abstractNumId="33">
    <w:nsid w:val="47398C89"/>
    <w:multiLevelType w:val="hybridMultilevel"/>
    <w:lvl w:ilvl="0">
      <w:lvlJc w:val="left"/>
      <w:lvlText w:val="%1"/>
      <w:numFmt w:val="lowerRoman"/>
      <w:start w:val="1"/>
    </w:lvl>
    <w:lvl w:ilvl="1">
      <w:lvlJc w:val="left"/>
      <w:lvlText w:val="%2."/>
      <w:numFmt w:val="decimal"/>
      <w:start w:val="7"/>
    </w:lvl>
  </w:abstractNum>
  <w:abstractNum w:abstractNumId="34">
    <w:nsid w:val="354FE9F9"/>
    <w:multiLevelType w:val="hybridMultilevel"/>
    <w:lvl w:ilvl="0">
      <w:lvlJc w:val="left"/>
      <w:lvlText w:val="(%1)"/>
      <w:numFmt w:val="lowerRoman"/>
      <w:start w:val="6"/>
    </w:lvl>
    <w:lvl w:ilvl="1">
      <w:lvlJc w:val="left"/>
      <w:lvlText w:val="%2."/>
      <w:numFmt w:val="decimal"/>
      <w:start w:val="8"/>
    </w:lvl>
  </w:abstractNum>
  <w:abstractNum w:abstractNumId="35">
    <w:nsid w:val="15B5AF5C"/>
    <w:multiLevelType w:val="hybridMultilevel"/>
    <w:lvl w:ilvl="0">
      <w:lvlJc w:val="left"/>
      <w:lvlText w:val="(%1)"/>
      <w:numFmt w:val="lowerLetter"/>
      <w:start w:val="1"/>
    </w:lvl>
  </w:abstractNum>
  <w:abstractNum w:abstractNumId="36">
    <w:nsid w:val="741226BB"/>
    <w:multiLevelType w:val="hybridMultilevel"/>
    <w:lvl w:ilvl="0">
      <w:lvlJc w:val="left"/>
      <w:lvlText w:val="(%1)"/>
      <w:numFmt w:val="lowerLetter"/>
      <w:start w:val="2"/>
    </w:lvl>
  </w:abstractNum>
  <w:abstractNum w:abstractNumId="37">
    <w:nsid w:val="D34B6A8"/>
    <w:multiLevelType w:val="hybridMultilevel"/>
    <w:lvl w:ilvl="0">
      <w:lvlJc w:val="left"/>
      <w:lvlText w:val="(%1)"/>
      <w:numFmt w:val="lowerLetter"/>
      <w:start w:val="6"/>
    </w:lvl>
  </w:abstractNum>
  <w:abstractNum w:abstractNumId="38">
    <w:nsid w:val="10233C99"/>
    <w:multiLevelType w:val="hybridMultilevel"/>
    <w:lvl w:ilvl="0">
      <w:lvlJc w:val="left"/>
      <w:lvlText w:val="%1"/>
      <w:numFmt w:val="lowerLetter"/>
      <w:start w:val="1"/>
    </w:lvl>
    <w:lvl w:ilvl="1">
      <w:lvlJc w:val="left"/>
      <w:lvlText w:val="(%2)"/>
      <w:numFmt w:val="lowerLetter"/>
      <w:start w:val="7"/>
    </w:lvl>
  </w:abstractNum>
  <w:abstractNum w:abstractNumId="39">
    <w:nsid w:val="3F6AB60F"/>
    <w:multiLevelType w:val="hybridMultilevel"/>
    <w:lvl w:ilvl="0">
      <w:lvlJc w:val="left"/>
      <w:lvlText w:val="(%1)"/>
      <w:numFmt w:val="lowerLetter"/>
      <w:start w:val="35"/>
    </w:lvl>
    <w:lvl w:ilvl="1">
      <w:lvlJc w:val="left"/>
      <w:lvlText w:val="(%2)"/>
      <w:numFmt w:val="lowerLetter"/>
      <w:start w:val="8"/>
    </w:lvl>
  </w:abstractNum>
  <w:abstractNum w:abstractNumId="40">
    <w:nsid w:val="61574095"/>
    <w:multiLevelType w:val="hybridMultilevel"/>
    <w:lvl w:ilvl="0">
      <w:lvlJc w:val="left"/>
      <w:lvlText w:val="%1."/>
      <w:numFmt w:val="decimal"/>
      <w:start w:val="9"/>
    </w:lvl>
  </w:abstractNum>
  <w:abstractNum w:abstractNumId="41">
    <w:nsid w:val="7E0C57B1"/>
    <w:multiLevelType w:val="hybridMultilevel"/>
    <w:lvl w:ilvl="0">
      <w:lvlJc w:val="left"/>
      <w:lvlText w:val="(%1)"/>
      <w:numFmt w:val="lowerLetter"/>
      <w:start w:val="2"/>
    </w:lvl>
  </w:abstractNum>
  <w:abstractNum w:abstractNumId="42">
    <w:nsid w:val="77AE35EB"/>
    <w:multiLevelType w:val="hybridMultilevel"/>
    <w:lvl w:ilvl="0">
      <w:lvlJc w:val="left"/>
      <w:lvlText w:val="%1"/>
      <w:numFmt w:val="lowerLetter"/>
      <w:start w:val="1"/>
    </w:lvl>
    <w:lvl w:ilvl="1">
      <w:lvlJc w:val="left"/>
      <w:lvlText w:val="(%2)"/>
      <w:numFmt w:val="lowerLetter"/>
      <w:start w:val="4"/>
    </w:lvl>
  </w:abstractNum>
  <w:abstractNum w:abstractNumId="43">
    <w:nsid w:val="579BE4F1"/>
    <w:multiLevelType w:val="hybridMultilevel"/>
    <w:lvl w:ilvl="0">
      <w:lvlJc w:val="left"/>
      <w:lvlText w:val="(%1)"/>
      <w:numFmt w:val="lowerLetter"/>
      <w:start w:val="1"/>
    </w:lvl>
    <w:lvl w:ilvl="1">
      <w:lvlJc w:val="left"/>
      <w:lvlText w:val="%2"/>
      <w:numFmt w:val="lowerLetter"/>
      <w:start w:val="1"/>
    </w:lvl>
  </w:abstractNum>
  <w:abstractNum w:abstractNumId="44">
    <w:nsid w:val="310C50B3"/>
    <w:multiLevelType w:val="hybridMultilevel"/>
    <w:lvl w:ilvl="0">
      <w:lvlJc w:val="left"/>
      <w:lvlText w:val="(%1)"/>
      <w:numFmt w:val="lowerLetter"/>
      <w:start w:val="5"/>
    </w:lvl>
  </w:abstractNum>
  <w:abstractNum w:abstractNumId="45">
    <w:nsid w:val="5FF87E05"/>
    <w:multiLevelType w:val="hybridMultilevel"/>
    <w:lvl w:ilvl="0">
      <w:lvlJc w:val="left"/>
      <w:lvlText w:val="%1."/>
      <w:numFmt w:val="decimal"/>
      <w:start w:val="10"/>
    </w:lvl>
  </w:abstractNum>
  <w:abstractNum w:abstractNumId="46">
    <w:nsid w:val="2F305DEF"/>
    <w:multiLevelType w:val="hybridMultilevel"/>
    <w:lvl w:ilvl="0">
      <w:lvlJc w:val="left"/>
      <w:lvlText w:val="(%1)"/>
      <w:numFmt w:val="lowerLetter"/>
      <w:start w:val="2"/>
    </w:lvl>
  </w:abstractNum>
  <w:abstractNum w:abstractNumId="47">
    <w:nsid w:val="25A70BF7"/>
    <w:multiLevelType w:val="hybridMultilevel"/>
    <w:lvl w:ilvl="0">
      <w:lvlJc w:val="left"/>
      <w:lvlText w:val="%1."/>
      <w:numFmt w:val="decimal"/>
      <w:start w:val="11"/>
    </w:lvl>
  </w:abstractNum>
  <w:abstractNum w:abstractNumId="48">
    <w:nsid w:val="1DBABF00"/>
    <w:multiLevelType w:val="hybridMultilevel"/>
    <w:lvl w:ilvl="0">
      <w:lvlJc w:val="left"/>
      <w:lvlText w:val="%1."/>
      <w:numFmt w:val="decimal"/>
      <w:start w:val="14"/>
    </w:lvl>
  </w:abstractNum>
  <w:abstractNum w:abstractNumId="49">
    <w:nsid w:val="4AD084E9"/>
    <w:multiLevelType w:val="hybridMultilevel"/>
    <w:lvl w:ilvl="0">
      <w:lvlJc w:val="left"/>
      <w:lvlText w:val="%1."/>
      <w:numFmt w:val="decimal"/>
      <w:start w:val="16"/>
    </w:lvl>
  </w:abstractNum>
  <w:abstractNum w:abstractNumId="50">
    <w:nsid w:val="1F48EAA1"/>
    <w:multiLevelType w:val="hybridMultilevel"/>
    <w:lvl w:ilvl="0">
      <w:lvlJc w:val="left"/>
      <w:lvlText w:val="(%1)"/>
      <w:numFmt w:val="lowerLetter"/>
      <w:start w:val="1"/>
    </w:lvl>
  </w:abstractNum>
  <w:abstractNum w:abstractNumId="51">
    <w:nsid w:val="1381823A"/>
    <w:multiLevelType w:val="hybridMultilevel"/>
    <w:lvl w:ilvl="0">
      <w:lvlJc w:val="left"/>
      <w:lvlText w:val="(%1)"/>
      <w:numFmt w:val="lowerRoman"/>
      <w:start w:val="1"/>
    </w:lvl>
  </w:abstractNum>
  <w:abstractNum w:abstractNumId="52">
    <w:nsid w:val="5DB70AE5"/>
    <w:multiLevelType w:val="hybridMultilevel"/>
    <w:lvl w:ilvl="0">
      <w:lvlJc w:val="left"/>
      <w:lvlText w:val="(%1)"/>
      <w:numFmt w:val="lowerLetter"/>
      <w:start w:val="1"/>
    </w:lvl>
  </w:abstractNum>
  <w:abstractNum w:abstractNumId="53">
    <w:nsid w:val="100F8FCA"/>
    <w:multiLevelType w:val="hybridMultilevel"/>
    <w:lvl w:ilvl="0">
      <w:lvlJc w:val="left"/>
      <w:lvlText w:val="(%1)"/>
      <w:numFmt w:val="lowerLetter"/>
      <w:start w:val="3"/>
    </w:lvl>
  </w:abstractNum>
  <w:abstractNum w:abstractNumId="54">
    <w:nsid w:val="6590700B"/>
    <w:multiLevelType w:val="hybridMultilevel"/>
    <w:lvl w:ilvl="0">
      <w:lvlJc w:val="left"/>
      <w:lvlText w:val="%1"/>
      <w:numFmt w:val="decimal"/>
      <w:start w:val="1"/>
    </w:lvl>
    <w:lvl w:ilvl="1">
      <w:lvlJc w:val="left"/>
      <w:lvlText w:val="(%2)"/>
      <w:numFmt w:val="lowerLetter"/>
      <w:start w:val="1"/>
    </w:lvl>
  </w:abstractNum>
  <w:abstractNum w:abstractNumId="55">
    <w:nsid w:val="15014ACB"/>
    <w:multiLevelType w:val="hybridMultilevel"/>
    <w:lvl w:ilvl="0">
      <w:lvlJc w:val="left"/>
      <w:lvlText w:val="(%1)"/>
      <w:numFmt w:val="decimal"/>
      <w:start w:val="2"/>
    </w:lvl>
    <w:lvl w:ilvl="1">
      <w:lvlJc w:val="left"/>
      <w:lvlText w:val="%2"/>
      <w:numFmt w:val="lowerLetter"/>
      <w:start w:val="1"/>
    </w:lvl>
  </w:abstractNum>
  <w:abstractNum w:abstractNumId="56">
    <w:nsid w:val="5F5E7FD0"/>
    <w:multiLevelType w:val="hybridMultilevel"/>
    <w:lvl w:ilvl="0">
      <w:lvlJc w:val="left"/>
      <w:lvlText w:val="%1"/>
      <w:numFmt w:val="upperLetter"/>
      <w:start w:val="1"/>
    </w:lvl>
    <w:lvl w:ilvl="1">
      <w:lvlJc w:val="left"/>
      <w:lvlText w:val="(%2)"/>
      <w:numFmt w:val="lowerLetter"/>
      <w:start w:val="2"/>
    </w:lvl>
  </w:abstractNum>
  <w:abstractNum w:abstractNumId="57">
    <w:nsid w:val="98A3148"/>
    <w:multiLevelType w:val="hybridMultilevel"/>
    <w:lvl w:ilvl="0">
      <w:lvlJc w:val="left"/>
      <w:lvlText w:val="(%1)"/>
      <w:numFmt w:val="upperLetter"/>
      <w:start w:val="1"/>
    </w:lvl>
    <w:lvl w:ilvl="1">
      <w:lvlJc w:val="left"/>
      <w:lvlText w:val="%2"/>
      <w:numFmt w:val="lowerLetter"/>
      <w:start w:val="1"/>
    </w:lvl>
  </w:abstractNum>
  <w:abstractNum w:abstractNumId="58">
    <w:nsid w:val="799D0247"/>
    <w:multiLevelType w:val="hybridMultilevel"/>
    <w:lvl w:ilvl="0">
      <w:lvlJc w:val="left"/>
      <w:lvlText w:val="(%1)"/>
      <w:numFmt w:val="upperLetter"/>
      <w:start w:val="24"/>
    </w:lvl>
  </w:abstractNum>
  <w:abstractNum w:abstractNumId="59">
    <w:nsid w:val="6B94764"/>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60">
    <w:nsid w:val="42C296BD"/>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61">
    <w:nsid w:val="168E121F"/>
    <w:multiLevelType w:val="hybridMultilevel"/>
    <w:lvl w:ilvl="0">
      <w:lvlJc w:val="left"/>
      <w:lvlText w:val="%1"/>
      <w:numFmt w:val="lowerLetter"/>
      <w:start w:val="1"/>
    </w:lvl>
    <w:lvl w:ilvl="1">
      <w:lvlJc w:val="left"/>
      <w:lvlText w:val="(%2)"/>
      <w:numFmt w:val="lowerRoman"/>
      <w:start w:val="2"/>
    </w:lvl>
  </w:abstractNum>
  <w:abstractNum w:abstractNumId="62">
    <w:nsid w:val="1EBA5D23"/>
    <w:multiLevelType w:val="hybridMultilevel"/>
    <w:lvl w:ilvl="0">
      <w:lvlJc w:val="left"/>
      <w:lvlText w:val="(%1)"/>
      <w:numFmt w:val="lowerLetter"/>
      <w:start w:val="2"/>
    </w:lvl>
    <w:lvl w:ilvl="1">
      <w:lvlJc w:val="left"/>
      <w:lvlText w:val="(%2)"/>
      <w:numFmt w:val="lowerRoman"/>
      <w:start w:val="5"/>
    </w:lvl>
  </w:abstractNum>
  <w:abstractNum w:abstractNumId="63">
    <w:nsid w:val="661E3F1E"/>
    <w:multiLevelType w:val="hybridMultilevel"/>
    <w:lvl w:ilvl="0">
      <w:lvlJc w:val="left"/>
      <w:lvlText w:val="(%1)"/>
      <w:numFmt w:val="lowerLetter"/>
      <w:start w:val="5"/>
    </w:lvl>
  </w:abstractNum>
  <w:abstractNum w:abstractNumId="64">
    <w:nsid w:val="5DC79EA8"/>
    <w:multiLevelType w:val="hybridMultilevel"/>
    <w:lvl w:ilvl="0">
      <w:lvlJc w:val="left"/>
      <w:lvlText w:val="(%1)"/>
      <w:numFmt w:val="lowerLetter"/>
      <w:start w:val="1"/>
    </w:lvl>
  </w:abstractNum>
  <w:abstractNum w:abstractNumId="65">
    <w:nsid w:val="540A471C"/>
    <w:multiLevelType w:val="hybridMultilevel"/>
    <w:lvl w:ilvl="0">
      <w:lvlJc w:val="left"/>
      <w:lvlText w:val="(%1)"/>
      <w:numFmt w:val="lowerLetter"/>
      <w:start w:val="2"/>
    </w:lvl>
  </w:abstractNum>
  <w:abstractNum w:abstractNumId="66">
    <w:nsid w:val="7BD3EE7B"/>
    <w:multiLevelType w:val="hybridMultilevel"/>
    <w:lvl w:ilvl="0">
      <w:lvlJc w:val="left"/>
      <w:lvlText w:val="(%1)"/>
      <w:numFmt w:val="lowerLetter"/>
      <w:start w:val="5"/>
    </w:lvl>
    <w:lvl w:ilvl="1">
      <w:lvlJc w:val="left"/>
      <w:lvlText w:val="(%2)"/>
      <w:numFmt w:val="lowerRoman"/>
      <w:start w:val="1"/>
    </w:lvl>
  </w:abstractNum>
  <w:abstractNum w:abstractNumId="67">
    <w:nsid w:val="51D9C564"/>
    <w:multiLevelType w:val="hybridMultilevel"/>
    <w:lvl w:ilvl="0">
      <w:lvlJc w:val="left"/>
      <w:lvlText w:val="(%1)"/>
      <w:numFmt w:val="lowerLetter"/>
      <w:start w:val="1"/>
    </w:lvl>
  </w:abstractNum>
  <w:abstractNum w:abstractNumId="68">
    <w:nsid w:val="613EFDC5"/>
    <w:multiLevelType w:val="hybridMultilevel"/>
    <w:lvl w:ilvl="0">
      <w:lvlJc w:val="left"/>
      <w:lvlText w:val="(%1)"/>
      <w:numFmt w:val="lowerLetter"/>
      <w:start w:val="4"/>
    </w:lvl>
  </w:abstractNum>
  <w:abstractNum w:abstractNumId="69">
    <w:nsid w:val="BF72B14"/>
    <w:multiLevelType w:val="hybridMultilevel"/>
    <w:lvl w:ilvl="0">
      <w:lvlJc w:val="left"/>
      <w:lvlText w:val="(%1)"/>
      <w:numFmt w:val="lowerLetter"/>
      <w:start w:val="1"/>
    </w:lvl>
  </w:abstractNum>
  <w:abstractNum w:abstractNumId="70">
    <w:nsid w:val="11447B73"/>
    <w:multiLevelType w:val="hybridMultilevel"/>
    <w:lvl w:ilvl="0">
      <w:lvlJc w:val="left"/>
      <w:lvlText w:val="(%1)"/>
      <w:numFmt w:val="lowerLetter"/>
      <w:start w:val="2"/>
    </w:lvl>
  </w:abstractNum>
  <w:abstractNum w:abstractNumId="71">
    <w:nsid w:val="42963E5A"/>
    <w:multiLevelType w:val="hybridMultilevel"/>
    <w:lvl w:ilvl="0">
      <w:lvlJc w:val="left"/>
      <w:lvlText w:val="(%1)"/>
      <w:numFmt w:val="lowerRoman"/>
      <w:start w:val="3"/>
    </w:lvl>
  </w:abstractNum>
  <w:abstractNum w:abstractNumId="72">
    <w:nsid w:val="A0382C5"/>
    <w:multiLevelType w:val="hybridMultilevel"/>
    <w:lvl w:ilvl="0">
      <w:lvlJc w:val="left"/>
      <w:lvlText w:val="(%1)"/>
      <w:numFmt w:val="lowerLetter"/>
      <w:start w:val="5"/>
    </w:lvl>
    <w:lvl w:ilvl="1">
      <w:lvlJc w:val="left"/>
      <w:lvlText w:val="(%2)"/>
      <w:numFmt w:val="lowerLetter"/>
      <w:start w:val="9"/>
    </w:lvl>
  </w:abstractNum>
  <w:abstractNum w:abstractNumId="73">
    <w:nsid w:val="8F2B15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74">
    <w:nsid w:val="1A32234B"/>
    <w:multiLevelType w:val="hybridMultilevel"/>
    <w:lvl w:ilvl="0">
      <w:lvlJc w:val="left"/>
      <w:lvlText w:val="(%1)"/>
      <w:numFmt w:val="upperLetter"/>
      <w:start w:val="2"/>
    </w:lvl>
    <w:lvl w:ilvl="1">
      <w:lvlJc w:val="left"/>
      <w:lvlText w:val="(%2)"/>
      <w:numFmt w:val="lowerLetter"/>
      <w:start w:val="6"/>
    </w:lvl>
    <w:lvl w:ilvl="2">
      <w:lvlJc w:val="left"/>
      <w:lvlText w:val="%3"/>
      <w:numFmt w:val="lowerRoman"/>
      <w:start w:val="1"/>
    </w:lvl>
  </w:abstractNum>
  <w:abstractNum w:abstractNumId="75">
    <w:nsid w:val="3B0FD379"/>
    <w:multiLevelType w:val="hybridMultilevel"/>
    <w:lvl w:ilvl="0">
      <w:lvlJc w:val="left"/>
      <w:lvlText w:val="(%1)"/>
      <w:numFmt w:val="lowerLetter"/>
      <w:start w:val="8"/>
    </w:lvl>
  </w:abstractNum>
  <w:abstractNum w:abstractNumId="76">
    <w:nsid w:val="68EB2F63"/>
    <w:multiLevelType w:val="hybridMultilevel"/>
    <w:lvl w:ilvl="0">
      <w:lvlJc w:val="left"/>
      <w:lvlText w:val="(%1)"/>
      <w:numFmt w:val="decimal"/>
      <w:start w:val="1"/>
    </w:lvl>
  </w:abstractNum>
  <w:abstractNum w:abstractNumId="77">
    <w:nsid w:val="4962813B"/>
    <w:multiLevelType w:val="hybridMultilevel"/>
    <w:lvl w:ilvl="0">
      <w:lvlJc w:val="left"/>
      <w:lvlText w:val="(%1)"/>
      <w:numFmt w:val="decimal"/>
      <w:start w:val="3"/>
    </w:lvl>
  </w:abstractNum>
  <w:abstractNum w:abstractNumId="78">
    <w:nsid w:val="60B6DF70"/>
    <w:multiLevelType w:val="hybridMultilevel"/>
    <w:lvl w:ilvl="0">
      <w:lvlJc w:val="left"/>
      <w:lvlText w:val="(%1)"/>
      <w:numFmt w:val="lowerRoman"/>
      <w:start w:val="1"/>
    </w:lvl>
  </w:abstractNum>
  <w:abstractNum w:abstractNumId="79">
    <w:nsid w:val="6A5EE64"/>
    <w:multiLevelType w:val="hybridMultilevel"/>
    <w:lvl w:ilvl="0">
      <w:lvlJc w:val="left"/>
      <w:lvlText w:val="(%1)"/>
      <w:numFmt w:val="lowerLetter"/>
      <w:start w:val="4"/>
    </w:lvl>
  </w:abstractNum>
  <w:abstractNum w:abstractNumId="80">
    <w:nsid w:val="14330624"/>
    <w:multiLevelType w:val="hybridMultilevel"/>
    <w:lvl w:ilvl="0">
      <w:lvlJc w:val="left"/>
      <w:lvlText w:val="(%1)"/>
      <w:numFmt w:val="lowerRoman"/>
      <w:start w:val="1"/>
    </w:lvl>
  </w:abstractNum>
  <w:abstractNum w:abstractNumId="81">
    <w:nsid w:val="7FFFCA11"/>
    <w:multiLevelType w:val="hybridMultilevel"/>
    <w:lvl w:ilvl="0">
      <w:lvlJc w:val="left"/>
      <w:lvlText w:val="%1"/>
      <w:numFmt w:val="lowerLetter"/>
      <w:start w:val="1"/>
    </w:lvl>
    <w:lvl w:ilvl="1">
      <w:lvlJc w:val="left"/>
      <w:lvlText w:val="(%2)"/>
      <w:numFmt w:val="lowerRoman"/>
      <w:start w:val="2"/>
    </w:lvl>
  </w:abstractNum>
  <w:abstractNum w:abstractNumId="82">
    <w:nsid w:val="1A27709E"/>
    <w:multiLevelType w:val="hybridMultilevel"/>
    <w:lvl w:ilvl="0">
      <w:lvlJc w:val="left"/>
      <w:lvlText w:val="(%1)"/>
      <w:numFmt w:val="lowerLetter"/>
      <w:start w:val="8"/>
    </w:lvl>
    <w:lvl w:ilvl="1">
      <w:lvlJc w:val="left"/>
      <w:lvlText w:val="(%2)"/>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2026-06-25T16:06:13Z</dcterms:created>
  <dcterms:modified xsi:type="dcterms:W3CDTF">2026-06-25T16:06:13Z</dcterms:modified>
</cp:coreProperties>
</file>