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95601d424b5.htm"/>
      <w:bookmarkStart w:id="1" w:name="ksd95601d424b5"/>
      <w:bookmarkEnd w:id="0"/>
      <w:bookmarkEnd w:id="1"/>
      <w:r>
        <w:rPr>
          <w:rFonts w:ascii="Times New Roman" w:hAnsi="Times New Roman"/>
          <w:b/>
          <w:sz w:val="20"/>
        </w:rPr>
        <w:t xml:space="preserve">Filed Pursuant to Rule 424(b)(5) </w:t>
        <w:br/>
        <w:t>Registration No. 333-291244</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18"/>
        </w:rPr>
      </w:pPr>
      <w:r>
        <w:rPr>
          <w:rFonts w:ascii="Times New Roman" w:hAnsi="Times New Roman"/>
          <w:b/>
          <w:sz w:val="18"/>
        </w:rPr>
        <w:t xml:space="preserve">(To Prospectus dated November 4, 2025) </w:t>
      </w:r>
    </w:p>
    <w:p>
      <w:pPr>
        <w:pStyle w:val="TextBody"/>
        <w:bidi w:val="0"/>
        <w:spacing w:before="0" w:after="0"/>
        <w:jc w:val="center"/>
        <w:rPr/>
      </w:pPr>
      <w:r>
        <w:rPr/>
        <w:drawing>
          <wp:inline distT="0" distB="0" distL="0" distR="0">
            <wp:extent cx="1905000" cy="5530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5530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6"/>
        </w:rPr>
      </w:pPr>
      <w:r>
        <w:rPr>
          <w:rFonts w:ascii="Times New Roman" w:hAnsi="Times New Roman"/>
          <w:b/>
          <w:sz w:val="26"/>
        </w:rPr>
        <w:t xml:space="preserve">32,500,001 Shares of Common Stock </w:t>
      </w:r>
    </w:p>
    <w:p>
      <w:pPr>
        <w:pStyle w:val="TextBody"/>
        <w:bidi w:val="0"/>
        <w:spacing w:before="0" w:after="0"/>
        <w:jc w:val="center"/>
        <w:rPr>
          <w:rFonts w:ascii="Times New Roman" w:hAnsi="Times New Roman"/>
          <w:b/>
          <w:sz w:val="26"/>
        </w:rPr>
      </w:pPr>
      <w:r>
        <w:rPr>
          <w:rFonts w:ascii="Times New Roman" w:hAnsi="Times New Roman"/>
          <w:b/>
          <w:sz w:val="26"/>
        </w:rPr>
        <w:t xml:space="preserve">Pre-Funded Warrants to Purchase up to 833,333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We are offering 32,500,001 shares of our common stock, par value $0.00001 per share, or the common stock, and, in lieu of common stock to certain investors that so choose, pre-funded warrants to purchase up to 833,333 shares of our common stock. The purchase price of each pre-funded warrant will equal the price per share at which shares of our common stock are being sold to the public in this offering, minus $0.001, the exercise price of each pre-funded warrant. Each pre-funded warrant will be immediately exercisable for one share of common stock, subject to the limitations described in the section “Description of the Pre-Funded Warrants—Exercisability.” The public offering price for each share of common stock is $6.00. We are also offering the shares of our common stock that are issuable from time to time upon exercise of the pre-funded warrants. </w:t>
      </w:r>
    </w:p>
    <w:p>
      <w:pPr>
        <w:pStyle w:val="TextBody"/>
        <w:bidi w:val="0"/>
        <w:spacing w:before="240" w:after="0"/>
        <w:jc w:val="left"/>
        <w:rPr>
          <w:rFonts w:ascii="Times New Roman" w:hAnsi="Times New Roman"/>
          <w:sz w:val="18"/>
        </w:rPr>
      </w:pPr>
      <w:r>
        <w:rPr>
          <w:rFonts w:ascii="Times New Roman" w:hAnsi="Times New Roman"/>
          <w:sz w:val="18"/>
        </w:rPr>
        <w:t xml:space="preserve">Our common stock is listed on The Nasdaq Global Select Market under the symbol “TSHA.” The last reported sale price of our common stock on The Nasdaq Global Select Market on June 24, 2026 was $6.94 per share. There is no established public trading market for the pre-funded warrants, and we do not expect a market to develop. We do not intend to apply for listing of the pre-funded warrants on The Nasdaq Global Select Market or any securities exchange or nationally recognized trading system. Without an active trading market, the liquidity of the pre-funded warrants will be limited. </w:t>
      </w:r>
    </w:p>
    <w:p>
      <w:pPr>
        <w:pStyle w:val="TextBody"/>
        <w:bidi w:val="0"/>
        <w:spacing w:before="240" w:after="0"/>
        <w:jc w:val="left"/>
        <w:rPr>
          <w:rFonts w:ascii="Times New Roman" w:hAnsi="Times New Roman"/>
          <w:sz w:val="18"/>
        </w:rPr>
      </w:pPr>
      <w:r>
        <w:rPr>
          <w:rFonts w:ascii="Times New Roman" w:hAnsi="Times New Roman"/>
          <w:sz w:val="18"/>
        </w:rPr>
        <w:t xml:space="preserve">We are a “smaller reporting company” under applicable Securities and Exchange Commission rules and are subject to reduced public company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See “Prospectus Supplement Summary—Implications of Being a Smaller Reporting Company.”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2"/>
        </w:rPr>
        <w:t>Investing in our common stock involves a high degree of risk. See “</w:t>
      </w:r>
      <w:hyperlink w:anchor="supptx95601_5">
        <w:r>
          <w:rPr>
            <w:rStyle w:val="InternetLink"/>
            <w:rFonts w:ascii="Times New Roman" w:hAnsi="Times New Roman"/>
            <w:b/>
            <w:sz w:val="22"/>
          </w:rPr>
          <w:t>Risk Factors</w:t>
        </w:r>
      </w:hyperlink>
      <w:r>
        <w:rPr>
          <w:rFonts w:ascii="Times New Roman" w:hAnsi="Times New Roman"/>
          <w:b/>
          <w:sz w:val="22"/>
        </w:rPr>
        <w:t xml:space="preserve">” beginning on page S-17 of this prospectus supplement, page 8 of the accompanying prospectus and under similar headings in the documents incorporated by reference into this prospectus supplement and the accompanying prospectus. </w:t>
      </w:r>
    </w:p>
    <w:p>
      <w:pPr>
        <w:pStyle w:val="TextBody"/>
        <w:bidi w:val="0"/>
        <w:spacing w:before="24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60"/>
        <w:gridCol w:w="323"/>
        <w:gridCol w:w="156"/>
        <w:gridCol w:w="626"/>
        <w:gridCol w:w="60"/>
        <w:gridCol w:w="323"/>
        <w:gridCol w:w="250"/>
        <w:gridCol w:w="1113"/>
        <w:gridCol w:w="60"/>
        <w:gridCol w:w="323"/>
        <w:gridCol w:w="156"/>
        <w:gridCol w:w="1338"/>
        <w:gridCol w:w="67"/>
      </w:tblGrid>
      <w:tr>
        <w:trPr/>
        <w:tc>
          <w:tcPr>
            <w:tcW w:w="2960"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Pre-Funded</w:t>
              <w:br/>
              <w:t>Warrant</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29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w:t>
            </w:r>
          </w:p>
        </w:tc>
        <w:tc>
          <w:tcPr>
            <w:tcW w:w="32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6.00</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5.999</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199,999,171</w:t>
            </w:r>
          </w:p>
        </w:tc>
        <w:tc>
          <w:tcPr>
            <w:tcW w:w="67" w:type="dxa"/>
            <w:tcBorders/>
            <w:shd w:fill="CCEEFF" w:val="clear"/>
            <w:vAlign w:val="bottom"/>
          </w:tcPr>
          <w:p>
            <w:pPr>
              <w:pStyle w:val="TableContents"/>
              <w:bidi w:val="0"/>
              <w:spacing w:before="0" w:after="283"/>
              <w:jc w:val="left"/>
              <w:rPr/>
            </w:pPr>
            <w:r>
              <w:rPr/>
              <w:t> </w:t>
            </w:r>
          </w:p>
        </w:tc>
      </w:tr>
      <w:tr>
        <w:trPr/>
        <w:tc>
          <w:tcPr>
            <w:tcW w:w="2960"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discounts and commissions(1)</w:t>
            </w:r>
          </w:p>
        </w:tc>
        <w:tc>
          <w:tcPr>
            <w:tcW w:w="32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0.36</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0.36</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12,000,000</w:t>
            </w:r>
          </w:p>
        </w:tc>
        <w:tc>
          <w:tcPr>
            <w:tcW w:w="67" w:type="dxa"/>
            <w:tcBorders/>
            <w:vAlign w:val="bottom"/>
          </w:tcPr>
          <w:p>
            <w:pPr>
              <w:pStyle w:val="TableContents"/>
              <w:bidi w:val="0"/>
              <w:spacing w:before="0" w:after="283"/>
              <w:jc w:val="left"/>
              <w:rPr/>
            </w:pPr>
            <w:r>
              <w:rPr/>
              <w:t> </w:t>
            </w:r>
          </w:p>
        </w:tc>
      </w:tr>
      <w:tr>
        <w:trPr/>
        <w:tc>
          <w:tcPr>
            <w:tcW w:w="29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to Taysha Gene Therapies, Inc., before expenses</w:t>
            </w:r>
          </w:p>
        </w:tc>
        <w:tc>
          <w:tcPr>
            <w:tcW w:w="32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5.640</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5.639</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187,999,171</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See “Underwriting” for a description of the compensation payable to the underwriters. </w:t>
            </w:r>
          </w:p>
        </w:tc>
      </w:tr>
    </w:tbl>
    <w:p>
      <w:pPr>
        <w:pStyle w:val="TextBody"/>
        <w:bidi w:val="0"/>
        <w:spacing w:before="240" w:after="0"/>
        <w:jc w:val="left"/>
        <w:rPr>
          <w:rFonts w:ascii="Times New Roman" w:hAnsi="Times New Roman"/>
          <w:sz w:val="18"/>
        </w:rPr>
      </w:pPr>
      <w:r>
        <w:rPr>
          <w:rFonts w:ascii="Times New Roman" w:hAnsi="Times New Roman"/>
          <w:sz w:val="18"/>
        </w:rPr>
        <w:t xml:space="preserve">We have granted the underwriters an option for a period of 30 days to purchase up to 5,000,000 additional shares of our common stock at the initial price to the public less the underwriting discount. </w:t>
      </w:r>
    </w:p>
    <w:p>
      <w:pPr>
        <w:pStyle w:val="TextBody"/>
        <w:bidi w:val="0"/>
        <w:spacing w:before="240" w:after="0"/>
        <w:jc w:val="left"/>
        <w:rPr>
          <w:rFonts w:ascii="Times New Roman" w:hAnsi="Times New Roman"/>
          <w:sz w:val="18"/>
        </w:rPr>
      </w:pPr>
      <w:r>
        <w:rPr>
          <w:rFonts w:ascii="Times New Roman" w:hAnsi="Times New Roman"/>
          <w:sz w:val="18"/>
        </w:rPr>
        <w:t xml:space="preserve">The underwriters expect to deliver the shares and pre-funded warrants against payment in New York, New York on June 26,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8"/>
        </w:rPr>
      </w:pPr>
      <w:r>
        <w:rPr>
          <w:rFonts w:ascii="Times New Roman" w:hAnsi="Times New Roman"/>
          <w:b/>
          <w:i/>
          <w:sz w:val="18"/>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102"/>
        <w:gridCol w:w="4287"/>
        <w:gridCol w:w="102"/>
        <w:gridCol w:w="2857"/>
        <w:gridCol w:w="102"/>
        <w:gridCol w:w="1327"/>
      </w:tblGrid>
      <w:tr>
        <w:trPr/>
        <w:tc>
          <w:tcPr>
            <w:tcW w:w="142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28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1428" w:type="dxa"/>
            <w:tcBorders/>
          </w:tcPr>
          <w:p>
            <w:pPr>
              <w:pStyle w:val="TableContents"/>
              <w:bidi w:val="0"/>
              <w:spacing w:before="0" w:after="283"/>
              <w:jc w:val="left"/>
              <w:rPr>
                <w:b/>
              </w:rPr>
            </w:pPr>
            <w:r>
              <w:rPr>
                <w:b/>
              </w:rPr>
              <w:t>Jefferies</w:t>
            </w:r>
          </w:p>
        </w:tc>
        <w:tc>
          <w:tcPr>
            <w:tcW w:w="102" w:type="dxa"/>
            <w:tcBorders/>
            <w:vAlign w:val="bottom"/>
          </w:tcPr>
          <w:p>
            <w:pPr>
              <w:pStyle w:val="TableContents"/>
              <w:bidi w:val="0"/>
              <w:spacing w:before="0" w:after="283"/>
              <w:jc w:val="left"/>
              <w:rPr/>
            </w:pPr>
            <w:r>
              <w:rPr/>
              <w:t> </w:t>
            </w:r>
          </w:p>
        </w:tc>
        <w:tc>
          <w:tcPr>
            <w:tcW w:w="4287" w:type="dxa"/>
            <w:tcBorders/>
          </w:tcPr>
          <w:p>
            <w:pPr>
              <w:pStyle w:val="TableContents"/>
              <w:bidi w:val="0"/>
              <w:spacing w:before="0" w:after="283"/>
              <w:jc w:val="center"/>
              <w:rPr>
                <w:b/>
              </w:rPr>
            </w:pPr>
            <w:r>
              <w:rPr>
                <w:b/>
              </w:rPr>
              <w:t>Goldman Sachs &amp; Co. LLC</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center"/>
              <w:rPr>
                <w:b/>
              </w:rPr>
            </w:pPr>
            <w:r>
              <w:rPr>
                <w:b/>
              </w:rPr>
              <w:t>Piper Sandler</w:t>
            </w:r>
          </w:p>
        </w:tc>
        <w:tc>
          <w:tcPr>
            <w:tcW w:w="102"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right"/>
              <w:rPr>
                <w:b/>
              </w:rPr>
            </w:pPr>
            <w:r>
              <w:rPr>
                <w:b/>
              </w:rPr>
              <w:t>Cantor</w:t>
            </w:r>
          </w:p>
        </w:tc>
      </w:tr>
    </w:tbl>
    <w:p>
      <w:pPr>
        <w:pStyle w:val="TextBody"/>
        <w:bidi w:val="0"/>
        <w:spacing w:before="280" w:after="0"/>
        <w:jc w:val="center"/>
        <w:rPr>
          <w:rFonts w:ascii="Times New Roman" w:hAnsi="Times New Roman"/>
          <w:b/>
          <w:i/>
          <w:sz w:val="18"/>
        </w:rPr>
      </w:pPr>
      <w:r>
        <w:rPr>
          <w:rFonts w:ascii="Times New Roman" w:hAnsi="Times New Roman"/>
          <w:b/>
          <w:i/>
          <w:sz w:val="18"/>
        </w:rPr>
        <w:t xml:space="preserve">Lead Manager </w:t>
      </w:r>
    </w:p>
    <w:p>
      <w:pPr>
        <w:pStyle w:val="TextBody"/>
        <w:bidi w:val="0"/>
        <w:spacing w:before="200" w:after="0"/>
        <w:jc w:val="center"/>
        <w:rPr>
          <w:rFonts w:ascii="Times New Roman" w:hAnsi="Times New Roman"/>
          <w:b/>
          <w:sz w:val="22"/>
        </w:rPr>
      </w:pPr>
      <w:r>
        <w:rPr>
          <w:rFonts w:ascii="Times New Roman" w:hAnsi="Times New Roman"/>
          <w:b/>
          <w:sz w:val="22"/>
        </w:rPr>
        <w:t xml:space="preserve">Baird </w:t>
      </w:r>
    </w:p>
    <w:p>
      <w:pPr>
        <w:pStyle w:val="TextBody"/>
        <w:bidi w:val="0"/>
        <w:spacing w:before="240" w:after="0"/>
        <w:jc w:val="center"/>
        <w:rPr>
          <w:rFonts w:ascii="Times New Roman" w:hAnsi="Times New Roman"/>
          <w:b/>
          <w:sz w:val="18"/>
        </w:rPr>
      </w:pPr>
      <w:r>
        <w:rPr>
          <w:rFonts w:ascii="Times New Roman" w:hAnsi="Times New Roman"/>
          <w:b/>
          <w:sz w:val="18"/>
        </w:rPr>
        <w:t xml:space="preserve">Prospectus Supplement dated June 24,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tx95601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2">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8">
              <w:r>
                <w:rPr>
                  <w:rStyle w:val="InternetLink"/>
                  <w:rFonts w:ascii="Times New Roman" w:hAnsi="Times New Roman"/>
                  <w:sz w:val="20"/>
                </w:rPr>
                <w:t>DESCRIPTION OF CAPITAL STOCK</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9">
              <w:r>
                <w:rPr>
                  <w:rStyle w:val="InternetLink"/>
                  <w:rFonts w:ascii="Times New Roman" w:hAnsi="Times New Roman"/>
                  <w:sz w:val="20"/>
                </w:rPr>
                <w:t>DESCRIPTION OF THE PRE-FUNDED WARRANTS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10">
              <w:r>
                <w:rPr>
                  <w:rStyle w:val="InternetLink"/>
                  <w:rFonts w:ascii="Times New Roman" w:hAnsi="Times New Roman"/>
                  <w:sz w:val="20"/>
                </w:rPr>
                <w:t>MATERIAL U.S. FEDERAL INCOME TAX CONSEQUENCES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11">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14">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95601_15">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9">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14">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tx9560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an automatic “shelf” registration statement on Form S-3ASR (File No. 333-291244) that we filed with the Securities and Exchange Commission, or the SEC, on November 4, 2025, and which became automatically effective upon filing, as a “well-known seasoned issuer” as defined in Rule 405 under the Securities Act of 1933, as amended, or the Securities Act, using an automatic “shelf” registration process. This document is in two parts. The first part is this prospectus supplement, which describes the specific terms of this offering of common stock and pre-funded warrants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The information included or incorporated by reference in this prospectus supplement also adds to, updates and changes information contained or incorporated by reference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Before buying any of the shares of common stock and pre-funded warrants offered hereby, we urge you to read carefully this prospectus supplement and the accompanying prospectus, together with the information incorporated herein by reference as described below under the heading “Incorporation of Certain Information by Reference.” These documents contain important information that you should consider when making your investment decision.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If the description of the offering varies between any free writing prospectus we have authorized for use in connection with this offering and this prospectus supplement, you should rely on the information in such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any information other than that contained or incorporated by reference in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or pre-funded warrants.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offering to sell, and seeking offers to buy, shares of our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Persons outside the United 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indicates otherwise, as used in this prospectus supplement, references to “we,” “us,” “our,” “the company” and “Taysha” refer to Taysha Gene Therapies,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tx95601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contain forward-looking statements that involve substantial risks and uncertainties. All statements, other than statements of historical fact, contained in this prospectus supplement, the accompanying prospectus and the information incorporated by reference herein and therein, including statements regarding our strategy, future operations, future financial position, future revenue, projected costs, prospects, plans and objectives of management, are forward-looking statements. The words “anticipate,” “believe,” “estimate,” “expect,” “intend,” “may,” “plan,” “predict,” “project,” “target,” “potential,” “will,” “would,” “could,” “should,” “continue,” and similar expressions are intended to identify forward-looking statements, although not all forward-looking statements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supplement, the accompanying prospectus and the information incorporated by reference herein and therein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our planned Investigational New Drug, or IND, and Clinical Trial Agreement submissions, initiation of clinical trials and timing of expected clinical results for TSHA-102 for Rett syndrome and any other current and future product candidates that we advance;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any submission of filings for regulatory approval of, and our ability to obtain and maintain regulatory approvals for,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patients with the diseases treated by our product candidates, and to enroll patients in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size of the patient populations, market acceptance and opportunity for and clinical utility of our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process and strategy, including 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scope of any approved indication for TSHA-102 or any other current or future product candidate that we advance;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leverage our platform, including our next-generation technologies, to identify and develop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our expenses, ongoing losses, future revenue, capital requirements and our need for or ability to obtain additional funding before we can expect to generate any revenue from product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or maintain collaborations or strategic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litigation and our expectations regarding the outcome of lawsuits and other claims against us and any regulatory or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recruit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upon intellectual property licensed from third parties and our ability to obtain such licenses on commercially reasonable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and enforce our intellectual property position for our product candidates, and the scope of such protection;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the terms of our term loan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the development of and projections relating to our competitors or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cash runway, future revenue, expenses and needs for additional financing;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intended use of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w:t>
      </w:r>
      <w:r>
        <w:rPr>
          <w:rFonts w:ascii="Times New Roman" w:hAnsi="Times New Roman"/>
          <w:strike/>
          <w:sz w:val="20"/>
        </w:rPr>
        <w:t xml:space="preserve">included </w:t>
      </w:r>
      <w:r>
        <w:rPr>
          <w:rFonts w:ascii="Times New Roman" w:hAnsi="Times New Roman"/>
          <w:sz w:val="20"/>
        </w:rPr>
        <w:t xml:space="preserve">contained in this prospectus supplement, particularly in the “Risk Factors” section, that we believe could cause actual results or events to differ materially from the forward-looking statements that we make. Our forward-looking statements do not reflect the potential impact of any future acquisitions, mergers, dispositions, joint ventures or investments we may make.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information incorporated by reference herein and therein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ptx95601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supplement and the accompanying prospectus and in the documents we incorporate by reference. This summary does not contain all of the information you should consider before investing in our common stock. You should read this entire prospectus supplement and the accompanying prospectus carefully, especially the risks of investing in our common stock discussed under “Risk Factors” beginning on page S-17 of this prospectus supplement and under a similar heading in our Annual Report on Form 10-K for the year ended December 31, 2025, or the 2025 Form 10-K and other documents incorporated by reference into this prospectus supplement and the accompanying prospectus, along with our financial statements and notes to those financial statements and the other information incorporated by reference in this prospectus supplement and the accompanying prospectus,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Company Overview</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are evaluating TSHA-102 for the treatment of females with Rett syndrome in our REVEAL and ASPIRE clinical trials.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REVEAL Phase 1/2 Adolescent and Adult Trial, also known as Part A, is a first-in-human, open-label, randomized, dose-escalation and dose-expansion study evaluating the safety and preliminary efficacy of TSHA-102 as a single lumbar intrathecal administration in adolescent and adult females aged 12 years and older with Rett syndrome due to MECP2 loss-of-function mutation. The trial is taking place in Canada and the United States. A total of six patients aged 15 to 21 years were treated with TSHA-102 in this study, and enrollment for this trial is complete. Part A also includes the REVEAL Phase 1/2 Pediatric Trial, which is a first-in-human, open-label, randomized, dose-escalation and dose-expansion study evaluating the safety and preliminary efficacy of TSHA-102 as a single lumbar intrathecal administration in pediatric females aged 5 to 8 years with Rett syndrome due to MECP2 loss-of-function mutation. The trial is taking place in the United States and Canada. A total of six patients aged 6 to 8 years were treated with TSHA-102 in this study, and enrollment for this trial is also complete.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completed dosing of the 12 patients aged 6 to 21 years in Part A of both REVEAL trials, which includes eight patients in cohort two (high dose, 1x1015 total vg) and four patients in cohort one (low dose, 5.7x1014 total vg).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Longer-Term Results from Part A of REVEAL Trials as of May 2026 Data Cutoff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Developmental milestones are defined as a functional gain of one or more of the 28 milestones defined in the natural history study. This is the primary evidence of efficacy that will support our planned BLA submission and the FDA’s review of efficacy in the REVEAL pivotal trial. In REVEAL Part A, developmental milestones were assessed by multiple independent raters through video-evidenced evaluation.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12 patients treated in REVEAL Part A ranged from 6 to 21 years of age at dosing, with post-treatment follow-up spanning 12 to 30 months. We enrolled patients across a broad spectrum of disease severity, as assessed by the Clinical Global Impression-Severity, or CGI-S scale --a 7-point, clinician-rated assessment of illness severity ranging from 1 (normal/not at all ill) to 7 (among the most extremely ill). Baseline scores ranged from 4 to 6, reflecting moderately to severely ill patients.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May 2026 data cutoff, 100% of the 12 patients in REVEAL Part A gained or regained ≥ one developmental milestone across the core functional domains of fine motor, gross motor and communication post-treatment with TSHA-102. These results were seen despite the broad range in age and disease severity, as depicted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75325" cy="19570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5325" cy="1957070"/>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total of 31 developmental milestones were achieved across the 12 patients post-treatment, spanning the core functional domains of Rett syndrome of communication, fine motor, and gross motor function. These achievements represent the breadth of response demonstrated and reflect meaningful improvements in daily living that are important to caregivers, families, and clinicians. The milestones achieved are depicted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75960" cy="288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75960" cy="2882900"/>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Many patients achieved milestones as early as 3 months post-TSHA-102. These gains were persistent, and patients continued to accumulate additional milestones over time across all three core disease domains. The total number of developmental milestones achieved across the patients increased from 16 at 6 months to 27 at 12 months, representing a 69% increase, and to 31 at ≥12 months, representing a 94% increase. The majority of patients achieved multiple developmental milestones, with 75% of high-dose patients achieving two developmental milestones or more post-TSHA-102.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87390" cy="2581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87390" cy="258127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also observed clinically meaningful skill gains and improvements in core disease characteristics beyond the 28 natural history-defined developmental milestones, which were assessed through rigorous video-evidenced evaluation and validated scales. Together, the developmental milestones and additional skills and improvements reflect the totality of functional gains seen post-TSHA-102 that impact activities of daily living. At ≥12 months post-TSHA-102, a total of 310 functional gains were observed, translating to an average of 26 per patient. We believe these durable, multi-domain functional gains that accumulated over time reflect the broad functional impact of TSHA-102.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summary of the total functional gains seen post-TSHA-102 is depicted in the chart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280025" cy="2359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280025" cy="2359025"/>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Improvements were also observed across multiple clinician-assessed outcome measures, including Revised Motor Behavior Assessment (R-MBA), Clinician Global Impression – Improvement (CGI-I), and Clinical Global Impression – Severity (CGI-S), all of which corroborated the functional gains demonstrated post-TSHA-102.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R-MBA demonstrated a consistent and robust treatment effect across all 12 patients at both 6- and 12-months post-TSHA-102. Mean change from baseline showed statistically significant improvement at both time points compared to natural history data, as depicted in the graph below, which suggests a reversal of the expected disease trajectory. The treatment effect demonstrated greater statistical separation from natural history at 12 months than at 6 months, as reflected by a lower p-value. Beyond 12 months, the treatment effect continued to increase, with a clear dose-dependent separation. High-dose patients achieved a mean improvement of 15.7 points compared to 7.8 points in the low-dose cohort. We believe these results support the therapeutic potentail of TSHA-102.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83580" cy="22517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83580" cy="2251710"/>
                    </a:xfrm>
                    <a:prstGeom prst="rect">
                      <a:avLst/>
                    </a:prstGeom>
                  </pic:spPr>
                </pic:pic>
              </a:graphicData>
            </a:graphic>
          </wp:inline>
        </w:drawing>
      </w:r>
      <w:r>
        <w:rPr>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Based on May 2026 data cutoff (N=12 at 6 and 12 months, N=7 at ≥18 months post-TSHA-102). Statistical analyses are based on May 2026 data cutoff (N=12). 1R-MBA assessed in Rett syndrome NHS at ~6 and ~12 months; MBA natural history data converted to R-MBA; mean scores reported were calculated from baseline to 6 and 12 months: Accessed from International Rett Syndrome Foundation (IRSF). ClinicalTrials.gov: NCT02738281: a prospective cohort of individuals with a pathologic mutation in the MECP2 gene, commonly associated with RTT.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TSHA-102 drove early, sustained global improvement in CGI-I, with dose-dependent effects that deepened over time, as summarized in the table below. 100% of the patients demonstrated an improved CGI-I score of 3 or less at multiple post-treatment assessments. Mean CGI-I scores in the high dose cohort were less than 3 at all assessments and improved over time, reaching 1.7 in the high-dose cohort at 18 months post-treatment.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461000" cy="20694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461000" cy="206946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TSHA-102 demonstrated robust, clinically meaningful responses at both 6 and at 12 months and beyond across multiple key outcome measures. Importantly, we observed an 83% response rate at 6 months and a 100% response rate at 12 months, exceeding the FDA-aligned minimum threshold for the pivotal trial (33% response rate), which further bolsters our confidence in our pivotal trial 6-month interim analysis, in addition to total functional gains observed, R-MBA, CGI-I, and CGI-S data all demonstrating significant and consistent response at 6 months, 12 months and beyond. Further, the FDA has agreed that our clinical and final commercial manufacturing processes are considered comparable, which enables us to include this REVEAL Part A data in our BLA to support the totality of evidence. We believe this alignment further supports the possibility of a BLA submission based on the pivotal trial interim analysis. The responses for both the high and low dose cohorts of Part A are summarized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270500" cy="208978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270500" cy="2089785"/>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May 2026 data cutoff, TSHA-102 was generally well tolerated with no treatment-related serious adverse events, or SAEs, or dose limiting toxicities, or DLTs, and all treatment-emergent adverse events related to TSHA-102 were mild to moderate in severity. Across the 29 patients treated in the REVEAL Part A and pivotal trials, there have been no treatment related SAEs or DLTs as of the June 2026 data cutoff. The number of adverse events across 12 pediatric, adolescent, and adult patients is summarized in the table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654040" cy="223393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654040" cy="2233930"/>
                    </a:xfrm>
                    <a:prstGeom prst="rect">
                      <a:avLst/>
                    </a:prstGeom>
                  </pic:spPr>
                </pic:pic>
              </a:graphicData>
            </a:graphic>
          </wp:inline>
        </w:drawing>
      </w:r>
      <w:r>
        <w:rPr>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REVEAL Part A data cut May 2026 (N=12).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REVEAL part A and pivotal trial study safety data cut June 2026 (N=29).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REVEAL Pivotal Trial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TSHA-102 clinical development program is designed to support the potential future approval of TSHA-102 for a broad population of patients aged 2 years and older with Rett syndrome through an efficient and rigorously designed pathway. In close collaboration with the United States Food and Drug Administration, or FDA, we designed the TSHA-102 pivotal program so that efficacy data from the REVEAL pivotal trial in patients aged 6 to &lt;22 years who have reached developmental plateau can be used to represent patients aged 2 to &lt;6 years, while safety data in younger children are generated through the separate ASPIRE trial to support the potential for a broad label for TSHA-102.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REVEAL pivotal trial, also known as Part B, is a single-arm, open-label study evaluating the efficacy and safety of high dose TSHA-102 as a single lumbar intrathecal administration in females aged 6 to &lt;22 years with Rett syndrome due to MECP2 loss-of-function mutation, with each patient serving as their own control. The trial is taking place in the United States. The study enrolled females in the developmental plateau population of Rett syndrome; these patients have an exceedingly low likelihood (0% to &lt;6.7%) of gaining new or regaining developmental milestones that were lost after a defined number of years, based on our analysis of the National Institutes of Health, or NIH, -funded International Rett Syndrome Foundation’s natural history study data. The primary endpoint will assess response rate, defined as the percentage of patients who gain or regain at least one developmental milestone from a list of 28 natural-history defined milestones across the core functional domains of communication, fine motor and gross motor, following administration of TSHA-102. The response rate of 33% is the minimum threshold for success sufficient to reject the natural history established null hypothesis of 6.7%.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completed dosing of the 17 patients aged 6 to &lt;22 years in the overenrolled REVEAL pivotal trial, and enrollment for this trial is complete with a well balanced age distribution across all pediatric, adolescent and adult patients dosed. As of the June 2026 data cutoff for the REVEAL pivotal trial, TSHA-102 was generally well tolerated in the 17 patients, with no treatment-related SAEs or DLTs reported.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Standardized milestone assessments will be administered and captured on video at pre- and post-treatment timepoints, with determination of milestone gain/regain upon video-evidence review by independent, blinded central raters based on prespecified definitions of achievement for each milestone. The interim analysis to support the planned and FDA-aligned BLA submission is expected to occur after all 17 patients complete six months of post-treatment follow-up. Subsequently, we plan to discuss data from the 6-month interim analysis and next steps toward the BLA submission pathway with the FDA in early 2027, with topline data and regulatory feedback anticipated in the first half of 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also obtained written alignment from the FDA on an extrapolation approach in a separate safety-focused study, which we refer to as the ASPIRE trial, and the data for inclusion in the planned BLA submission to enable potential broad labeling of TSHA-102 for patients aged ≥2 years with Rett syndrome. ASPIRE is enrolling four females aged 2 to &lt;4 years with Rett syndrome to evaluate the safety and preliminary efficacy of a single intrathecal administration of high dose TSHA-102 (1x1015 total vg), scaled to account for the lower brain volume in 2 to &lt;4-year-olds. A minimum of three months of ASPIRE safety data will be included in the planned BLA submission, while efficacy in the 2 to &lt;6-year-old population will be extrapolated from data collected in the REVEAL pivotal trial. The ASPIRE trial is ongoing, with enrollment of four patients exceeding the initial target of three patients.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Topline data from the REVEAL pivotal trial 6-month interim analysis and FDA feedback on the BLA submission pathway for TSHA-102 is expected in the first half of 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reached written alignment with the FDA on Chemistry, Manufacturing and Controls, or CMC, requirements to support a planned BLA submission for TSHA-102 following a Type C meeting. We further aligned with the FDA on our proposed comparability approach between TSHA-102 material derived from the clinical and final commercial manufacturing processes. The FDA agreed that this approach may support pooling data from the REVEAL Phase 1/2 trials with data from the ongoing REVEAL pivotal and ASPIRE trials for the planned BLA submission. The FDA also endorsed our proposed Process Performance Qualification, or PPQ, campaign strategy to support process validation for the BLA submission, including the stability data package, the potency assay strategy, and the execution of BLA-enabling PPQ lots using the commercial manufacturing process. We initiated our PPQ campaign in April 2026 and expect to complete the campaign in the fourth quarter of 2026. Initiating the PPQ campaign ensures our CMC activities remain aligned with our clinical development timelines for the planned BLA submission.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received orphan drug designation and rare pediatric disease designation from the FDA and orphan drug designation from the European Commission for TSHA-102 for the treatment of Rett syndrome. We also received Fast Track Designation from the FDA for TSHA-102 for the treatment of Rett syndrome. In February 2024, we received Innovative Licensing and Access Pathway, or ILAP, designation for TSHA-102 from the U.K. Medicines and Healthcare Products Regulatory Agency. The ILAP aims to facilitate patient access to novel treatments by accelerating time to market through opportunities for enhanced engagements with U.K. regulatory authorities and other stakeholders.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April 2024, the FDA granted Regenerative Medicine Advanced Therapy, or RMAT, designation for TSHA-102 in Rett syndrome following the FDA’s review of available safety and efficacy data from the first three patients with Rett syndrome dosed with the low dose of TSHA-102 in Part A of the REVEAL Phase 1/2 Adolescent and Adult trial and the REVEAL Phase 1/2 Pediatric trial. In September 2025, the FDA granted Breakthrough Therapy designation to TSHA-102 following the FDA’s review of positive clinical evidence across the 12 patients treated with TSHA-102 in Part A of the REVEAL Phase 1/2 trials. The FDA grants Breakthrough Therapy designation to expedite the development and regulatory review of an investigational therapy intended to treat a serious condition. A drug is eligible for this designation if it demonstrates preliminary clinical evidence of substantial improvement over available treatments in one or more clinically significant endpoints.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Pipeline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table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461000" cy="15227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461000" cy="1522730"/>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Associated with 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a number of risks of which you should be aware before making an investment decision. These risks are discussed more fully in the section titled “Risk Factors” immediately following this prospectus summary and under similar headings in our filings with the SEC which are incorporated by reference in this prospectus supplement and the accompanying prospectus. These risks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incurred significant losses since our inception. We expect to incur losses over the next several years and may never achieve or maintain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substantial additional funding to meet our financial obligations and to pursue our business objectives. If we are unable to raise capital when needed, we could be forced to curtail our planned operations and the pursuit of our growth strategy.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and no history of commercializing products, which may make it difficult for an investor to evaluate the success of our business to date and to assess our future viability.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Interim “top-line” and preliminary results from our clinical trials that we announce or publish from time to time may change as more patient data become available and are subject to audit and verification procedures that could result in material changes in the final data.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yet completed testing of any product candidate in clinical trials. Success in preclinical studies or earlier clinical trials, including our Phase 1/2 REVEAL trials of TSHA-102, may not be indicative of results in future clinical trials, or provide support for the submission of a marketing application.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substantially dependent on the success of our lead product candidate, TSHA-102. There is no guarantee that we will be able to successfully develop and commercialize TSHA-102. If we are unable to complete development of, obtain regulatory approval for and commercialize TSHA-102 in one or more indications and in a timely manner, our business, financial condition, results of operations and prospects will be significantly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intend to identify and develop novel gene therapy product candidates, which makes it difficult to predict the time, cost and potential success of product candidate development.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European Medicines Agency and comparable foreign authorities are lengthy, time consuming and inherently unpredictable. If we are not able to obtain required regulatory approval for our product candidates, our business will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legislative or regulatory reform measures may have a negative impact on our business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in our efforts to build a pipeline of additional product candidates or our next-generation platform technologies.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conditions in our industry or the global economy could limit our ability to grow our business and negatively affect our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 therapies are novel, complex and difficult to manufacture. We could experience manufacturing problems that result in delays in the development or commercialization of our product candidates or otherwise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our contract manufacturers for AAV9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UT Southwestern has entered into collaborations with third parties, including certain of our competitors, addressing targets and disease indications outside the scope of our collaboration. As a result, UT Southwestern may have competing interests with respect to their priorities and resources.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public opinion of gene therapy and increased regulatory scrutiny of gene therapy and genetic research may adversely impact the development or commercial success of our current and future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significant competition from other biotechnology and pharmaceutical companies, and our operating results will suffer if we fail to compete effectively.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may initiate legal proceedings alleging that we are infringing their intellectual property rights, the outcome of which would be uncertain.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legal proceedings from time to time which seek material damages.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term loan agreement contains restrictions that potentially limit our flexibility in operating our business, and we may be required to make a prepayment or repay our outstanding indebtedness earlier than we expect.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or protect intellectual property rights related to any of our product candidates, we may not be able to compete effectively in our market.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Raising additional capital, including as a result of this offering, may cause dilution to our stockholders, restrict our operations or require us to relinquish rights to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purchase shares of common stock or pre-funded warrants in this offering, you will suffer immediate dilution of your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broad discretion over the use of our cash and cash equivalents, including the net proceeds we receive in this offering, and may not use them effectively.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Texas in September 2019. In February 2020, we converted to a Delaware corporation. Our principal executive offices are located at 3000 Pegasus Park Drive, Suite 1430, Dallas, Texas 75247 and our telephone number is (214) 612-0000. Our website address is www.tayshagtx.com. The information contained on, or accessible through, our website is not incorporated by reference into this prospectus supplement. We have included our website in this prospectus supplement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We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6" w:name="supptx95601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us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32,500,001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Pre-funded warrants offered by us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are also offering, in lieu of common stock to certain investors that so choose, pre-funded warrants to purchase up to 833,333 shares of our common stock. The purchase price of each pre-funded warrant will equal the price per share at which the shares of our common stock are being sold to the public in this offering, minus $0.001, which is the exercise price of each pre-funded warrant per share. Each pre-funded warrant will be exercisable at any time after the date of issuance of such pre-funded warrant, subject to an ownership limitation. See “Description of the Pre-Funded Warrants” on page S-31 of this prospectus supplement. This prospectus supplement also relates to the offering of the shares of our common stock issuable upon exercise of the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Underwriters’ option to purchase additional shares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5,000,000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outstanding immediately</w:t>
            </w:r>
            <w:r>
              <w:rPr>
                <w:rFonts w:ascii="Times New Roman" w:hAnsi="Times New Roman"/>
                <w:sz w:val="20"/>
              </w:rPr>
              <w:t xml:space="preserve"> </w:t>
            </w:r>
            <w:r>
              <w:rPr>
                <w:rFonts w:ascii="Times New Roman" w:hAnsi="Times New Roman"/>
                <w:b/>
                <w:sz w:val="20"/>
              </w:rPr>
              <w:t xml:space="preserve">after this offering </w:t>
            </w:r>
          </w:p>
        </w:tc>
        <w:tc>
          <w:tcPr>
            <w:tcW w:w="6329" w:type="dxa"/>
            <w:tcBorders/>
          </w:tcPr>
          <w:p>
            <w:pPr>
              <w:pStyle w:val="TableContents"/>
              <w:bidi w:val="0"/>
              <w:spacing w:before="0" w:after="283"/>
              <w:jc w:val="left"/>
              <w:rPr/>
            </w:pPr>
            <w:r>
              <w:rPr/>
              <w:t xml:space="preserve">319,776,886 shares (or 324,776,886 shares if the underwriters exercise in full their option to purchase additional shares), assuming no exercise of any pre-funded warrants issued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8" w:type="dxa"/>
            <w:tcBorders/>
          </w:tcPr>
          <w:p>
            <w:pPr>
              <w:pStyle w:val="TableContents"/>
              <w:bidi w:val="0"/>
              <w:spacing w:before="0" w:after="283"/>
              <w:jc w:val="left"/>
              <w:rPr/>
            </w:pPr>
            <w:r>
              <w:rPr/>
              <w:t xml:space="preserve">We estimate that the net proceeds from this offering will be approximately $187.4 million (or approximately $215.6 million if the underwriters exercise in full their option to purchase up to 5,000,000 additional shares of common stock), assuming a public offering price of $6.00 per share and $5.999 per pre-funded warrant, after deducting the underwriting discounts and commissions and estimated offering expenses payable by us. These estimates exclude the nominal proceeds, if any, from the exercise of the pre-funded warrants sold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currently intend to use the net proceeds from this offering, together with our current cash and cash equivalents, to fund the regulatory and manufacturing development and anticipated commercial launch, if approved, of TSHA-102 in Rett syndrome and clinical and preclinical development of other pipeline candidates and general working capital purposes. See the section titled “Use of Proceeds” beginning on page S-20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9" w:type="dxa"/>
            <w:tcBorders/>
          </w:tcPr>
          <w:p>
            <w:pPr>
              <w:pStyle w:val="TableContents"/>
              <w:bidi w:val="0"/>
              <w:spacing w:before="0" w:after="283"/>
              <w:jc w:val="left"/>
              <w:rPr/>
            </w:pPr>
            <w:r>
              <w:rPr/>
              <w:t xml:space="preserve">You should read the “Risk Factors” section of this prospectus supplement beginning on page S-17 and page 8 of the accompanying prospectus, respectively, and the “Risk Factors” section in our 2025 Form 10-K and other documents incorporated by reference into this prospectus supplement and the accompanying prospectus, for a discussion of factors to consider carefully before deciding to invest in our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Nasdaq Global Select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Market symbol </w:t>
            </w:r>
          </w:p>
        </w:tc>
        <w:tc>
          <w:tcPr>
            <w:tcW w:w="6327" w:type="dxa"/>
            <w:tcBorders/>
          </w:tcPr>
          <w:p>
            <w:pPr>
              <w:pStyle w:val="TableContents"/>
              <w:bidi w:val="0"/>
              <w:spacing w:before="0" w:after="283"/>
              <w:jc w:val="left"/>
              <w:rPr/>
            </w:pPr>
            <w:r>
              <w:rPr/>
              <w:t xml:space="preserve">Our common stock is listed on The Nasdaq Global Select Market under the symbol “TSHA.” We do not intend to apply for listing of the pre-funded warrants on The Nasdaq Global Select Market or any securities exchange or nationally recognized trading system.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287,276,885 shares of our common stock outstanding as of March 31,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28,320,761 shares of our common stock issuable upon the exercise of stock options outstanding as of March 31, 2026, at a weighted average exercise price of $2.99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16,643,333 shares of common stock issuable upon the vesting and settlement of restricted stock units outstanding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79,466,785 shares of common stock issuable upon the exercise of outstanding pre-funded warrants to purchase shares of common stock outstanding as of March 31, 2026 with an exercise price of $0.001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1,962,369 shares of common stock reserved for future issuance under our 2020 Stock Incentive Plan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3,113,882 shares of our common stock reserved for future issuance under our 2020 Employee Stock Purchase Plan as of March 31,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2,501,720 shares of our common stock reserved for future issuance under our 2023 Inducement Plan as of March 31,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(i) no exercise of the outstanding options or settlement of unvested restricted stock units described above, (ii) no exercise of outstanding pre-funded warrants described above, (iii) no exercise by the underwriters of their option to purchase additional shares of our common stock and (iv) no exercise of the pre-funded warrants offered and sold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x9560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Before you decide to invest in our common stock, you should carefully consider the risks and uncertainties described below together with all other information contained in this prospectus supplement, the accompanying prospectus and in our filings with the SEC that we have incorporated by reference in this prospectus supplement and the accompanying prospectus. The risk factors included in this prospectus supplement update the corresponding risk factors incorporated by reference in this prospectus supplement from our 2025 Form 10-K and other documents incorporated by reference into this prospectus supplement and the accompanying prospectus. If any of the following risks or any of the risks incorporated herein by reference actually occurs, our business, prospects, operating results and financial condition could suffer materially. In such event, the trading price of our common stock could decline and you might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Raising additional capital, including as a result of this offering, may cause dilution to our stockholders, restrict our operations or require us to relinquish rights to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we can generate substantial revenue, we expect to finance our cash needs through a combination of equity offerings, debt financings and license and collaboration agreements. To the extent that we raise additional capital through the sale of equity securities, including from this offering,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240" w:after="0"/>
        <w:jc w:val="left"/>
        <w:rPr>
          <w:rFonts w:ascii="Times New Roman" w:hAnsi="Times New Roman"/>
          <w:sz w:val="20"/>
        </w:rPr>
      </w:pPr>
      <w:r>
        <w:rPr>
          <w:rFonts w:ascii="Times New Roman" w:hAnsi="Times New Roman"/>
          <w:sz w:val="20"/>
        </w:rPr>
        <w:t xml:space="preserve">If we raise additional funds through collaborations, strategic alliances or marketing, distribution or licensing arrangements with third parties, we may be required to relinquish valuable rights to our technologies, intellectual property, potential future revenue streams, or product candidates or grant licenses on terms that may not be favorable to us. If we are unable to raise additional funds through equity or debt financings or other arrangements with third parties when needed, we may be required to delay, limit, reduce or terminate our product candidate development or future commercialization efforts or grant rights to third parties to develop and market product candidates that we would otherwise prefer to develop and market ourselves.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shares of common stock or pre-funded warrants in this offering, you will suffer immediate dilution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price of our common stock in this offering is substantially higher than the net tangible book value per share of our common stock. Therefore, if you purchase shares of our common stock or pre-funded warrants in this offering, you will pay a price per share that substantially exceeds our net tangible book value per share after this offering. To the extent outstanding options or pre-funded warrants are exercised or restricted stock units are settled in shares of our common stock, you will incur further dilution. Based on a public offering price of $6.00 per share and $5.999 per pre-funded warrant, which equals the offering price per share of the common stock less the $0.001 per share exercise price of each such pre-funded warrant (and excluding shares of common stock issued or any resulting accounting associated with the pre-funded warrants), you will experience immediate dilution of $4.75 per share, representing the difference between our as adjusted net tangible book value per share after giving effect to this offering and the public offering price. Furthermore, if the pre-funded warrants are exercised, you will incur further dilution. For additional information on the dilution that you will experience immediately after this offering, see the section titled “Dilution.”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have broad discretion over the use of our cash and cash equivalents, including the net proceeds we receive in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has broad discretion to use our cash and cash equivalents,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to fund operations, we may invest our cash and cash equivalents in a manner that does not produce income or that loses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sale of a substantial number of shares of our common stock may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warrants, or the perception that such sales may occur, could adversely affect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Jefferies LLC and Goldman Sachs &amp; Co. LLC may, in their sole discretion, release all or some portion of the shares subject to the lock-up agreements associated with this offering at any time and for any reason.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trading market for the pre-funded warrants being offered in this offering, and we do not expect a market to develop. In addition, we do not intend to apply to list the pre-funded warrants on any securities exchange or nationally recognized trading system, including The Nasdaq Global Select Market. Without an active market, the liquidity of the pre-funded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a significant amount, or potentially any, additional funds upon the exercise of the pre-funded warrants; however, any exercise would increase the number of shares eligible for future resale in the public market and result in dilution 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exercise of the pre-funded warrants. Even if a pre-funded warrant is exercised for cash, we will not receive any meaningful additional funds upon the exercise of the pre-funded warrants. To the extent such pre-funded warrants are exercised, additional shares of common stock will be issued for nominal or no additional consideration, which will result in dilution to the then existing holders of our common stock and will increase the number of shares eligible for resale in the public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Holders of any pre-funded warrants purchased in this offering will have no rights as holders of our common stock with respect to the shares of common stock underlying such pre-funded warrants until such holders exercise their pre-funded warrants and acquire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pre-funded warrants acquire shares of our common stock upon exercise of the pre-funded warrants, holders of pre-funded warrants will have no rights with respect to the shares of our common stock underlying such pre-funded warrants including with respect to dividends and voting rights. Upon exercise of the pre-funded warrants, the holders will be entitled to exercise the rights of a holder of our common stock with respect to the shares of common stock underlying such pre-funded warrants only as to matters for which the record date occurs after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holders of our common stock may not be permitted to exercise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A holder of a pre-funded warrant will not be entitled to exercise any portion of any pre-funded warrant which, upon giving effect to such exercise, would cause (i) the aggregate number of shares of our common stock beneficially owned by the holder (together with its affiliates) to exceed 4.99% or 9.99%, as the case may be, of the number of shares of our common stock outstanding immediately prior to or after giving effect to the exercise, or (ii) the combined voting power of our securities beneficially owned by the holder (together with its affiliates) to exceed 4.99% or 9.99%, as the case may be, of the combined voting power of all of our securities then outstanding immediately prior to or after giving effect to the exercise, as such percentage ownership is determined in accordance with the terms of the pre-funded warrants. Such percentage may be increased by the holder of the pre-funded warrant to any other percentage not in excess of 19.99% upon at least 61 days’ prior notice from the holder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x95601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we had cash and cash equivalents of $276.6 million. We estimate that the net proceeds to us from this offering will be approximately $187.4 million, or approximately $215.6 million if the underwriters exercise in full their option to purchase up to 5,000,000 additional shares of common stock, based on the public offering price of $6.00 per share and $5.999 per pre-funded warrant, and after deducting underwriting discounts and commissions and estimated offering expenses payable by us. These estimates exclude the nominal proceeds, if any, from the exercise of the pre-funded warrants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together with our current cash and cash equivalents, to fund the regulatory and manufacturing development and anticipated commercial launch, if approved, of TSHA-102 in Rett syndrome and clinical and preclinical development of other pipeline candidates and general working capital purposes. </w:t>
      </w:r>
    </w:p>
    <w:p>
      <w:pPr>
        <w:pStyle w:val="TextBody"/>
        <w:bidi w:val="0"/>
        <w:spacing w:before="240" w:after="0"/>
        <w:jc w:val="left"/>
        <w:rPr>
          <w:rFonts w:ascii="Times New Roman" w:hAnsi="Times New Roman"/>
          <w:sz w:val="20"/>
        </w:rPr>
      </w:pPr>
      <w:r>
        <w:rPr>
          <w:rFonts w:ascii="Times New Roman" w:hAnsi="Times New Roman"/>
          <w:sz w:val="20"/>
        </w:rPr>
        <w:t xml:space="preserve">Our expected use of the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product candidate development,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these uses, we expect to invest the net proceeds in short-term, interest bearing obligations, certificates of deposit or direct or guaranteed obligations of the United States. The goal with respect to the investment of these net proceeds is capital preservation and liquidity so that such funds are readily available to fund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Based on the planned use of proceeds described above, we believe that the net proceeds from this offering, together with our current cash and cash equivalents, will be sufficient to enable us to fund our operating expenses and capital expenditure requirements into the second half of 2028. We have based this estimate on assumptions that may prove to be incorrect, and we could use our available capital resources sooner than we currently expect.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x95601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or pre-funded warrants in this offering, your interest will be diluted immediately to the extent of the difference between the public offering price per share or pre-funded warrant you will pay in this offering and the as adjusted net tangible book value per share of our common stock after this offering. Our historical net tangible book value as of March 31, 2026 was $211.9 million, or $0.74 per share of common stock. Historical net tangible book value per share represents the amount of our total tangible assets less total liabilities, divided by the number of shares of our common stock outstanding on March 31,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our issuance and sale of 32,500,001 shares of common stock in this offering at a public offering price of $6.00 per share and pre-funded warrants to purchase up to 833,333 shares of our common stock at the public offering price of $5.999 per pre-funded warrant (and excluding shares of common stock issued or any resulting accounting associated with the pre-funded warrants), and after deducting the underwriting discounts and commissions and estimated offering expenses payable by us and excluding proceeds, if any, from the exercise of the pre-funded warrants issued pursuant to this offering or any resulting accounting associated with the pre-funded warrants, our as adjusted net tangible book value as of March 31, 2026 would have been $399.4 million, or $1.25 per share. This represents an immediate increase in as adjusted net tangible book value per share of $0.51 to existing stockholders and immediate dilution of $4.75 in as adjusted net tangible book value per share to new investors purchasing common stock in this offering. Dilution per share to new investors is determined by subtracting as adjusted net tangible book value per share after this offering from the public offering price per share paid by new investors. The following table illustrates this per share dilution to the new investors purchasing securities in this offering without giving effect to the option to purchase additional shares granted to the underwriters: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63"/>
        <w:gridCol w:w="388"/>
        <w:gridCol w:w="146"/>
        <w:gridCol w:w="450"/>
        <w:gridCol w:w="60"/>
        <w:gridCol w:w="388"/>
        <w:gridCol w:w="146"/>
        <w:gridCol w:w="450"/>
        <w:gridCol w:w="64"/>
      </w:tblGrid>
      <w:tr>
        <w:trPr/>
        <w:tc>
          <w:tcPr>
            <w:tcW w:w="5663"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 (or pre-funded warrant in lieu thereof at the public offering price less $0.001)</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6.00</w:t>
            </w:r>
          </w:p>
        </w:tc>
        <w:tc>
          <w:tcPr>
            <w:tcW w:w="64" w:type="dxa"/>
            <w:tcBorders/>
            <w:shd w:fill="CCEEFF" w:val="clear"/>
            <w:vAlign w:val="bottom"/>
          </w:tcPr>
          <w:p>
            <w:pPr>
              <w:pStyle w:val="TableContents"/>
              <w:bidi w:val="0"/>
              <w:spacing w:before="0" w:after="283"/>
              <w:jc w:val="left"/>
              <w:rPr/>
            </w:pPr>
            <w:r>
              <w:rPr/>
              <w:t> </w:t>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2026</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450" w:type="dxa"/>
            <w:tcBorders/>
            <w:vAlign w:val="bottom"/>
          </w:tcPr>
          <w:p>
            <w:pPr>
              <w:pStyle w:val="TableContents"/>
              <w:bidi w:val="0"/>
              <w:spacing w:before="0" w:after="283"/>
              <w:jc w:val="right"/>
              <w:rPr/>
            </w:pPr>
            <w:r>
              <w:rPr/>
              <w:t>0.74</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per share attributable to sale of shares of common stock and pre-funded warrants in this offering</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right"/>
              <w:rPr/>
            </w:pPr>
            <w:r>
              <w:rPr/>
              <w:t>0.51</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this offering</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4.75</w:t>
            </w:r>
          </w:p>
        </w:tc>
        <w:tc>
          <w:tcPr>
            <w:tcW w:w="64" w:type="dxa"/>
            <w:tcBorders/>
            <w:shd w:fill="CCEEFF" w:val="clear"/>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5,000,000 additional shares in full at the public offering price of $6.00 per share, the as adjusted net tangible book value will increase to $1.32 per share, representing an immediate increase to existing stockholders of $0.58 per share and an immediate dilution of $4.68 per share to new investors.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287,276,885 shares of our common stock outstanding as of March 31,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28,320,761 shares of our common stock issuable upon the exercise of stock options outstanding as of March 31, 2026, at a weighted average exercise price of $2.99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16,643,333 shares of common stock issuable upon the vesting and settlement of restricted stock units outstanding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79,466,785 shares of common stock issuable upon the exercise of outstanding pre-funded warrants to purchase shares of common stock outstanding as of March 31, 2026 with an exercise price of $0.001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1,962,369 shares of common stock reserved for future issuance under our 2020 Stock Incentive Plan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3,113,882 shares of our common stock reserved for future issuance under our 2020 Employee Stock Purchase Plan as of March 31,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2,501,720 shares of our common stock reserved for future issuance under our 2023 Inducement Plan as of March 31,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holders of the pre-funded warrants exercise the pre-funded warrants, the as adjusted net tangible book value per share after giving effect to this offering would be $1.25 per share, representing an immediate increase to existing stockholders of $0.51 per share, and immediate dilution to new investors in this offering of $4.75 per share.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options and pre-funded warrants are exercised, restricted stock units are settled in shares of our common stock, new stock awards are issued under our equity incentive plans or we otherwise issue additional shares of common stock in the future at a price less than the public offering price, there may be further dilution to new investors purchasing common stock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x95601_8"/>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capital stock and provisions of our certificate of incorporation and bylaws are summaries. References to our certificate of incorporation herein refer to our certificate of incorporation as amended to the date of this prospectus supplement. You should also refer to the certificate of incorporation (including the certificate of amendment thereto) and the bylaws, which are filed as exhibits to our most recent Annual Report on Form 10-K and are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authorizes us to issue up to 700,000,000 shares of common stock, $0.00001 par value per share, and 10,000,000 shares of preferred stock, $0.00001 par value per share. Our board of directors may establish the rights and preferences of the preferred stock from time to time. As of March 31, 2026, we had outstanding 287,276,885 shares of common stock and no shares of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our common stock is entitled to one vote for each share on all matters submitted to a vote of the stockholders, including the election of directors. The affirmative vote of holders of at least 66 2/3% of the voting power of all of the then-outstanding shares of capital stock, voting as a single class, is required to amend certain provisions of our certificate of incorporation, including provisions relating to amending our bylaws, the classified board, the size of our board, removal of directors, director liability, vacancies on our board, special meetings, stockholder notices, actions by written consent and exclusive forum.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holders of common stock are entitled to receive ratably those dividends, if any, as may be declared from time to time by the board of directors out of legally available funds.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certificate of incorporation, our board of directors has the authority, without further action by our stockholders, from time to time, to designate and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 share, dividend period and payment dates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or other securities of ours, including depositary shares and warrants, and, if applicable, the conversion period, the conversion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period, the exchange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preemption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issuances of any class or series of preferred stock ranking senior to or on a parity with the series of preferred stock being issued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rights, preferences, privileges, qualifications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i/>
          <w:sz w:val="20"/>
        </w:rPr>
      </w:pPr>
      <w:r>
        <w:rPr>
          <w:rFonts w:ascii="Times New Roman" w:hAnsi="Times New Roman"/>
          <w:i/>
          <w:sz w:val="20"/>
        </w:rPr>
        <w:t xml:space="preserve">2023 Private Placement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2023, we entered into a securities purchase agreement, or the 2023 Purchase Agreement, with certain institutional and other accredited investors, or the PIPE Investors. Under the terms of the 2023 Purchase Agreement, we agreed to prepare and file one or more registration statements to register for resale 122,412,376 shares of our common stock issued and sold to the PIPE Investors and 44,250,978 shares of our common stock issuable upon the exercise of outstanding pre-funded warrants to purchase shares of our common stock issued and sold to the PIPE Investors, collectively the PIPE Shares. We also agreed to use our best efforts to keep such registration statement effective until the earlier of (i) the third anniversary of the date the initial registration statement is declared effective, or (ii) the date all PIPE Shares (assuming cashless exercise of the pre-funded warrants) held by or issuable to a Holder (as defined in the 2023 Purchase Agreement), may be sold under Rule 144 without being subject to any volume, manner of sale or publicly available information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registration statement is suspended, ceases to remain continuously effective or is unavailable for purchasers to sell registrable securities, subject to certain limited exceptions, we agreed to make pro rata payments to each purchaser as liquidated damages in an amount equal to 1.0% of the Purchaser’s Subscription Amount (as defined in the 2023 Purchase Agreement), per 20-day period or pro rata for any portion thereof for each such 20-day period during which such event continues, subject to certain caps set forth in the 2023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Board Observer Rights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2022, we entered into a securities purchase agreement, or the Astellas SPA, with Audentes Therapeutics, Inc. (d/b/a Astellas Gene Therapy), or Astellas, pursuant to which Astellas has the right to designate one individual to attend all meetings of the board of directors in a non-voting observer capacity, or the Astellas Board Observer. The Astellas Board Observer is entitled to all notices, minutes, consents and other materials provided to our directors at the same time and in the same manner as provided to such directors. The Astellas Board Observer right terminates upon a Change of Control (as defined in the Astellas SPA) or when Astellas no longer holds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June 2023, our board of directors appointed Paul B. Manning as a non-voting board observer, and in such capacity, Mr. Manning may attend, in a non-voting capacity, all meetings of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Pre-Funded Warrants to Purchase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2023, we issued pre-funded warrants, or the 2023 Pre-Funded Warrants, to purchase up to 44,250,978 shares of common stock. On June 27, 2024, we issued pre-funded warrants, or the 2024 Pre-Funded Warrants, to purchase up to 18,972,221 shares of common stock. On May 30, 2025, we issued pre-funded warrants, or the 2025 Pre-Funded Warrants, to purchase up to 25,858,586 shares of common stock (the 2023 Pre-Funded Warrants, 2024 Pre-Funded Warrants and 2025 Pre-Funded Warrants are referred to herein as the “Outstanding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Pre-Funded Warrants were issued as individual warrant agreements to certain investors. The form of 2023 Pre-Funded Warrant was filed as Exhibit 4.1 to our Current Report on Form 8-K filed with the SEC on August 14, 2023. The form of 2024 Pre-Funded Warrant was filed as Exhibit 4.1 to our Current Report on Form 8-K filed with the SEC on June 26, 2024. The form of 2025 Pre-Funded Warrant was filed as Exhibit 4.1 to our Current Report on Form 8-K filed with the SEC on May 29,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or scrip representing fractional shares will be issued in connection with the exercise of the Outstanding Pre-Funded Warrants. In lieu of any fractional shares that would otherwise be issuable, we shall either pay a cash adjustment in respect of such final fraction in an amount equal to such fraction multiplied by the Exercise Price (as defined in the Outstanding Pre-Funded Warrants) or round up to the next whole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Outstanding Pre-Funded Warrants, we may not give effect to the exercise of any such Outstanding Pre-Funded Warrant, and a holder will not be entitled to exercise any portion of any such Outstanding Pre-Funded Warrant, if, upon giving effect to such exercise, the aggregate number of shares of our common stock beneficially owned by the holder (together with its affiliates, any other persons acting as a group together with the holder or any of the holder’s affiliates, and any other persons whose beneficial ownership of our common stock would or could be aggregated with the holder’s for purposes of Section 13(d) or Section 16 of the Securities Exchange Act of 1934, as amended, or the Exchange Act, would exceed 4.99% or 9.99% of the number of shares of our common stock outstanding immediately after giving effect to such exercise. By giving written notice to us, a holder may increase or decrease the maximum percentage to any other percentage specified not in excess of 19.99%; </w:t>
      </w:r>
      <w:r>
        <w:rPr>
          <w:rFonts w:ascii="Times New Roman" w:hAnsi="Times New Roman"/>
          <w:i/>
          <w:sz w:val="20"/>
        </w:rPr>
        <w:t>provided that</w:t>
      </w:r>
      <w:r>
        <w:rPr>
          <w:rFonts w:ascii="Times New Roman" w:hAnsi="Times New Roman"/>
          <w:sz w:val="20"/>
        </w:rPr>
        <w:t xml:space="preserve"> any such increase will not be effective until the sixty-first day after such notice is delivered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Outstanding Pre-Funded Warrants may be offered for sale, sold, transferred or assigned upon surrender and written assignment of the Outstanding Pre-Funded Warrant.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trading market for the Outstanding Pre-Funded Warrants, and we do not expect a market to develop. We do not intend to apply for the listing of Outstanding Pre-Funded Warrants on the Nasdaq Stock Market, any other national securities exchange or any other nationally recognized trading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an Outstanding Pre-Funded Warrant does not have the rights or privileges of a holder of our common stock, including any voting rights, until such holder exercises the Outstanding Pre-Funded Warrant.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of Shares Underlying Outstanding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our common stock underlying the 2023 Pre-Funded Warrants were registered on a Form S-3 registration statement, which was filed with the SEC on August 30, 2023 and declared effective on September 8, 2023. </w:t>
      </w:r>
    </w:p>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underlying the 2024 Pre-Funded Warrants were registered on a Prospectus Supplement, which was filed with the SEC on June 26, 2024, to the Prospectus included in the Form S-3 registration statement, which was declared effective on October 14, 2021. </w:t>
      </w:r>
    </w:p>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underlying the 2025 Pre-Funded Warrants were registered on a Prospectus Supplement, which was filed on May 29, 2025 to the Prospectus included in the Form S-3 registration statement, which was declared effective on December 20,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has an exercise price of $0.001 per share. In lieu of making the cash payment otherwise contemplated to be made to us upon exercise of an Outstanding Pre-Funded Warrant in payment of the aggregate exercise price, the holder may elect instead to receive upon such exercise (either in whole or in part) the net number of common stock determined according to a formula set forth in the Outstanding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Each Outstanding Pre-Funded Warrant is exercisable immediately and is exercisable until the Outstanding Pre-Funded Warrant is exercised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a fundamental transaction (as described in the Outstanding Pre-Funded Warrants, and, among other things, including the sale, transfer or other disposition of all or substantially all of our properties or assets, our consolidation or merger with or into another person, the acquisition of more than 50% of our aggregate voting power, or any reorganization, recapitalization or reclassification of shares of our common stock), the holders of the Outstanding Pre-Funded Warrants will be entitled to receive, upon exercise of the Outstanding Pre-Funded Warrant, the same amount and kind of securities, cash or property as the holder would have been entitled to receive upon the occurrence of such fundamental transaction if the holder had been, immediately prior to such fundamental transaction, the holder of the number of shares of our common stock underlying the Outstanding Pre-Funded Warrant then issuable upon exercise in full of the Outstanding Pre-Funded Warrant without regard to any limitations on exercise contained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i/>
          <w:sz w:val="20"/>
        </w:rPr>
      </w:pPr>
      <w:r>
        <w:rPr>
          <w:rFonts w:ascii="Times New Roman" w:hAnsi="Times New Roman"/>
          <w:i/>
          <w:sz w:val="20"/>
        </w:rPr>
        <w:t xml:space="preserve">Section 203 of the DGCL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such date, the board of directors of the corporation approved either the business combination or the transaction that resulted in the stockholder becoming an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 “business combination”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360" w:after="0"/>
        <w:jc w:val="left"/>
        <w:rPr>
          <w:rFonts w:ascii="Times New Roman" w:hAnsi="Times New Roman"/>
          <w:i/>
          <w:sz w:val="20"/>
        </w:rPr>
      </w:pPr>
      <w:r>
        <w:rPr>
          <w:rFonts w:ascii="Times New Roman" w:hAnsi="Times New Roman"/>
          <w:i/>
          <w:sz w:val="20"/>
        </w:rPr>
        <w:t xml:space="preserve">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certificate of incorporation and bylaws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bylaws also provide that all stockholder actions must be effected at a duly called meeting of stockholders and will eliminate the right of stockholders to act by written consent without a meeting. The bylaws provide that only the Chairman of the board, Chief Executive Officer or the board of directors pursuant to a resolution adopted by a majority of the total number of authorized directors may call a special meeting of stockholders. The bylaws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bylaws provide that the stockholders cannot amend many of the provisions described above except by a vote of 66 2/3% or more of our outstanding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certificate of incorporation gives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our company.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or management of our company.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the Court of Chancery of the state of Delaware will be the exclusive forum for the following types of actions or proceedings under Delaware statutory or common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breach of fiduciary duty;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arising pursuant to the DGCL, our certificate of incorporation or our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 or cause of action seeking to interpret, apply, enforce or determine the validity of our certificate of incorporation or our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 or cause of action as to which the DGCL confers jurisdiction on the Court of Chancery of the state of Delaware;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that is governed by the internal affairs doctrine.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 does not apply to suits brought to enforce a duty or liability created by the Exchange Act or to claims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Although our certificate of incorporation contains the choice of forum provision described above, it is possible that a court could rule that such a provision is inapplicable for a particular claim or action or that such provision is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(f/k/a American Stock Transfer &amp; Trust Company, LLC), with offices at 55 Challenger Road, Ridgefield Park, NJ 07660. The transfer agent for any series of preferred stock that we may offer under this prospectus will be named and described in the prospectus supplement for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“TSHA.”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x95601_9"/>
      <w:bookmarkEnd w:id="11"/>
      <w:r>
        <w:rPr>
          <w:rFonts w:ascii="Times New Roman" w:hAnsi="Times New Roman"/>
          <w:b/>
          <w:sz w:val="20"/>
        </w:rPr>
        <w:t xml:space="preserve">DESCRIPTION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certain terms and conditions of the pre-funded warrants being offered by us. The following description is subject in all respects to the provisions contained in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each individual purchaser of a pre-funded warrant. The form of pre-funded warrant will be filed as an exhibit to a Current Report on Form 8-K that we will file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do not expire. </w:t>
      </w:r>
    </w:p>
    <w:p>
      <w:pPr>
        <w:pStyle w:val="TextBody"/>
        <w:bidi w:val="0"/>
        <w:spacing w:before="36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As an alternative to payment of the exercise price in immediately available funds, the holder may elect to exercise the pre-funded warrant through a cashless exercise, in which case the holder would receive upon such exercise the net number of shares of our common stock determined according to the formula set forth in the pre-funded warrant. No fractional shares of our common stock will be issued in connection with the exercise of a pre-funded warrant. In lieu of fractional shares, we will, at our election, either pay the holder an amount in cash equal to such fraction multiplied by the exercise price or round up to the next whole share.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pre-funded warrants, we may not effect the exercise of any pre-funded warrant, and a holder will not be entitled to exercise any portion of any pre-funded warrant, which, upon giving effect to such exercise, would cause (i) the aggregate number of shares of our common stock beneficially owned by the holder (together with its affiliates) to exceed 4.99% or 9.99%, as the case may be, of the number of shares of our common stock outstanding immediately prior to or after giving effect to the exercise, or (ii) the combined voting power of our securities beneficially owned by the holder (together with its affiliates) to exceed 4.99% or 9.99%, as the case may be, of the combined voting power of all of our securities then outstanding immediately prior to or after giving effect to the exercise, as such percentage ownership is determined in accordance with the terms of the pre-funded warrants, subject to such holder’s rights under the pre-funded warrant to increase or decrease such percentage to another percentage not in excess of 19.99% upon at least 61 days’ prior notice from such holder to us.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share of our common stock issuable upon the exercise of the pre-funded warrants is $0.001 per share of our common stock. The exercise price of the pre-funded warrants and the number of shares of our common stock issuable upon exercise of the pre-funded warrants are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offered for sale, sold, transferred or assigned without our consent. The pre-funded warrants will be held in definitive form by the purchasers. The ownership of the pre-funded warrants and any transfers of the pre-funded warrants will be registered in a warrant register maintained by us or our transfer agent.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do not plan on applying to list the pre-funded warrants on The Nasdaq Global Select Market, any other national securities exchange or any other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Subsequent Rights Offerings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we grant, issue or sell any specified common stock equivalents or rights to purchase stock, warrants, securities or other property to the record holders of any class of shares of common stock, or the Purchase Rights, then the holder of a pre-funded warrant will be entitled to acquire, upon the terms applicable to such Purchase Rights, the aggregate Purchase Rights which the holder could have acquired if the holder had held the number of shares of common stock acquirable upon complete exercise of the holder’s pre-funded warrant, without regard to any limitations on exercise, including without limitation, such holder’s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holder’s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holder’s beneficial ownership limitation). </w:t>
      </w:r>
    </w:p>
    <w:p>
      <w:pPr>
        <w:pStyle w:val="TextBody"/>
        <w:bidi w:val="0"/>
        <w:spacing w:before="360" w:after="0"/>
        <w:jc w:val="left"/>
        <w:rPr>
          <w:rFonts w:ascii="Times New Roman" w:hAnsi="Times New Roman"/>
          <w:b/>
          <w:sz w:val="20"/>
        </w:rPr>
      </w:pPr>
      <w:r>
        <w:rPr>
          <w:rFonts w:ascii="Times New Roman" w:hAnsi="Times New Roman"/>
          <w:b/>
          <w:sz w:val="20"/>
        </w:rPr>
        <w:t xml:space="preserve">Pro Rata Distributions </w:t>
      </w:r>
    </w:p>
    <w:p>
      <w:pPr>
        <w:pStyle w:val="TextBody"/>
        <w:bidi w:val="0"/>
        <w:spacing w:before="120" w:after="0"/>
        <w:jc w:val="left"/>
        <w:rPr>
          <w:rFonts w:ascii="Times New Roman" w:hAnsi="Times New Roman"/>
          <w:sz w:val="20"/>
        </w:rPr>
      </w:pPr>
      <w:r>
        <w:rPr>
          <w:rFonts w:ascii="Times New Roman" w:hAnsi="Times New Roman"/>
          <w:sz w:val="20"/>
        </w:rPr>
        <w:t xml:space="preserve">During such time as a holder’s pre-funded warrant is outstanding, if we declare or make any dividend or other distribution of our assets (or rights to acquire its assets) to holders of shares of our common stock, by way of return of capital or otherwise (including, without limitation, any distribution of cash, stock or other securities, property or options by way of a dividend, spin off, reclassification, corporate rearrangement, scheme of arrangement or other similar transaction), or a Distribution, at any time after the issuance of the pre-funded warrants, then, in each such case, the holder of a pre-funded warrant shall be entitled to participate in such Distribution to the same extent that the holder would have participated therein if the holder had held the number of shares of common stock acquirable upon complete exercise of the pre-funded warrant (without regard to any limitations on exercise, including without limitation, the holder’s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holder’s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such holder exceeding its beneficial ownership limitation).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fundamental transaction, as described in the pre-funded warrants and generally including any reorganization, recapitalization or reclassification of our common stock, the sale, transfer or other disposition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 and any additional consideration receivable as a result of such fundamental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pre-funded warrant does not have the rights or privileges of a holder of our common stock, including any voting rights, until the holder exercises the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x95601_10"/>
      <w:bookmarkEnd w:id="12"/>
      <w:r>
        <w:rPr>
          <w:rFonts w:ascii="Times New Roman" w:hAnsi="Times New Roman"/>
          <w:b/>
          <w:sz w:val="20"/>
        </w:rPr>
        <w:t xml:space="preserve">MATERIAL U.S.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discussion of the material U.S. federal income tax considerations of the purchase, ownership and disposition of shares of our common stock issued pursuant to this offering, or the shares, and the purchase, ownership and disposition of pre-funded warrants. The shares and the pre-funded warrants are collectively referred to herein as our “securities.” All prospective holders of our securities should consult their tax advisors with respect to the U.S. federal, state, local and non-U.S. tax consequences of the purchase, ownership and disposition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not a complete analysis of all potential U.S. federal income tax consequences relating to the purchase, ownership and disposition of our securities. This discussion is based on current provisions of the U.S. Internal Revenue Code of 1986, as amended, which we refer to as the Code, existing U.S. Treasury Regulations promulgated thereunder, published administrative pronouncements and rulings of the U.S. Internal Revenue Service, or the IRS, and judicial decisions, all as in effect as of the date of this prospectus supplement. These authorities are subject to change and to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from the IRS with respect to the U.S. federal income tax consequences to a holder of the purchase, ownership or disposition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any alternative minimum, Medicare contribution, estate or gift tax consequences, any aspects of state, local or non-U.S. taxes or any other U.S. federal tax laws, or the special tax accounting rules in Section 451(b) of the Code.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U.S. holders (as defined below) that have a “functional currency” other than the U.S. dollar, tax-qualified retirement plans, holders who hold or receive our securities pursuant to the exercise of employee stock options or otherwise as compensation, holders holding our securities as part of a hedge, straddle, synthetic security, or other risk reduction strategy, conversion transaction or other integrated investment, holders deemed to sell our securities under the constructive sale provisions of the Code, controlled foreign corporations, passive foreign investment companies, U.S. expatriates and certain former U.S. citizens or long-term residents.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this discussion does not address the tax treatment of partnerships (or entities or arrangements that are treated as partnerships or disregarded entities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generally will depend upon the status of the partner, the activities of the partnership and certain determinations made at the partner level. Such partners and partnerships should consult their tax advisors regarding the tax consequences of the purchase, ownership and disposition of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Although it is not entirely free from doubt, we believe a pre-funded warrant should be treated as a share for U.S. federal income tax purposes and a holder of pre-funded warrants should generally be taxed in the same manner as a holder of shares, as described below. Accordingly, no gain or loss generally should be recognized upon the exercise of a pre-funded warrant and, upon exercise, the holding period of a pre-funded warrant generally should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carry over to the share received. Similarly, the tax basis of the pre-funded warrant generally should carry over to the share received upon exercise, increased by the exercise price. However, our characterization is not binding on the IRS, and the IRS may treat the pre-funded warrants as warrants to acquire our shares. If so, the amount and character of a holder’s gain or loss with respect to an investment in our pre-funded warrants could change. Accordingly, each holder should consult such holder’s own tax advisor regarding the risks associated with the acquisition of pre-funded warrants pursuant to this offering (including potential alternative characterizations). Except where specifically noted below, the balance of this discussion generally assumes that the characterization described above is respected for U.S. federal income tax purposes. However, some portions of the below discussion make reference to potential consequences associated with the acquisition, ownership and disposition of the pre-funded warrants independent of their potential characterization as shares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Definition of U.S. Holder </w:t>
      </w:r>
    </w:p>
    <w:p>
      <w:pPr>
        <w:pStyle w:val="TextBody"/>
        <w:bidi w:val="0"/>
        <w:spacing w:before="120" w:after="0"/>
        <w:jc w:val="left"/>
        <w:rPr>
          <w:rFonts w:ascii="Times New Roman" w:hAnsi="Times New Roman"/>
          <w:sz w:val="20"/>
        </w:rPr>
      </w:pPr>
      <w:r>
        <w:rPr>
          <w:rFonts w:ascii="Times New Roman" w:hAnsi="Times New Roman"/>
          <w:sz w:val="20"/>
        </w:rPr>
        <w:t xml:space="preserve">In general, a “U.S. holder” means a beneficial owner of our securities (other than a partnership or an entity or arrangement treated as a partnership for U.S. federal income tax purposes)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 entity treated as a corporation for U.S. federal income tax purposes, created or organized in the United States or under the laws of the United States or of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a U.S. court can exercise primary supervision over the trust’s administration and one or more U.S. persons (within the meaning of Section 7701(a)(30) of the Code) have the authority to control all of the trust’s substantial decisions or (b) the trust has a valid election in effect under applicable U.S. Treasury Regulations to be treated as a U.S.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on the Shares and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If we make distributions on our securities, such distributions will constitute dividends to the extent paid from our current or accumulated earnings and profits, as determined under U.S. federal income tax principles, and will be includible in a U.S. holder’s income as ordinary income when received. Dividends received by a corporation may be eligible for a dividends received deduction, subject to applicable limitations. With respect to dividends received by individuals, such dividends are generally taxed at the lower applicable long-term capital gains rates, provided certain holding period and other requirements are satisfied. If a distribution exceeds our current and accumulated earnings and profits, the excess will be treated as a tax-free return of the U.S. holder’s investment, up to such U.S. holder’s adjusted tax basis in our securities. Any remaining excess will be treated as capital gain from the sale or exchange of such securities, subject to the tax treatment described below in “—Sale or Other Taxable Disposition of the Shares or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the Shares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or other taxable disposition of our securities, a U.S. holder generally will recognize capital gain or loss equal to the difference between the amount of cash and the fair market value of any property received upon the sale, exchange or other taxable disposition and such U.S. holder’s adjusted tax basis in our securities. This capital gain or loss will be long-term capital gain or loss if the U.S. holder’s holding period in such securities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Constructive Distributions on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 U.S. holder of a pre-funded warrant may, in some circumstances, be deemed to have received a distribution subject to U.S. federal income tax as a result of an adjustment or the non-occurrence of an adjustment to the exercise price or number of shares of common stock issuable upon exercise of the pre-funded warrant. U.S. holders should consult their tax advisors regarding the proper treatment of any adjustments (or the non-occurrence of any adjustments) to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A U.S. holder may be subject to information reporting and backup withholding (currently at a 24% rate) when such holder receives payments on our securities (including constructive distributions) or receives proceeds from the sale or other taxable disposition of our securities. Certain U.S. holders are exempt from backup withholding, including C corporations and certain tax-exempt organizations. A U.S. holder will be subject to backup withholding if such holder is not otherwise exempt and such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fails to furnish the holder’s taxpayer identification number, which for an individual is ordinarily such individual’s social security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furnishes an incorrect taxpayer identification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notified by the IRS that the holder previously failed to properly report payments of interest or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fails to certify under penalties of perjury that the holder has furnished a correct taxpayer identification number and that the IRS has not notified the holder that the holder is subject to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Definition of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 beneficial owner of our securities that is neither a U.S. holder nor a partnership or an entity or arrangement treated as a partnership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on the Shares and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If we make distributions on our securities, such distributions will constitute dividends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non-U.S. holder’s adjusted tax basis in our securities. Any remaining excess will be treated as capital gain from the sale or exchange of such securities, subject to the tax treatment described below in “—Gain on Sale, Exchange or Other Taxable Disposition of Our Shares 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will generally be subject to withholding of U.S. federal income tax at a 30% rate of the gross amount of the dividend or such lower rate as may be specified by an applicable income tax treaty between the United States and such non-U.S. holder’s country of residence for purposes of such treaty. </w:t>
      </w:r>
    </w:p>
    <w:p>
      <w:pPr>
        <w:pStyle w:val="TextBody"/>
        <w:bidi w:val="0"/>
        <w:spacing w:before="240" w:after="0"/>
        <w:jc w:val="left"/>
        <w:rPr>
          <w:rFonts w:ascii="Times New Roman" w:hAnsi="Times New Roman"/>
          <w:sz w:val="20"/>
        </w:rPr>
      </w:pPr>
      <w:r>
        <w:rPr>
          <w:rFonts w:ascii="Times New Roman" w:hAnsi="Times New Roman"/>
          <w:sz w:val="20"/>
        </w:rPr>
        <w:t xml:space="preserve">Dividends that are treated as effectively connected with a trade or business conducted by a non-U.S. holder within the United States and, if an applicable income tax treaty so provides, that are attributable to a permanent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U.S. federal income tax rates applicable to U.S. persons.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non-U.S. holder’s country of residence for purposes of such treaty. </w:t>
      </w:r>
    </w:p>
    <w:p>
      <w:pPr>
        <w:pStyle w:val="TextBody"/>
        <w:bidi w:val="0"/>
        <w:spacing w:before="240" w:after="0"/>
        <w:jc w:val="left"/>
        <w:rPr>
          <w:rFonts w:ascii="Times New Roman" w:hAnsi="Times New Roman"/>
          <w:sz w:val="20"/>
        </w:rPr>
      </w:pPr>
      <w:r>
        <w:rPr>
          <w:rFonts w:ascii="Times New Roman" w:hAnsi="Times New Roman"/>
          <w:sz w:val="20"/>
        </w:rPr>
        <w:t xml:space="preserve">To claim a reduction or exemption from withholding, a non-U.S. holder generally will be required to provide (a) a properly executed IRS Form W-8BEN or IRS Form W-8BEN-E (or successor form) and satisfy applicable certification and other requirements to claim the benefit of an applicable income tax treaty between the United States and such non-U.S. holder’s country of residence, or (b) a properly executed IRS Form W-8ECI stating that the dividends are not subject to withholding because they are effectively connected with such non-U.S. holder’s conduct of a trade or business within the United States.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will also be subject to the discussion below under the headings “—Backup Withholding and Information Reporting” and “—Foreign Accounts.”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on Sale, Exchange or Other Taxable Disposition of Our Shares or Pre-Funded Warrants </w:t>
      </w:r>
    </w:p>
    <w:p>
      <w:pPr>
        <w:pStyle w:val="TextBody"/>
        <w:bidi w:val="0"/>
        <w:spacing w:before="0" w:after="0"/>
        <w:jc w:val="left"/>
        <w:rPr>
          <w:rFonts w:ascii="Times New Roman" w:hAnsi="Times New Roman"/>
          <w:sz w:val="20"/>
        </w:rPr>
      </w:pPr>
      <w:r>
        <w:rPr>
          <w:rFonts w:ascii="Times New Roman" w:hAnsi="Times New Roman"/>
          <w:sz w:val="20"/>
        </w:rPr>
        <w:t xml:space="preserve">Subject to the discussion below under the headings “—Backup Withholding and Information Reporting” and “—Foreign Accounts,” in general, a non-U.S. holder will not be subject to any U.S. federal income tax on any gain realized upon such non-U.S. holder’s sale, exchange or other taxable disposition of our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at the U.S. federal income tax rates applicable to U.S. persons and, if the non-U.S. holder is a foreign corporation, the branch profits tax described above in “—Distributions on the Shares and Pre-Funded Warrants” also may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who is present in the United States for 183 days or more in the taxable year of the disposition and certain other conditions are met, in which case the non-U.S. holder will be subject to a 30% U.S. federal income tax (or such lower rate as may be specified by an applicable income tax treaty) on the net gain derived from the disposition, which may be offset by U.S. source capital losses of the non-U.S. holder, if any (even though the individual is not considered a resident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at any time during the five-year period preceding such disposition (or the non-U.S. holder’s holding period, if shorter) a “U.S. real property holding corporation” in which case such non-U.S. holder generally will be taxed on its net gain derived from the disposition as effectively connected income taxable at the U.S. federal income tax rates applicable to U.S. persons; however, the branch profits tax described above will not apply to a U.S. holder that is a foreign corporation.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Even if we are or become a U.S. real property holding corporation, provided that our common stock is regularly traded, as defined by applicable U.S. Treasury Regulations, on an established securities market, our securities generally will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treated as a U.S. real property interest only with respect to a non-U.S. holder that holds more than 5% of our securities (as determined under U.S. federal income tax principles), directly or indirectly, actually or constructively, during the shorter of the 5-year period ending on the date of the disposition or the period that the non-U.S. holder held our securities. Special rules may apply to non-U.S. holders of pre-funded warrants, who should consult their tax advisors. There can be no assurance that our common stock will qualify as regularly traded on an established securities market.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Constructive Distributions on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of pre-funded warrants can be treated as receiving deemed payment of a taxable dividend under certain circumstances as a result of an adjustment or the non-occurrence of an adjustment to the exercise price or number of shares issuable upon exercise of the pre-funded warrant. Any resulting withholding tax attributable to deemed dividends may be collected from other amounts payable or distributable to the non-U.S. holder. Non-U.S. holders should consult their tax advisors regarding the proper treatment of any adjustments (or the non-occurrence of any adjustments) to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We must report annually to the IRS and to each non-U.S. holder the gross amount of the distributions (including constructive distributions) on our securities paid to such non-U.S. holder and the tax withheld, if any, with respect to such distributions. Non-U.S. holders will have to comply with specific certification procedures to establish that the holder is not a U.S. person in order to avoid backup withholding at the applicable rate with respect to any dividends on our securities. A non-U.S. holder generally will not be subject to U.S. backup withholding with respect to payments of distributions on our securities if it certifies its non-U.S. status by providing a valid IRS Form W-8BEN or IRS Form W-8BEN-E (or successor form) or IRS Form W-8ECI, or otherwise establishes an exemption; provided that we do not have actual knowledge or reason to know such non-U.S. holder is a U.S. person. Distributions paid to non-U.S. holders subject to the U.S. withholding tax, as described above in “—Distributions on the Shares and Pre-Funded Warrants,” generally will be exempt from U.S.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generally will apply to the proceeds of a disposition of our securities by a non-U.S. holder effected by or through the U.S. office of any broker, U.S. or foreign, unless the holder certifies its status as a non-U.S. holder and satisfies certain other requirements, or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may be made available to the tax authorities of the country in which the non-U.S. holder resides or is established under the provisions of a specific treaty or agreement.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(commonly referred to as “FATCA”) generally impose a U.S. federal withholding tax of 30% on dividends and, subject to the discussion below regarding proposed regulations issued by the U.S. Treasury Department, the gross proceeds of a disposition of our securities paid to a “foreign financial institution” (as defined in the Code), unless such institution enters into an agreement with the U.S. government to, among other things, withhold on certain payments and to collect and provide to the U.S. tax authorities substantial information regarding accounts held by certain “specific United States persons” or “United States owned foreign entities” (each as defined in the Code), or otherwise qualifies for an exemption from these rules.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federal withholding tax of 30% also applies to dividends and, subject to the discussion below regarding proposed regulations issued by the U.S. Treasury Department, will apply to the gross proceeds of a disposition of our securities paid to a “non-financial foreign entity” (as defined in the Code), unless such entity provides the withholding agent with either a certification that it does not have any “substantial United States owners” (as defined in the Code), provides information regarding each substantial United States owners of the entity, or otherwise qualifies for an exemption from these rules. Under certain circumstances, a non-U.S. holder might be eligible for refunds or credits of such taxes. An intergovernmental agreement between the United States and an applicable foreign country may modify the requirements described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The withholding provisions described above currently apply to dividends paid on our securities. The U.S. Treasury Department released proposed regulations which, if finalized in their present form, would eliminate the U.S. federal withholding tax of 30% applicable to the gross proceeds of a sale or other disposition of our securities. In its preamble to such proposed regulations, the U.S. Treasury Department stated that taxpayers may generally rely on the proposed regulations until final regulations are issued. </w:t>
      </w:r>
    </w:p>
    <w:p>
      <w:pPr>
        <w:pStyle w:val="TextBody"/>
        <w:bidi w:val="0"/>
        <w:spacing w:before="360" w:after="0"/>
        <w:jc w:val="left"/>
        <w:rPr>
          <w:rFonts w:ascii="Times New Roman" w:hAnsi="Times New Roman"/>
          <w:b/>
          <w:sz w:val="20"/>
        </w:rPr>
      </w:pPr>
      <w:r>
        <w:rPr>
          <w:rFonts w:ascii="Times New Roman" w:hAnsi="Times New Roman"/>
          <w:b/>
          <w:sz w:val="20"/>
        </w:rPr>
        <w:t xml:space="preserve">EACH PROSPECTIVE INVESTOR SHOULD CONSULT ITS TAX ADVISOR REGARDING THE PARTICULAR U.S. FEDERAL, STATE AND LOCAL AND NON-U.S. TAX CONSEQUENCES OF PURCHASING, HOLDING AND DISPOSING OF OUR SECURITIES,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tx95601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dated June 24, 2026, among us, Jefferies LLC and Goldman Sachs &amp; Co. LLC,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and pre-funded warrants shown opposite its name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11"/>
        <w:gridCol w:w="455"/>
        <w:gridCol w:w="90"/>
        <w:gridCol w:w="1655"/>
        <w:gridCol w:w="60"/>
        <w:gridCol w:w="455"/>
        <w:gridCol w:w="142"/>
        <w:gridCol w:w="1924"/>
        <w:gridCol w:w="63"/>
      </w:tblGrid>
      <w:tr>
        <w:trPr/>
        <w:tc>
          <w:tcPr>
            <w:tcW w:w="2911"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bottom"/>
          </w:tcPr>
          <w:p>
            <w:pPr>
              <w:pStyle w:val="TableContents"/>
              <w:bidi w:val="0"/>
              <w:spacing w:before="0" w:after="283"/>
              <w:jc w:val="left"/>
              <w:rPr/>
            </w:pPr>
            <w:r>
              <w:rPr/>
              <w:t>Underwriter</w:t>
            </w:r>
          </w:p>
        </w:tc>
        <w:tc>
          <w:tcPr>
            <w:tcW w:w="455" w:type="dxa"/>
            <w:tcBorders/>
            <w:vAlign w:val="bottom"/>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bottom"/>
          </w:tcPr>
          <w:p>
            <w:pPr>
              <w:pStyle w:val="TableContents"/>
              <w:bidi w:val="0"/>
              <w:spacing w:before="0" w:after="283"/>
              <w:jc w:val="center"/>
              <w:rPr/>
            </w:pPr>
            <w:r>
              <w:rPr/>
              <w:t>Number of Shares</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2066" w:type="dxa"/>
            <w:gridSpan w:val="2"/>
            <w:tcBorders>
              <w:bottom w:val="single" w:sz="8" w:space="0" w:color="000000"/>
            </w:tcBorders>
            <w:tcMar>
              <w:bottom w:w="28" w:type="dxa"/>
            </w:tcMar>
            <w:vAlign w:val="bottom"/>
          </w:tcPr>
          <w:p>
            <w:pPr>
              <w:pStyle w:val="TableContents"/>
              <w:bidi w:val="0"/>
              <w:spacing w:before="0" w:after="283"/>
              <w:jc w:val="center"/>
              <w:rPr/>
            </w:pPr>
            <w:r>
              <w:rPr/>
              <w:t>Number of</w:t>
              <w:br/>
              <w:t>Pre-Funded Warrants</w:t>
            </w:r>
          </w:p>
        </w:tc>
        <w:tc>
          <w:tcPr>
            <w:tcW w:w="63"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4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9,750,000</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24" w:type="dxa"/>
            <w:tcBorders/>
            <w:shd w:fill="CCEEFF" w:val="clear"/>
            <w:vAlign w:val="bottom"/>
          </w:tcPr>
          <w:p>
            <w:pPr>
              <w:pStyle w:val="TableContents"/>
              <w:bidi w:val="0"/>
              <w:spacing w:before="0" w:after="283"/>
              <w:jc w:val="right"/>
              <w:rPr/>
            </w:pPr>
            <w:r>
              <w:rPr/>
              <w:t>250,000</w:t>
            </w:r>
          </w:p>
        </w:tc>
        <w:tc>
          <w:tcPr>
            <w:tcW w:w="63"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4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9,750,000</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24" w:type="dxa"/>
            <w:tcBorders/>
            <w:vAlign w:val="bottom"/>
          </w:tcPr>
          <w:p>
            <w:pPr>
              <w:pStyle w:val="TableContents"/>
              <w:bidi w:val="0"/>
              <w:spacing w:before="0" w:after="283"/>
              <w:jc w:val="right"/>
              <w:rPr/>
            </w:pPr>
            <w:r>
              <w:rPr/>
              <w:t>250,000</w:t>
            </w:r>
          </w:p>
        </w:tc>
        <w:tc>
          <w:tcPr>
            <w:tcW w:w="63"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Piper Sandler &amp; Co.</w:t>
            </w:r>
          </w:p>
        </w:tc>
        <w:tc>
          <w:tcPr>
            <w:tcW w:w="4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5,687,500</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24" w:type="dxa"/>
            <w:tcBorders/>
            <w:shd w:fill="CCEEFF" w:val="clear"/>
            <w:vAlign w:val="bottom"/>
          </w:tcPr>
          <w:p>
            <w:pPr>
              <w:pStyle w:val="TableContents"/>
              <w:bidi w:val="0"/>
              <w:spacing w:before="0" w:after="283"/>
              <w:jc w:val="right"/>
              <w:rPr/>
            </w:pPr>
            <w:r>
              <w:rPr/>
              <w:t>145,833</w:t>
            </w:r>
          </w:p>
        </w:tc>
        <w:tc>
          <w:tcPr>
            <w:tcW w:w="63"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4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5,687,500</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24" w:type="dxa"/>
            <w:tcBorders/>
            <w:vAlign w:val="bottom"/>
          </w:tcPr>
          <w:p>
            <w:pPr>
              <w:pStyle w:val="TableContents"/>
              <w:bidi w:val="0"/>
              <w:spacing w:before="0" w:after="283"/>
              <w:jc w:val="right"/>
              <w:rPr/>
            </w:pPr>
            <w:r>
              <w:rPr/>
              <w:t>145,833</w:t>
            </w:r>
          </w:p>
        </w:tc>
        <w:tc>
          <w:tcPr>
            <w:tcW w:w="63"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W. Baird &amp; Co. Incorporated</w:t>
            </w:r>
          </w:p>
        </w:tc>
        <w:tc>
          <w:tcPr>
            <w:tcW w:w="4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right"/>
              <w:rPr/>
            </w:pPr>
            <w:r>
              <w:rPr/>
              <w:t>1,625,001</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24" w:type="dxa"/>
            <w:tcBorders/>
            <w:shd w:fill="CCEEFF" w:val="clear"/>
            <w:vAlign w:val="bottom"/>
          </w:tcPr>
          <w:p>
            <w:pPr>
              <w:pStyle w:val="TableContents"/>
              <w:bidi w:val="0"/>
              <w:spacing w:before="0" w:after="283"/>
              <w:jc w:val="right"/>
              <w:rPr/>
            </w:pPr>
            <w:r>
              <w:rPr/>
              <w:t>41,667</w:t>
            </w:r>
          </w:p>
        </w:tc>
        <w:tc>
          <w:tcPr>
            <w:tcW w:w="63" w:type="dxa"/>
            <w:tcBorders/>
            <w:shd w:fill="CCEEFF" w:val="clear"/>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6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92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right"/>
              <w:rPr/>
            </w:pPr>
            <w:r>
              <w:rPr/>
              <w:t>32,500,001</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24" w:type="dxa"/>
            <w:tcBorders/>
            <w:vAlign w:val="bottom"/>
          </w:tcPr>
          <w:p>
            <w:pPr>
              <w:pStyle w:val="TableContents"/>
              <w:bidi w:val="0"/>
              <w:spacing w:before="0" w:after="283"/>
              <w:jc w:val="right"/>
              <w:rPr/>
            </w:pPr>
            <w:r>
              <w:rPr/>
              <w:t>833,333</w:t>
            </w:r>
          </w:p>
        </w:tc>
        <w:tc>
          <w:tcPr>
            <w:tcW w:w="63" w:type="dxa"/>
            <w:tcBorders/>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double" w:sz="6" w:space="1" w:color="000000"/>
              </w:pBdr>
              <w:bidi w:val="0"/>
              <w:spacing w:before="0" w:after="0"/>
              <w:jc w:val="left"/>
              <w:rPr/>
            </w:pPr>
            <w:r>
              <w:rPr/>
              <w:t> </w:t>
            </w:r>
          </w:p>
        </w:tc>
        <w:tc>
          <w:tcPr>
            <w:tcW w:w="16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92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and pre-funded warrants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shares of common stock and pre-funded warrants, that you will be able to sell any of the shares of common stock and pre-funded warrants held by you at a particular time or that the prices that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of common stock and pre-funded warrants subject to their acceptance of the shares of common stock and pre-funded warrants from us and subject to prior sale.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advised us that they propose to offer the shares of common stock and pre-funded warrants to the public at the public offering price set forth on the cover page of this prospectus supplement and to certain dealers, which may include the underwriters, at that price less a concession not in excess of $0.216 per share of common stock or pre-funded warrant. After the offering, the public offering price and concession to dealers may be reduced by the representatives. No such reduction will change the amount of proceeds to be received by us as set forth on the cover page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 of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00"/>
        <w:gridCol w:w="255"/>
        <w:gridCol w:w="191"/>
        <w:gridCol w:w="767"/>
        <w:gridCol w:w="60"/>
        <w:gridCol w:w="255"/>
        <w:gridCol w:w="226"/>
        <w:gridCol w:w="959"/>
        <w:gridCol w:w="60"/>
        <w:gridCol w:w="255"/>
        <w:gridCol w:w="140"/>
        <w:gridCol w:w="1308"/>
        <w:gridCol w:w="60"/>
        <w:gridCol w:w="254"/>
        <w:gridCol w:w="140"/>
        <w:gridCol w:w="1308"/>
        <w:gridCol w:w="67"/>
      </w:tblGrid>
      <w:tr>
        <w:trPr/>
        <w:tc>
          <w:tcPr>
            <w:tcW w:w="390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90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458" w:type="dxa"/>
            <w:gridSpan w:val="6"/>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3210" w:type="dxa"/>
            <w:gridSpan w:val="6"/>
            <w:tcBorders>
              <w:bottom w:val="single" w:sz="8" w:space="0" w:color="000000"/>
            </w:tcBorders>
            <w:tcMar>
              <w:bottom w:w="28" w:type="dxa"/>
            </w:tcMar>
            <w:vAlign w:val="bottom"/>
          </w:tcPr>
          <w:p>
            <w:pPr>
              <w:pStyle w:val="TableContents"/>
              <w:bidi w:val="0"/>
              <w:spacing w:before="0" w:after="283"/>
              <w:jc w:val="center"/>
              <w:rPr/>
            </w:pPr>
            <w:r>
              <w:rPr/>
              <w:t>Total</w:t>
            </w:r>
          </w:p>
        </w:tc>
        <w:tc>
          <w:tcPr>
            <w:tcW w:w="67" w:type="dxa"/>
            <w:tcBorders/>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bottom"/>
          </w:tcPr>
          <w:p>
            <w:pPr>
              <w:pStyle w:val="TableContents"/>
              <w:bidi w:val="0"/>
              <w:spacing w:before="0" w:after="283"/>
              <w:jc w:val="center"/>
              <w:rPr/>
            </w:pPr>
            <w:r>
              <w:rPr/>
              <w:t>Per</w:t>
              <w:br/>
              <w:t>Share of</w:t>
              <w:br/>
              <w:t>Common</w:t>
              <w:br/>
              <w:t>Stock</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pPr>
            <w:r>
              <w:rPr/>
              <w:t>Per</w:t>
              <w:br/>
              <w:t>Pre-Funded</w:t>
              <w:br/>
              <w:t>Warrant</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bottom"/>
          </w:tcPr>
          <w:p>
            <w:pPr>
              <w:pStyle w:val="TableContents"/>
              <w:bidi w:val="0"/>
              <w:spacing w:before="0" w:after="283"/>
              <w:jc w:val="center"/>
              <w:rPr/>
            </w:pPr>
            <w:r>
              <w:rPr/>
              <w:t>Without</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bottom"/>
          </w:tcPr>
          <w:p>
            <w:pPr>
              <w:pStyle w:val="TableContents"/>
              <w:bidi w:val="0"/>
              <w:spacing w:before="0" w:after="283"/>
              <w:jc w:val="center"/>
              <w:rPr/>
            </w:pPr>
            <w:r>
              <w:rPr/>
              <w:t>With</w:t>
              <w:br/>
              <w:t>Option to</w:t>
              <w:br/>
              <w:t>Purchase</w:t>
              <w:br/>
              <w:t>Additional</w:t>
              <w:br/>
              <w:t>Shares</w:t>
            </w:r>
          </w:p>
        </w:tc>
        <w:tc>
          <w:tcPr>
            <w:tcW w:w="67"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6.00</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5.999</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199,999,171</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229,999,171</w:t>
            </w:r>
          </w:p>
        </w:tc>
        <w:tc>
          <w:tcPr>
            <w:tcW w:w="67"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paid by us</w:t>
            </w:r>
          </w:p>
        </w:tc>
        <w:tc>
          <w:tcPr>
            <w:tcW w:w="2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0.36</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0.36</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12,000,000</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13,800,000</w:t>
            </w:r>
          </w:p>
        </w:tc>
        <w:tc>
          <w:tcPr>
            <w:tcW w:w="67"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2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5.640</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5.639</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187,999,171</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216,199,171</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expenses payable by us in connection with this offering, other than the underwriting discounts and commissions referred to above, will be approximately $575,000.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trading symbol “TSHA”. </w:t>
      </w:r>
    </w:p>
    <w:p>
      <w:pPr>
        <w:pStyle w:val="TextBody"/>
        <w:bidi w:val="0"/>
        <w:spacing w:before="240" w:after="0"/>
        <w:jc w:val="left"/>
        <w:rPr>
          <w:rFonts w:ascii="Times New Roman" w:hAnsi="Times New Roman"/>
          <w:sz w:val="20"/>
        </w:rPr>
      </w:pPr>
      <w:r>
        <w:rPr>
          <w:rFonts w:ascii="Times New Roman" w:hAnsi="Times New Roman"/>
          <w:sz w:val="20"/>
        </w:rPr>
        <w:t xml:space="preserve">There is no established public trading market for the pre-funded warrants, and we do not expect a market to develop. We do not intend to list the pre-funded warrants on any national securities exchange or nationally recognized trading system.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not been engaged to act as warrant agent for the pre-funded warrants or to act as underwriter or agent or otherwise participate in the issuance of the shares of our common stock upon the exercise of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Purchase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from time to time, in whole or in part, up to an aggregate of 5,000,000 shares of common stock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shares of common stock proportionate to that underwriter’s initial purchase commitment as indicated in the table above.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our executive officers and our directors have agreed with the underwriters, subject to certain exceptions, not to dispose of or hedge any of their common stock or securities convertible into or exchangeable for shares of common stock during the period from the date of this prospectus supplement continuing through the date 60 days after the date of this prospectus supplement, except with the prior written consent of the representatives and subject to certain exceptions. </w:t>
      </w:r>
    </w:p>
    <w:p>
      <w:pPr>
        <w:pStyle w:val="TextBody"/>
        <w:bidi w:val="0"/>
        <w:spacing w:before="360" w:after="0"/>
        <w:jc w:val="left"/>
        <w:rPr>
          <w:rFonts w:ascii="Times New Roman" w:hAnsi="Times New Roman"/>
          <w:b/>
          <w:sz w:val="20"/>
        </w:rPr>
      </w:pPr>
      <w:r>
        <w:rPr>
          <w:rFonts w:ascii="Times New Roman" w:hAnsi="Times New Roman"/>
          <w:b/>
          <w:sz w:val="20"/>
        </w:rPr>
        <w:t xml:space="preserve">Stabilization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advised us that they may engage in short sale transactions, stabilizing transactions, syndicate covering transactions or the imposition of penalty bids in connection with this offering. These activities may have the effect of stabilizing or maintaining the market price of the shares of common stock at a level above that which might otherwise prevail in the open market. Establishing short sales positions may involve either “covered” short sales or “naked” short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of common stock to close out the covered short position, the underwriters will consider, among other things, the price of shares of common stock available for purchase in the open market as compared to the price at which they may purchase shares of common stock through the option to purchase additional shares of common stock. </w:t>
      </w:r>
    </w:p>
    <w:p>
      <w:pPr>
        <w:pStyle w:val="TextBody"/>
        <w:bidi w:val="0"/>
        <w:spacing w:before="240" w:after="0"/>
        <w:jc w:val="left"/>
        <w:rPr/>
      </w:pPr>
      <w:r>
        <w:rPr/>
        <w:t>“</w:t>
      </w:r>
      <w:r>
        <w:rPr>
          <w:rFonts w:ascii="Times New Roman" w:hAnsi="Times New Roman"/>
          <w:sz w:val="20"/>
        </w:rPr>
        <w:t xml:space="preserve">Naked” short sales are sales in excess of the option to purchase additional shares of our common stock. The underwriters must close out any naked short position by purchasing shares of common stock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 stabilizing bid is a bid for the purchase of shares of common stock on behalf of the underwriters for the purpose of fixing or maintaining the price of the shares of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engage in passive market making transactions in our shares of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prospectus in electronic format may be made available by e-mail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and pre-funded warrants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 </w:t>
      </w:r>
    </w:p>
    <w:p>
      <w:pPr>
        <w:pStyle w:val="TextBody"/>
        <w:bidi w:val="0"/>
        <w:spacing w:before="360" w:after="0"/>
        <w:jc w:val="left"/>
        <w:rPr>
          <w:rFonts w:ascii="Times New Roman" w:hAnsi="Times New Roman"/>
          <w:b/>
          <w:sz w:val="20"/>
        </w:rPr>
      </w:pPr>
      <w:r>
        <w:rPr>
          <w:rFonts w:ascii="Times New Roman" w:hAnsi="Times New Roman"/>
          <w:b/>
          <w:sz w:val="20"/>
        </w:rPr>
        <w:t xml:space="preserve">Other Activities and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affiliates are full service financial institutions engaged in various activities, which may include securities trading, commercial and investment banking, financial advisory,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For example, Goldman Sachs &amp; Co. LLC is a sales agent under the sales agreement, dated October 5, 2021, as amended by that certain Amendment No. 1, dated March 30, 2022, with Goldman Sachs &amp; Co. LLC, Wells Fargo Securities, LLC and Leerink Partners LLC and as further amended by that certain Amendment No. 2, dated November 4, 2025, by and between us and Leerink Partners LLC, and Amendment No. 3, dated November 4, 2025, by and among us, Goldman Sachs &amp; Co. LLC and Wells Fargo Securities, LLC, or the Sales Agents, and the sales agreement so amended, the Sales Agreement. Under the Sales Agreement, we may offer and sell, from time to time, shares of our common stock through the Sales Agents by any method that is deemed to be an “at the market offering” as defined in Rule 415(a)(4) promulgated under the Securities Act. In addition, Goldman Sachs Group Inc. beneficially owned 22,369,645 shares of our common stock as of March 31, 2026 (as reported on the Form 13F most recently filed with the SEC by Goldman Sachs Group Inc.) and has since that date engaged, and may from time to time hereafter engage, in transactions in our common stock. Such investment and trading activities may impact the market or trading prices of our common stock and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shares of common stock offered hereby. Any such short positions could adversely affect future trading prices of the shares of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Disclaimers About Non-U.S. Jurisdictions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of common stock or pre-funded warrants have been offered or will be offered pursuant to the offering to the public in that Relevant State prior to the publication of a prospectus in relation to the shares of common stock or pre-funded warrants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or pre-funded warrants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of common stock or pre-funded warrants shall require us or any underwriter to publish a prospectus pursuant to Article 3 of the Prospectus Regulation or supplement a prospectus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Article 23 of the Prospectus Regulation and each person who initially acquires any shares of common stock or pre-funded warrants or to whom any offer is made will be deemed to have represented, acknowledged and agreed to and with each of the underwriters and us that it is a “qualified investor” within the meaning of Article 2(e)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of common stock or pre-funded warrants being offered to a financial intermediary as that term is used in the Prospectus Regulation, each such financial intermediary will be deemed to have represented, acknowledged and agreed that the shares or pre-funded warrants acquired by it in the offer have not been acquired on a non-discretionary basis on behalf of, nor have they been acquired with a view to their offer or resale to, persons in circumstances which may give rise to an offer of any shares of common stock or pre-funded warrants to the public other than their offer or resale in a Relevant State to qualified investors as so defined or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of common stock in any Relevant State means the communication in any form and by any means of sufficient information on the terms of the offer and any shares of common stock or pre-funded warrants to be offered so as to enable an investor to decide to purchase or subscribe for any shares of common stock or pre-funded warrants,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of common stock or pre-funded warrants have been offered or will be offered pursuant to the offering to the public in the United Kingdom prior to the publication of a prospectus in relation to the shares of common stock or pre-funded warrants which has been approved by the Financial Conduct Authority, except that the shares of common stock or pre-funded warrants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(FSMA);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of common stock or pre-funded warrants shall require us or any underwriter to publish a prospectus pursuant to Section 85 of the FSMA or supplement a prospectus pursuant to Article 23 of the U.K. Prospectus Regulation. For the purposes of this provision, the expression an “offer to the public” in relation to the shares of common stock or pre-funded warrants in the United Kingdom means the communication in any form and by any means of sufficient information on the terms of the offer and any shares of common stock or pre-funded warrants to be offered so as to enable an investor to decide to purchase or subscribe for any shares of common stock or pre-funded warrants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common stock or pre-funded warrants in the United Kingdom within the meaning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FSMA. In the United Kingdom, any investment or investment activity to which this document relates is only available to, and will be engaged in with, relevant persons. Any person in the UK who is not a relevant person must not act on or rely upon this document or any of its contents.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or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or pre-funded warrants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or pre-funded warrants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common stock or pre-funded warrants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or pre-funded warrants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acknowledged that this prospectus supplement and the accompanying prospectus have not been registered as a prospectus with the Monetary Authority of Singapore. Accordingly, the representatives have represented and agreed that it has not offered or sold any shares of common stock or pre-funded warrants or caused the shares of common stock or pre-funded warrants to be made the subject of an invitation for subscription or purchase and will not offer or sell any shares of common stock or pre-funded warrants or cause the shares of common stock or pre-funded warrants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shares of common stock or pre-funded warrants,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shares of common stock or pre-funded warrants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or pre-funded warrants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or pre-funded warrants have not been and will not be registered pursuant to Article 4, Paragraph 1 of the Financial Instruments and Exchange Act. Accordingly, none of the shares of common stock, pre-funded warrants,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Chapter 6D.2 of the Corporations Act 2001, or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or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securities to which this prospectus supplement relates may be illiquid and/or subject to restrictions on their resale. Prospective purchasers of the securities should conduct their own due diligence on the securities. If you do not understand the contents of this prospectus supplement, you should consult an authorized financial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Financial Services Regulatory Authority (FSRA) or the Dubai Financial Services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Brazil </w:t>
      </w:r>
    </w:p>
    <w:p>
      <w:pPr>
        <w:pStyle w:val="TextBody"/>
        <w:bidi w:val="0"/>
        <w:spacing w:before="120" w:after="0"/>
        <w:jc w:val="left"/>
        <w:rPr>
          <w:rFonts w:ascii="Times New Roman" w:hAnsi="Times New Roman"/>
          <w:sz w:val="20"/>
        </w:rPr>
      </w:pPr>
      <w:r>
        <w:rPr>
          <w:rFonts w:ascii="Times New Roman" w:hAnsi="Times New Roman"/>
          <w:sz w:val="20"/>
        </w:rPr>
        <w:t xml:space="preserve">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supptx95601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and pre-funded warrants offered hereby will be passed upon for us by Cooley LLP, New York, New York. Certain legal matters in connection with this offering will be passed upon for the underwriters by Goodwin Procter LLP, New York, New York. As of the date of this prospectus supplement, GC&amp;H Investments, LLC, an entity consisting of current and former partners and associates of Cooley LLP, beneficially holds an aggregate of 91,396 shares of our common stock. </w:t>
      </w:r>
    </w:p>
    <w:p>
      <w:pPr>
        <w:pStyle w:val="TextBody"/>
        <w:bidi w:val="0"/>
        <w:spacing w:before="480" w:after="0"/>
        <w:jc w:val="center"/>
        <w:rPr>
          <w:rFonts w:ascii="Times New Roman" w:hAnsi="Times New Roman"/>
          <w:b/>
          <w:sz w:val="20"/>
        </w:rPr>
      </w:pPr>
      <w:bookmarkStart w:id="15" w:name="supptx95601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Taysha Gene Therapies, Inc. (the “Company”) as of December 31, 2025 and 2024, and for each of the two years in the period ended December 31, 2025, incorporated by reference in this prospectus supplement by reference to the Company’s Annual Report on Form 10-K for the year ended December 31, 2025,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supptx95601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www.tayshagtx.com. Our website is not a part of this prospectus supplement and is not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filed with the SEC. The registration statement contains more information than this prospectus supplement and the accompanying prospectus regarding us and the securities, including certain exhibits and schedules. You can obtain a copy of the registration statement from the SEC at the address listed above or from the SEC’s internet 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supptx95601_15"/>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supplement and the accompanying prospectus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and the accompanying prospectus. Because we are incorporating by reference future filings with the SEC, this prospectus supplement and the accompanying prospectus is continually updated and those future filings may modify or supersede some of the information included or incorporated in this prospectus supplement and the accompanying prospectus. This means that you must look at all of the SEC filings that we incorporate by reference to determine if any of the statements in this prospectus supplement, the accompanying prospectus or any document previously incorporated by reference have been modified or superseded. This prospectus supplement and the accompanying prospectus incorporate by reference the documents listed below (File No. 001-39536) and any future filings we make with the SEC under Sections 13(a), 13(c), 14 or 15(d) of the Exchange Act (in each case, other than those documents or the portions of those documents not deemed to be filed)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w:t>
            </w:r>
            <w:hyperlink r:id="rId12">
              <w:r>
                <w:rPr>
                  <w:rStyle w:val="InternetLink"/>
                  <w:rFonts w:ascii="Times New Roman" w:hAnsi="Times New Roman"/>
                  <w:sz w:val="20"/>
                </w:rPr>
                <w:t>on Form 10-K</w:t>
              </w:r>
            </w:hyperlink>
            <w:r>
              <w:rPr>
                <w:rFonts w:ascii="Times New Roman" w:hAnsi="Times New Roman"/>
                <w:sz w:val="20"/>
              </w:rPr>
              <w:t xml:space="preserve"> for the fiscal year ended December 31, 2025, filed with the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2025 Form 10-K from our definitive proxy statement on </w:t>
            </w:r>
            <w:hyperlink r:id="rId13">
              <w:r>
                <w:rPr>
                  <w:rStyle w:val="InternetLink"/>
                  <w:rFonts w:ascii="Times New Roman" w:hAnsi="Times New Roman"/>
                  <w:sz w:val="20"/>
                </w:rPr>
                <w:t>Schedule 14A</w:t>
              </w:r>
            </w:hyperlink>
            <w:r>
              <w:rPr>
                <w:rFonts w:ascii="Times New Roman" w:hAnsi="Times New Roman"/>
                <w:sz w:val="20"/>
              </w:rPr>
              <w:t xml:space="preserve"> (other than information furnished rather than filed), filed with the SEC on April 22,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4">
              <w:r>
                <w:rPr>
                  <w:rStyle w:val="InternetLink"/>
                  <w:rFonts w:ascii="Times New Roman" w:hAnsi="Times New Roman"/>
                  <w:sz w:val="20"/>
                </w:rPr>
                <w:t>Form 10-Q</w:t>
              </w:r>
            </w:hyperlink>
            <w:r>
              <w:rPr>
                <w:rFonts w:ascii="Times New Roman" w:hAnsi="Times New Roman"/>
                <w:sz w:val="20"/>
              </w:rPr>
              <w:t xml:space="preserve"> for the fiscal quarter ended March 31, 2026, filed with the SEC on May 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5">
              <w:r>
                <w:rPr>
                  <w:rStyle w:val="InternetLink"/>
                  <w:rFonts w:ascii="Times New Roman" w:hAnsi="Times New Roman"/>
                  <w:sz w:val="20"/>
                </w:rPr>
                <w:t>June 2, 2026</w:t>
              </w:r>
            </w:hyperlink>
            <w:r>
              <w:rPr>
                <w:rFonts w:ascii="Times New Roman" w:hAnsi="Times New Roman"/>
                <w:sz w:val="20"/>
              </w:rPr>
              <w:t xml:space="preserve"> and </w:t>
            </w:r>
            <w:hyperlink r:id="rId16">
              <w:r>
                <w:rPr>
                  <w:rStyle w:val="InternetLink"/>
                  <w:rFonts w:ascii="Times New Roman" w:hAnsi="Times New Roman"/>
                  <w:sz w:val="20"/>
                </w:rPr>
                <w:t>June 22, 2026</w:t>
              </w:r>
            </w:hyperlink>
            <w:r>
              <w:rPr>
                <w:rFonts w:ascii="Times New Roman" w:hAnsi="Times New Roman"/>
                <w:sz w:val="20"/>
              </w:rPr>
              <w:t xml:space="preserve">, to the extent the information in such reports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17">
              <w:r>
                <w:rPr>
                  <w:rStyle w:val="InternetLink"/>
                  <w:rFonts w:ascii="Times New Roman" w:hAnsi="Times New Roman"/>
                  <w:sz w:val="20"/>
                </w:rPr>
                <w:t>Exhibit 4.2</w:t>
              </w:r>
            </w:hyperlink>
            <w:r>
              <w:rPr>
                <w:rFonts w:ascii="Times New Roman" w:hAnsi="Times New Roman"/>
                <w:sz w:val="20"/>
              </w:rPr>
              <w:t xml:space="preserve"> to our 2025 Form 10-K, and any amendment or report filed with the SEC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supplement is delivered, without charge upon written or oral request, a copy of any or all of the documents that are incorporated by reference into this prospectus supplement but not delivered with the prospectus supplement, including exhibits that are specifically incorporated by reference into such documents. You should direct any requests for documents to Taysha Gene Therapies, Inc., Attn: Corporate Secretary, 3000 Pegasus Park Drive, Suite 1430, Dallas, Texas 75247, and our telephone number is (214) 612-0000.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87550" cy="6051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8"/>
                    <a:stretch>
                      <a:fillRect/>
                    </a:stretch>
                  </pic:blipFill>
                  <pic:spPr bwMode="auto">
                    <a:xfrm>
                      <a:off x="0" y="0"/>
                      <a:ext cx="1987550" cy="6051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From time to time, we may offer and sell any combination of shares of our common stock, shares of our preferred stock, debt securities and warrants described in this prospectus to purchase any of such securities in one or more offerings as described in this prospectus. We may also offer securities as may be issuable upon conversion, redemption, repurchase, exchange or exercise of any securities registered hereunder, including any applicable anti-dilution provisions. </w:t>
      </w:r>
    </w:p>
    <w:p>
      <w:pPr>
        <w:pStyle w:val="TextBody"/>
        <w:bidi w:val="0"/>
        <w:spacing w:before="240" w:after="0"/>
        <w:jc w:val="left"/>
        <w:rPr>
          <w:rFonts w:ascii="Times New Roman" w:hAnsi="Times New Roman"/>
          <w:sz w:val="18"/>
        </w:rPr>
      </w:pPr>
      <w:r>
        <w:rPr>
          <w:rFonts w:ascii="Times New Roman" w:hAnsi="Times New Roman"/>
          <w:sz w:val="18"/>
        </w:rPr>
        <w:t xml:space="preserve">This prospectus provides a general description of the securities we may offer. Each time we offer securities, we will specify in an accompanying prospectus supplement the terms of the securities being offered. We may also authorize one or more free writing prospectuses to be provided to you in connection with these offerings. </w:t>
      </w:r>
    </w:p>
    <w:p>
      <w:pPr>
        <w:pStyle w:val="TextBody"/>
        <w:bidi w:val="0"/>
        <w:spacing w:before="240" w:after="0"/>
        <w:jc w:val="left"/>
        <w:rPr>
          <w:rFonts w:ascii="Times New Roman" w:hAnsi="Times New Roman"/>
          <w:sz w:val="18"/>
        </w:rPr>
      </w:pPr>
      <w:r>
        <w:rPr>
          <w:rFonts w:ascii="Times New Roman" w:hAnsi="Times New Roman"/>
          <w:sz w:val="18"/>
        </w:rPr>
        <w:t xml:space="preserve">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 </w:t>
      </w:r>
    </w:p>
    <w:p>
      <w:pPr>
        <w:pStyle w:val="TextBody"/>
        <w:bidi w:val="0"/>
        <w:spacing w:before="240" w:after="0"/>
        <w:jc w:val="left"/>
        <w:rPr>
          <w:rFonts w:ascii="Times New Roman" w:hAnsi="Times New Roman"/>
          <w:sz w:val="18"/>
        </w:rPr>
      </w:pPr>
      <w:r>
        <w:rPr>
          <w:rFonts w:ascii="Times New Roman" w:hAnsi="Times New Roman"/>
          <w:sz w:val="18"/>
        </w:rPr>
        <w:t xml:space="preserve">We are an “emerging growth company” and “smaller reporting company” under the federal securities laws and, as such, are subject to reduced public company reporting requirements. See “Prospectus Summary— Implications of Being an Emerging Growth Company and Smaller Reporting Company.” </w:t>
      </w:r>
    </w:p>
    <w:p>
      <w:pPr>
        <w:pStyle w:val="TextBody"/>
        <w:bidi w:val="0"/>
        <w:spacing w:before="240" w:after="0"/>
        <w:jc w:val="left"/>
        <w:rPr>
          <w:rFonts w:ascii="Times New Roman" w:hAnsi="Times New Roman"/>
          <w:b/>
          <w:sz w:val="18"/>
        </w:rPr>
      </w:pPr>
      <w:r>
        <w:rPr>
          <w:rFonts w:ascii="Times New Roman" w:hAnsi="Times New Roman"/>
          <w:b/>
          <w:sz w:val="18"/>
        </w:rPr>
        <w:t xml:space="preserve">This prospectus may not be used to consummate a sale of any securities unless accompanied by a prospectus supplement. </w:t>
      </w:r>
    </w:p>
    <w:p>
      <w:pPr>
        <w:pStyle w:val="TextBody"/>
        <w:bidi w:val="0"/>
        <w:spacing w:before="240" w:after="0"/>
        <w:jc w:val="left"/>
        <w:rPr>
          <w:rFonts w:ascii="Times New Roman" w:hAnsi="Times New Roman"/>
          <w:sz w:val="18"/>
        </w:rPr>
      </w:pPr>
      <w:r>
        <w:rPr>
          <w:rFonts w:ascii="Times New Roman" w:hAnsi="Times New Roman"/>
          <w:sz w:val="18"/>
        </w:rPr>
        <w:t xml:space="preserve">Our common stock is traded on the Nasdaq Global Select Market under the symbol “TSHA.” On November 3, 2025, the last reported sale price of our common stock was $4.46 per share. The applicable prospectus supplement will contain information, where applicable, as to any other listing on the Nasdaq Global Select Market or any securities market or other exchange of the securities, if any, covered by the prospectus supplement. </w:t>
      </w:r>
    </w:p>
    <w:p>
      <w:pPr>
        <w:pStyle w:val="TextBody"/>
        <w:bidi w:val="0"/>
        <w:spacing w:before="240" w:after="0"/>
        <w:jc w:val="left"/>
        <w:rPr>
          <w:rFonts w:ascii="Times New Roman" w:hAnsi="Times New Roman"/>
          <w:sz w:val="18"/>
        </w:rPr>
      </w:pPr>
      <w:r>
        <w:rPr>
          <w:rFonts w:ascii="Times New Roman" w:hAnsi="Times New Roman"/>
          <w:sz w:val="18"/>
        </w:rPr>
        <w:t xml:space="preserve">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i/>
          <w:sz w:val="24"/>
        </w:rPr>
        <w:t>Investing in our securities involves a high degree of risk. You should review carefully the risks and uncertainties described under the heading “</w:t>
      </w:r>
      <w:hyperlink w:anchor="txa95601_3">
        <w:r>
          <w:rPr>
            <w:rStyle w:val="InternetLink"/>
            <w:rFonts w:ascii="Times New Roman" w:hAnsi="Times New Roman"/>
            <w:b/>
            <w:i/>
            <w:sz w:val="24"/>
          </w:rPr>
          <w:t>Risk Factors</w:t>
        </w:r>
      </w:hyperlink>
      <w:r>
        <w:rPr>
          <w:rFonts w:ascii="Times New Roman" w:hAnsi="Times New Roman"/>
          <w:b/>
          <w:i/>
          <w:sz w:val="24"/>
        </w:rPr>
        <w:t xml:space="preserve">” on page 8 of this prospectus and in any applicable prospectus supplement and related free writing prospectus, and under similar headings in the other documents that are incorporated by reference into this prospectus. </w:t>
      </w:r>
    </w:p>
    <w:p>
      <w:pPr>
        <w:pStyle w:val="TextBody"/>
        <w:bidi w:val="0"/>
        <w:spacing w:before="24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November 4,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oc1"/>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9">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a95601_14">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a95601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an automatic registration statement on Form S-3 that we filed with the U.S. Securities and Exchange Commission, or the SEC, utilizing a “shelf” registration process as a “well-known seasoned issuer,” as defined in Rule 405 under the Securities Act of 1933, as amended, or the Securities Act. Under this shelf registration process, we may offer and sell, either individually or in combination, from time to time in one or more offerings, any combination of the securities described in this prospectus. No limit exists on the aggregate number or amount of securities we may sell pursuant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the context otherwise requires, references to “we,” “us,” “our,” “the company,” “Taysha” and “Taysha Gene Therapies” refer to Taysha Gene Therapies, Inc., together with its consolidated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20" w:name="txa95601_2"/>
      <w:bookmarkEnd w:id="20"/>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r>
        <w:rPr>
          <w:rFonts w:ascii="Times New Roman" w:hAnsi="Times New Roman"/>
          <w:b/>
          <w:i/>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received orphan drug designation and rare pediatric disease designation from the United States Food and Drug Administration, or FDA, and orphan drug designation from the European Commission for TSHA-102 for the treatment of Rett syndrome. We also received Fast Track Designation from the FDA for TSHA-102 for the treatment of Rett syndrome. In April 2024, the FDA granted Regenerative Medicine Advanced Therapy, or RMAT, designation for TSHA-102 in Rett syndrome following the FDA’s review of available safety and efficacy data from the first three patients with Rett syndrome dosed with the low dose of TSHA-102 in Part A of the REVEAL Phase 1/2 Adolescent and Adult trial and the REVEAL Phase 1/2 Pediatric trial. In September 2025, the FDA granted Breakthrough Therapy designation to TSHA-102 following the FDA’s review of positive clinical evidence across the 12 patients treated with TSHA-102 in Part A of the REVEAL Phase 1/2 trials. The FDA grants Breakthrough Therapy designation to expedite the development and regulatory review of an investigational therapy intended to treat a serious condition. A drug is eligible for this designation if it demonstrates preliminary clinical evidence of substantial improvement over available treatments in one or more clinically significant endpoints.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table below. Dosing of the first patient in our REVEAL pivotal clinical trial has been scheduled for the fourth quarter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5762625" cy="101536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9"/>
                    <a:stretch>
                      <a:fillRect/>
                    </a:stretch>
                  </pic:blipFill>
                  <pic:spPr bwMode="auto">
                    <a:xfrm>
                      <a:off x="0" y="0"/>
                      <a:ext cx="5762625" cy="101536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Texas in September 2019. In February 2020, we converted to a Delaware corporation. Our principal executive offices are located at 3000 Pegasus Park Drive, Suite 1430, Dallas, Texas 75247 and our telephone number is (214) 612-0000. Our website address is </w:t>
      </w:r>
      <w:r>
        <w:rPr>
          <w:rFonts w:ascii="Times New Roman" w:hAnsi="Times New Roman"/>
          <w:i/>
          <w:sz w:val="20"/>
          <w:bdr w:val="single" w:sz="8" w:space="1" w:color="000000"/>
        </w:rPr>
        <w:t>www.tayshagtx.com</w:t>
      </w:r>
      <w:r>
        <w:rPr>
          <w:rFonts w:ascii="Times New Roman" w:hAnsi="Times New Roman"/>
          <w:sz w:val="20"/>
          <w:bdr w:val="single" w:sz="8" w:space="1" w:color="000000"/>
        </w:rPr>
        <w:t xml:space="preserve">. The information contained on, or accessible through, our website is not a part of or incorporated by reference into this prospectus. We have included our website in this prospectus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Jumpstart Our Business Startups Act of 2012, or the JOBS Act. For so long as we remain an emerging growth company, we may take advantage of relief from certain reporting requirements and other burdens that are otherwise applicable generally to public companies. These provisions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exception from compliance with the auditor attestation requirements of Section 404 of the Sarbanes- Oxley Act of 2002, as amended;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in our periodic reports, proxy statements and registration statements;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non-binding advisory votes on executive compensation or golden parachute arrangements;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requirements of the Public Company Accounting Oversight Board regarding the communication of critical audit matters in the auditor’s report on financial statements.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Accordingly, the information contained herein may be different than you might obtain from other public companies in which you hold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Securities Exchange Act of 1934, as amended, or the Exchange Act, and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common stock and preferred stock, various series of debt securities and/or warrants to purchase any of such securities,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exchange or sinking fund terms,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prices or rates, if any, and, if applicable, any provisions for changes to or adjustments in the conversion or exchange prices or rates and in the securities or other property receivable upon conversion or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U.S. federal income tax considerations.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securities unless it is accompanied by a prospectus supplement.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underwriters or agents;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discounts and commissions to be paid to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net proceeds to us.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Common Stock</w:t>
      </w:r>
      <w:r>
        <w:rPr>
          <w:rFonts w:ascii="Times New Roman" w:hAnsi="Times New Roman"/>
          <w:sz w:val="20"/>
          <w:bdr w:val="single" w:sz="8" w:space="1" w:color="000000"/>
        </w:rPr>
        <w:t xml:space="preserve">. We may issue shares of our common stock from time to time. Holders of our common stock are entitled to one vote for each share held on all matters submitted to a vote of stockholders and do not have cumulative voting rights. Holders of common stock are entitled to receive ratably any dividends as may be declared by our board of directors, subject to any preferential dividend rights of any series of preferred stock that we may designate and issue in the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Preferred Stock</w:t>
      </w:r>
      <w:r>
        <w:rPr>
          <w:rFonts w:ascii="Times New Roman" w:hAnsi="Times New Roman"/>
          <w:sz w:val="20"/>
          <w:bdr w:val="single" w:sz="8" w:space="1" w:color="000000"/>
        </w:rPr>
        <w:t xml:space="preserve">. We may issue shares of our preferred stock from time to time, in one or more series. Under our certificate of incorporation, our board of directors has the authority, without further action by the stockholders, to issue up to 10,000,000 shares of preferred stock, par value $0.00001 per share. You should refer to our certificate of incorporation, as amended, and our bylaws, both of which are included as exhibits to documents incorporated by reference in the registration statement of which this prospectus is a part.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If we offer a specific series of preferred stock under this prospectus, we will describe the terms of the preferred stock in the prospectus supplement for such offering and will file a copy of the certificate of designation establishing the terms of the preferred stock with the SEC.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Debt Securities</w:t>
      </w:r>
      <w:r>
        <w:rPr>
          <w:rFonts w:ascii="Times New Roman" w:hAnsi="Times New Roman"/>
          <w:sz w:val="20"/>
          <w:bdr w:val="single" w:sz="8" w:space="1" w:color="000000"/>
        </w:rPr>
        <w:t xml:space="preserve">. 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the holder’s option and would be at prescribed conversion rates.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Warrants</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We may issue warrants for the purchase of common stock, preferred stock and/or debt securities in one or more series. We may issue warrants independently or together with common stock, preferred stock and/ 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a95601_3"/>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as updated by our subsequent quarterly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This prospectus and the incorporated documents also contain forward-looking statements that involve risks and uncertainties. Our actual results could differ materially from those anticipated in these forward-looking statements as a result of certain factors, including the risks mentioned elsewhere in this prospectus. Please also read carefully the section below titled “Special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a95601_4"/>
      <w:bookmarkEnd w:id="22"/>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applicable prospectus supplement and the information incorporated by reference herein and therein contain forward-looking statements within the meaning of Section 27A of the Securities Act and Section 21E of the Exchange Act, that involve substantial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other than statements of historical fact, contained in this prospectus, the applicable prospectus supplement, and the information incorporated by reference herein and therein, including statements regarding our strategy, future operations, future financial position, future revenue, projected costs, prospects, plans and objectives of management, are forward-looking statements. The words “anticipate,” “believe,” “estimate,” “expect,” “intend,” “may,” “plan,” “predict,” “project,” “target,” “potential,” “will,” “would,” “could,” “should,” “continue,” and similar expressions are intended to identify forward-looking statements, although not all forward-looking statements contain these identifying words.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the accompanying prospectus supplement and the information incorporated by reference herein and therein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our planned Investigational New Drug and Clinical Trial Agreement submissions, initiation of clinical trials and timing of expected clinical results for TSHA-102 for Rett syndrome and any other current and future product candidates that we advance;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any submission of filings for regulatory approval of, and our ability to obtain and maintain regulatory approvals for,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patients with the diseases treated by our product candidates, and to enroll patients in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size of the patient populations, market acceptance and opportunity for and clinical utility of our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process and strategy, including 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scope of any approved indication for TSHA-102 or any other current or future product candidate that we advance;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leverage our platform, including our next-generation technologies, to identify and develop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our expenses, ongoing losses, future revenue, capital requirements and our need for or ability to obtain additional funding before we can expect to generate any revenue from product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or maintain collaborations or strategic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litigation and our expectations regarding the outcome of lawsuits and other claims against us and any regulatory or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recruit and retain key personnel;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upon intellectual property licensed from third parties and our ability to obtain such licenses on commercially reasonable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and enforce our intellectual property position for our product candidates, and the scope of such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the terms of our term loan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the development of and projections relating to our competitors or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cash runway, future revenue, expenses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time during which we will be an emerging growth company under the JOBS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cash and other resources, including our expected use of proceeds from any offering under this prospectus,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due to various factors, including, but not limited to, those set forth under the heading “Risk Factors” in this prospectus, any applicable prospectus supplement, the documents incorporated by reference therein or any free writing prospectus that we may authorize. In addition, our forward-looking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required by law, we undertake no obligation to update or revise any forward-looking statements to reflect new information or future events or developments.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xa95601_5"/>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any prospectus supplement or in any related free writing prospectus that we may authorize to be provided to you in connection with a specific offering, we currently intend to use the net proceeds from the sale of securities under this prospectus for general corporate purposes, including but not limited to, clinical trial expenses, research and development expenses, general and administrative expenses and capital expenditures. We may also use a portion of the net proceeds to in-license, invest in or acquire businesses, assets or technologies that we believe are complementary to our own, although we have no current plans, commitments or agreements with respect to any acquisitions. As of the date of this prospectus, we cannot specify with certainty all of the particular uses of the net proceeds, if any, from the sale of securities under this prospectus. Accordingly, we will retain broad discretion over the use of such proceeds. We will set forth in the applicable prospectus supplement or free writing prospectus our intended use of the net proceeds received from the sale of any securities sold pursuant to the prospectus supplement or free writing prospectus. Pending the use of the net proceeds as described above, we intend to invest the net proceeds in investment-grade,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xa95601_6"/>
      <w:bookmarkEnd w:id="24"/>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capital stock and provisions of our certificate of incorporation and bylaws are summaries. References to our certificate of incorporation herein refer to our certificate of incorporation as amended to the date of this prospectus. You should also refer to the certificate of incorporation (including the certificate of amendment thereto) and the bylaws, which are filed as exhibits to our most recent Annual Report on Form 10-K and are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authorizes us to issue up to 700,000,000 shares of common stock, $0.00001 par value per share, and 10,000,000 shares of preferred stock, $0.00001 par value per share. Our board of directors may establish the rights and preferences of the preferred stock from time to time. As of September 30, 2025, we had outstanding 273,915,373 shares of common stock and no shares of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our common stock is entitled to one vote for each share on all matters submitted to a vote of the stockholders, including the election of directors. The affirmative vote of holders of at least 66-2/3% of the voting power of all of the then-outstanding shares of capital stock, voting as a single class, is required to amend certain provisions of our certificate of incorporation, including provisions relating to amending the Company’s bylaws, the classified board, the size of the Company’s board, removal of directors, director liability, vacancies on the Company’s board, special meetings, stockholder notices, actions by written consent and exclusive forum.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holders of common stock are entitled to receive ratably those dividends, if any, as may be declared from time to time by the board of directors out of legally available funds.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certificate of incorporation, our board of directors has the authority, without further action by our stockholders, from time to time, to designate and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 share, dividend period and payment dates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or other securities of ours, including depositary shares and warrants, and, if applicable, the conversion period, the conversion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period, the exchange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preemption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issuances of any class or series of preferred stock ranking senior to or on a parity with the series of preferred stock being issued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rights, preferences, privileges, qualifications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i/>
          <w:sz w:val="20"/>
        </w:rPr>
      </w:pPr>
      <w:r>
        <w:rPr>
          <w:rFonts w:ascii="Times New Roman" w:hAnsi="Times New Roman"/>
          <w:i/>
          <w:sz w:val="20"/>
        </w:rPr>
        <w:t xml:space="preserve">Astellas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2022, we entered into a registration rights agreement, or the Astellas Registration Rights Agreement, with Astellas Gene Therapies, Inc. (f/k/a Audentes Therapeutics, Inc. (d/b/a Astellas Gene Therapy)), or Astellas, pursuant to which we agreed to register the resale of 7,266,342 shares of our common stock issued and sold to Astellas in a private placement, or the Astellas Shares. We agreed to use reasonable best efforts to keep such registration statement continuously effective until the earlier of (i) the date the Astellas Shares covered by such registration statement have been sold or may be resold pursuant to Rule 144 without restriction, or (ii) October 24, 2025. </w:t>
      </w:r>
    </w:p>
    <w:p>
      <w:pPr>
        <w:pStyle w:val="TextBody"/>
        <w:bidi w:val="0"/>
        <w:spacing w:before="240" w:after="0"/>
        <w:jc w:val="left"/>
        <w:rPr>
          <w:rFonts w:ascii="Times New Roman" w:hAnsi="Times New Roman"/>
          <w:sz w:val="20"/>
        </w:rPr>
      </w:pPr>
      <w:r>
        <w:rPr>
          <w:rFonts w:ascii="Times New Roman" w:hAnsi="Times New Roman"/>
          <w:sz w:val="20"/>
        </w:rPr>
        <w:t xml:space="preserve">In the event sales cannot be made pursuant to the registration statement, subject to certain limited exceptions, we agreed to make pro rata payments to each purchaser as liquidated damages in an amount equal to 1.0% of the aggregate amount paid by the purchaser for the registrable securities then held by the purchaser, per 30-day period or pro rata for any portion thereof for each such 30-day period during which such event continues, subject to certain caps set forth in the Astellas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If we propose to register shares of our common stock for our own account or for the account of other stockholders, the holders of Astellas Shares are entitled to notice of the registration and are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SSI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April 2023, we entered into a securities purchase agreement, or the SSI Securities Purchase Agreement, with two affiliates of SSI Strategy Holdings LLC, or SSI, named therein, or the SSI Investors. Under the terms of the SSI Securities Purchase Agreement, we agreed to file a registration statement covering the resale of 705,218 shares of our common stock issued and sold to the SSI Investors, or the SSI Shares, and 525,000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issuable upon the exercise of outstanding warrants to purchase shares of our common stock, or SSI Warrant Shares, issued and sold to the SSI Investors in a private placement. We agreed to use reasonable best efforts to keep such registration statement continuously effective until the earlier of (i) the date the SSI Shares and SSI Warrant Shares covered by such registration statement have been sold or may be resold pursuant to Rule 144 without restriction, or (ii) April 5, 2026. </w:t>
      </w:r>
    </w:p>
    <w:p>
      <w:pPr>
        <w:pStyle w:val="TextBody"/>
        <w:bidi w:val="0"/>
        <w:spacing w:before="240" w:after="0"/>
        <w:jc w:val="left"/>
        <w:rPr>
          <w:rFonts w:ascii="Times New Roman" w:hAnsi="Times New Roman"/>
          <w:sz w:val="20"/>
        </w:rPr>
      </w:pPr>
      <w:r>
        <w:rPr>
          <w:rFonts w:ascii="Times New Roman" w:hAnsi="Times New Roman"/>
          <w:sz w:val="20"/>
        </w:rPr>
        <w:t xml:space="preserve">In the event sales cannot be made pursuant to the registration statement, subject to certain limited exceptions, we agreed to make pro rata payments to each purchaser as liquidated damages in an amount equal to 1.0% of the aggregate amount paid by the purchaser for the registrable securities then held by the purchaser, per 30-day period or pro rata for any portion thereof for each such 30-day period during which such event continues, subject to certain caps set forth in the SSI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If we propose to register shares of our common stock for our own account or for the account of other stockholders, the holders of SSI Shares and SSI Warrant Shares are entitled to notice of the registration and are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2023 Private Placement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2023, we entered into a securities purchase agreement, or the 2023 Purchase Agreement, with certain institutional and other accredited investors, or the PIPE Investors. Under the terms of the 2023 Purchase Agreement, we agreed to prepare and file one or more registration statements to register for resale 122,412,376 shares of our common stock issued and sold to the PIPE Investors and 44,250,978 shares of our common stock issuable upon the exercise of outstanding pre-funded warrants to purchase shares of our common stock issued and sold to the PIPE Investors, collectively the PIPE Shares. We also agreed to use our best efforts to keep such registration statement effective until the earlier of (i) the third anniversary of the date the initial registration statement is declared effective, or (ii) the date all PIPE Shares (assuming cashless exercise of the pre-funded warrants) held by or issuable to a Holder (as defined in the 2023 Purchase Agreement), may be sold under Rule 144 without being subject to any volume, manner of sale or publicly available information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registration statement is suspended, ceases to remain continuously effective or is unavailable for purchasers to sell registrable securities, subject to certain limited exceptions, we agreed to make pro rata payments to each purchaser as liquidated damages in an amount equal to 1.0% of the Purchaser’s Subscription Amount (as defined in the 2023 Purchase Agreement), per 20-day period or pro rata for any portion thereof for each such 20-day period during which such event continues, subject to certain caps set forth in the 2023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Board Observer Rights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2022, we entered into a securities purchase agreement with Astellas, or the Astellas SPA, pursuant to which Astellas has the right to designate one individual to attend all meetings of the board of directors in a non-voting observer capacity, or the Astellas Board Observer. The Astellas Board Observer is entitled to all notices, minutes, consents and other materials provided to our directors at the same time and in the same manner as provided to such directors. The Astellas Board Observer right terminates upon a Change of Control (as defined in the Astellas SPA) or when Astellas no longer holds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June 2023, our board of directors appointed Paul B. Manning as a non-voting board observer, and in such capacity, Mr. Manning may attend, in a non-voting capacity, all meetings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i/>
          <w:sz w:val="20"/>
        </w:rPr>
      </w:pPr>
      <w:r>
        <w:rPr>
          <w:rFonts w:ascii="Times New Roman" w:hAnsi="Times New Roman"/>
          <w:i/>
          <w:sz w:val="20"/>
        </w:rPr>
        <w:t xml:space="preserve">Section 203 of the DGCL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such date, the board of directors of the corporation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 “business combination”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360" w:after="0"/>
        <w:jc w:val="left"/>
        <w:rPr>
          <w:rFonts w:ascii="Times New Roman" w:hAnsi="Times New Roman"/>
          <w:i/>
          <w:sz w:val="20"/>
        </w:rPr>
      </w:pPr>
      <w:r>
        <w:rPr>
          <w:rFonts w:ascii="Times New Roman" w:hAnsi="Times New Roman"/>
          <w:i/>
          <w:sz w:val="20"/>
        </w:rPr>
        <w:t xml:space="preserve">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certificate of incorporation and bylaws provide that directors may be removed by the stockholders only for cause upon the vote of 66-2/3%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bylaws also provide that all stockholder actions must be effected at a duly called meeting of stockholders and will eliminate the right of stockholders to act by written consent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meeting. The bylaws provide that only the Chairman of the board, Chief Executive Officer or the board of directors pursuant to a resolution adopted by a majority of the total number of authorized directors may call a special meeting of stockholders. The bylaws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bylaws provide that the stockholders cannot amend many of the provisions described above except by a vote of 66-2/3% or more of our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gives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our company.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or management of our company.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the Court of Chancery of the state of Delaware will be the exclusive forum for the following types of actions or proceedings under Delaware statutory or common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breach of fiduciary duty;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arising pursuant to the DGCL, our certificate of incorporation or our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 or cause of action seeking to interpret, apply, enforce or determine the validity of our certificate of incorporation or our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 or cause of action as to which the DGCL confers jurisdiction on the Court of Chancery of the state of Delaware;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that is governed by the internal affairs doctrine.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 does not apply to suits brought to enforce a duty or liability created by the Exchange Act or to claims for which the federal courts have exclusive jurisdiction. Furthermore, Section 22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Although our certificate of incorporation contains the choice of forum provision described above, it is possible that a court could rule that such a provision is inapplicable for a particular claim or action or that such provision is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(f/k/a American Stock Transfer &amp; Trust Company, LLC), with offices at 55 Challenger Road, Ridgefield Park, NJ 07660. The transfer agent for any series of preferred stock that we may offer under this prospectus will be named and described in the prospectus supplement for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“TSHA.”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xa95601_7"/>
      <w:bookmarkEnd w:id="25"/>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of 1939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xa95601_8"/>
      <w:bookmarkEnd w:id="26"/>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the terms relating to a series of warrants being offered,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or prices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force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right to receive dividends, if any, or, payments upon our liquidation, dissolution or winding up or to exercise voting rights, if 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xa95601_9"/>
      <w:bookmarkEnd w:id="27"/>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may be terminated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the global security, nor will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more than one financial intermediary in the chain of ownership for an investor. We do not monitor and are not responsible for the actions of any of those intermediaries.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Unless we provide otherwise in the applicable prospectus supplement, the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xa95601_10"/>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covered hereby from time to time pursuant to underwritten public offerings, direct sales to the public, negotiated transactions, block trades or a combination of these methods. A distribution of these securities offered by this prospectus may also be effected through the issuance of derivative securities, including without limitation, warrants. We may sell the securities to or through underwriters or dealers,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Global Select Market or any other securities exchange or quotation or trading service on which such securities may be listed, quoted or traded at the time of sale. Such at the market offerings, if any, may be conducted by underwriters acting as principal or agent.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are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Nasdaq Global Select Market. We have no current plans for listing of the preferred stock, debt securities or warrants on any securities exchange or quotation system; any such listing with respect to any particular preferred stock, debt securities or warrants will be described in the applicable prospectus supplement or other offering materials,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 covering transactions and penalty bids in accordance with Rule 103 of Regulation M under the Exchange Act. Overallotment involves sales in excess of the offering size, which create a short position. Stabilizing transactions permit bids to purchase the underlying security so long as the stabilizing bids do not exceed a specified maximum price.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or agents who are qualified market makers on the Nasdaq Global Select Market may engage in passive market making transactions in the securities on the Nasdaq Global Select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xa95601_11"/>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in connection with the offering and the validity of the securities offered by this prospectus, and any supplement thereto, will be passed upon by Cooley LLP, New York, New York. Additional legal matters may be passed upon for us or any underwriters, dealers or agents, by counsel that we will name in the applicable prospectus supplement. As of the date of this prospectus, GC&amp;H Investments, LLC, an entity consisting of current and former partners and associates of Cooley LLP, beneficially holds an aggregate of 91,396 shares of our common stock. </w:t>
      </w:r>
    </w:p>
    <w:p>
      <w:pPr>
        <w:pStyle w:val="TextBody"/>
        <w:bidi w:val="0"/>
        <w:spacing w:before="480" w:after="0"/>
        <w:jc w:val="center"/>
        <w:rPr>
          <w:rFonts w:ascii="Times New Roman" w:hAnsi="Times New Roman"/>
          <w:b/>
          <w:sz w:val="20"/>
        </w:rPr>
      </w:pPr>
      <w:bookmarkStart w:id="30" w:name="txa95601_12"/>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Taysha Gene Therapies, Inc. and subsidiaries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31" w:name="txa95601_13"/>
      <w:bookmarkEnd w:id="3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than the information contained in or incorporated by reference in this prospectus.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at </w:t>
      </w:r>
      <w:r>
        <w:rPr>
          <w:rFonts w:ascii="Times New Roman" w:hAnsi="Times New Roman"/>
          <w:i/>
          <w:sz w:val="20"/>
        </w:rPr>
        <w:t>www.sec.gov</w:t>
      </w:r>
      <w:r>
        <w:rPr>
          <w:rFonts w:ascii="Times New Roman" w:hAnsi="Times New Roman"/>
          <w:sz w:val="20"/>
        </w:rPr>
        <w:t xml:space="preserve"> that contains reports, proxy and information statements, and other information regarding issuers, such as us, that file electronically with the SEC. </w:t>
      </w:r>
    </w:p>
    <w:p>
      <w:pPr>
        <w:pStyle w:val="TextBody"/>
        <w:bidi w:val="0"/>
        <w:spacing w:before="240" w:after="0"/>
        <w:jc w:val="left"/>
        <w:rPr>
          <w:rFonts w:ascii="Times New Roman" w:hAnsi="Times New Roman"/>
          <w:sz w:val="20"/>
        </w:rPr>
      </w:pPr>
      <w:r>
        <w:rPr>
          <w:rFonts w:ascii="Times New Roman" w:hAnsi="Times New Roman"/>
          <w:sz w:val="20"/>
        </w:rPr>
        <w:t xml:space="preserve">Copies of certain information filed by us with the SEC are also available on our website at </w:t>
      </w:r>
      <w:r>
        <w:rPr>
          <w:rFonts w:ascii="Times New Roman" w:hAnsi="Times New Roman"/>
          <w:i/>
          <w:sz w:val="20"/>
        </w:rPr>
        <w:t>www.tayshagtx.com</w:t>
      </w:r>
      <w:r>
        <w:rPr>
          <w:rFonts w:ascii="Times New Roman" w:hAnsi="Times New Roman"/>
          <w:sz w:val="20"/>
        </w:rPr>
        <w:t xml:space="preserve">. Information contained in or accessible through our website does not constitute a part of this prospectus and is not incorporated by reference in this prospectus. We have included our website address as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2" w:name="txa95601_14"/>
      <w:bookmarkEnd w:id="32"/>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001-39536. The documents incorporated by reference into this prospectus contain important information that you should read about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0">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February 26,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21">
              <w:r>
                <w:rPr>
                  <w:rStyle w:val="InternetLink"/>
                  <w:rFonts w:ascii="Times New Roman" w:hAnsi="Times New Roman"/>
                  <w:sz w:val="20"/>
                </w:rPr>
                <w:t>Form 10-K</w:t>
              </w:r>
            </w:hyperlink>
            <w:r>
              <w:rPr>
                <w:rFonts w:ascii="Times New Roman" w:hAnsi="Times New Roman"/>
                <w:sz w:val="20"/>
              </w:rPr>
              <w:t xml:space="preserve"> for the year ended December  31, 2024 from our Definitive Proxy Statement on </w:t>
            </w:r>
            <w:hyperlink r:id="rId22">
              <w:r>
                <w:rPr>
                  <w:rStyle w:val="InternetLink"/>
                  <w:rFonts w:ascii="Times New Roman" w:hAnsi="Times New Roman"/>
                  <w:sz w:val="20"/>
                </w:rPr>
                <w:t>Schedule 14A</w:t>
              </w:r>
            </w:hyperlink>
            <w:r>
              <w:rPr>
                <w:rFonts w:ascii="Times New Roman" w:hAnsi="Times New Roman"/>
                <w:sz w:val="20"/>
              </w:rPr>
              <w:t xml:space="preserve">, filed with the SEC on April 21,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quarters ended </w:t>
            </w:r>
            <w:hyperlink r:id="rId23">
              <w:r>
                <w:rPr>
                  <w:rStyle w:val="InternetLink"/>
                  <w:rFonts w:ascii="Times New Roman" w:hAnsi="Times New Roman"/>
                  <w:sz w:val="20"/>
                </w:rPr>
                <w:t>March 31, 2025</w:t>
              </w:r>
            </w:hyperlink>
            <w:r>
              <w:rPr>
                <w:rFonts w:ascii="Times New Roman" w:hAnsi="Times New Roman"/>
                <w:sz w:val="20"/>
              </w:rPr>
              <w:t xml:space="preserve">, </w:t>
            </w:r>
            <w:hyperlink r:id="rId24">
              <w:r>
                <w:rPr>
                  <w:rStyle w:val="InternetLink"/>
                  <w:rFonts w:ascii="Times New Roman" w:hAnsi="Times New Roman"/>
                  <w:sz w:val="20"/>
                </w:rPr>
                <w:t>June  30, 2025</w:t>
              </w:r>
            </w:hyperlink>
            <w:r>
              <w:rPr>
                <w:rFonts w:ascii="Times New Roman" w:hAnsi="Times New Roman"/>
                <w:sz w:val="20"/>
              </w:rPr>
              <w:t xml:space="preserve"> and </w:t>
            </w:r>
            <w:hyperlink r:id="rId25">
              <w:r>
                <w:rPr>
                  <w:rStyle w:val="InternetLink"/>
                  <w:rFonts w:ascii="Times New Roman" w:hAnsi="Times New Roman"/>
                  <w:sz w:val="20"/>
                </w:rPr>
                <w:t>September 30, 2025</w:t>
              </w:r>
            </w:hyperlink>
            <w:r>
              <w:rPr>
                <w:rFonts w:ascii="Times New Roman" w:hAnsi="Times New Roman"/>
                <w:sz w:val="20"/>
              </w:rPr>
              <w:t xml:space="preserve"> filed with the SEC on May 15, 2025, August 12, 2025, and November 4, 2025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26">
              <w:r>
                <w:rPr>
                  <w:rStyle w:val="InternetLink"/>
                  <w:rFonts w:ascii="Times New Roman" w:hAnsi="Times New Roman"/>
                  <w:sz w:val="20"/>
                </w:rPr>
                <w:t>May 28, 2025</w:t>
              </w:r>
            </w:hyperlink>
            <w:r>
              <w:rPr>
                <w:rFonts w:ascii="Times New Roman" w:hAnsi="Times New Roman"/>
                <w:sz w:val="20"/>
              </w:rPr>
              <w:t xml:space="preserve">, </w:t>
            </w:r>
            <w:hyperlink r:id="rId27">
              <w:r>
                <w:rPr>
                  <w:rStyle w:val="InternetLink"/>
                  <w:rFonts w:ascii="Times New Roman" w:hAnsi="Times New Roman"/>
                  <w:sz w:val="20"/>
                </w:rPr>
                <w:t>May  29, 2025</w:t>
              </w:r>
            </w:hyperlink>
            <w:r>
              <w:rPr>
                <w:rFonts w:ascii="Times New Roman" w:hAnsi="Times New Roman"/>
                <w:sz w:val="20"/>
              </w:rPr>
              <w:t xml:space="preserve">, </w:t>
            </w:r>
            <w:hyperlink r:id="rId28">
              <w:r>
                <w:rPr>
                  <w:rStyle w:val="InternetLink"/>
                  <w:rFonts w:ascii="Times New Roman" w:hAnsi="Times New Roman"/>
                  <w:sz w:val="20"/>
                </w:rPr>
                <w:t>June  3, 2025</w:t>
              </w:r>
            </w:hyperlink>
            <w:r>
              <w:rPr>
                <w:rFonts w:ascii="Times New Roman" w:hAnsi="Times New Roman"/>
                <w:sz w:val="20"/>
              </w:rPr>
              <w:t xml:space="preserve">, </w:t>
            </w:r>
            <w:hyperlink r:id="rId29">
              <w:r>
                <w:rPr>
                  <w:rStyle w:val="InternetLink"/>
                  <w:rFonts w:ascii="Times New Roman" w:hAnsi="Times New Roman"/>
                  <w:sz w:val="20"/>
                </w:rPr>
                <w:t>October  2, 2025</w:t>
              </w:r>
            </w:hyperlink>
            <w:r>
              <w:rPr>
                <w:rFonts w:ascii="Times New Roman" w:hAnsi="Times New Roman"/>
                <w:sz w:val="20"/>
              </w:rPr>
              <w:t xml:space="preserve">, </w:t>
            </w:r>
            <w:hyperlink r:id="rId30">
              <w:r>
                <w:rPr>
                  <w:rStyle w:val="InternetLink"/>
                  <w:rFonts w:ascii="Times New Roman" w:hAnsi="Times New Roman"/>
                  <w:sz w:val="20"/>
                </w:rPr>
                <w:t>October  9, 2025</w:t>
              </w:r>
            </w:hyperlink>
            <w:r>
              <w:rPr>
                <w:rFonts w:ascii="Times New Roman" w:hAnsi="Times New Roman"/>
                <w:sz w:val="20"/>
              </w:rPr>
              <w:t xml:space="preserve">, </w:t>
            </w:r>
            <w:hyperlink r:id="rId31">
              <w:r>
                <w:rPr>
                  <w:rStyle w:val="InternetLink"/>
                  <w:rFonts w:ascii="Times New Roman" w:hAnsi="Times New Roman"/>
                  <w:sz w:val="20"/>
                </w:rPr>
                <w:t>October  16, 2025</w:t>
              </w:r>
            </w:hyperlink>
            <w:r>
              <w:rPr>
                <w:rFonts w:ascii="Times New Roman" w:hAnsi="Times New Roman"/>
                <w:sz w:val="20"/>
              </w:rPr>
              <w:t xml:space="preserve"> and </w:t>
            </w:r>
            <w:hyperlink r:id="rId32">
              <w:r>
                <w:rPr>
                  <w:rStyle w:val="InternetLink"/>
                  <w:rFonts w:ascii="Times New Roman" w:hAnsi="Times New Roman"/>
                  <w:sz w:val="20"/>
                </w:rPr>
                <w:t>November 4, 2025</w:t>
              </w:r>
            </w:hyperlink>
            <w:r>
              <w:rPr>
                <w:rFonts w:ascii="Times New Roman" w:hAnsi="Times New Roman"/>
                <w:sz w:val="20"/>
              </w:rPr>
              <w:t xml:space="preserve"> and our Current Report on 8-K/A filed with the SEC on </w:t>
            </w:r>
            <w:hyperlink r:id="rId33">
              <w:r>
                <w:rPr>
                  <w:rStyle w:val="InternetLink"/>
                  <w:rFonts w:ascii="Times New Roman" w:hAnsi="Times New Roman"/>
                  <w:sz w:val="20"/>
                </w:rPr>
                <w:t>May 29, 2025</w:t>
              </w:r>
            </w:hyperlink>
            <w:r>
              <w:rPr>
                <w:rFonts w:ascii="Times New Roman" w:hAnsi="Times New Roman"/>
                <w:sz w:val="20"/>
              </w:rPr>
              <w:t xml:space="preserve">, to the extent the information in such reports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34">
              <w:r>
                <w:rPr>
                  <w:rStyle w:val="InternetLink"/>
                  <w:rFonts w:ascii="Times New Roman" w:hAnsi="Times New Roman"/>
                  <w:sz w:val="20"/>
                </w:rPr>
                <w:t>Exhibit 4.1</w:t>
              </w:r>
            </w:hyperlink>
            <w:r>
              <w:rPr>
                <w:rFonts w:ascii="Times New Roman" w:hAnsi="Times New Roman"/>
                <w:sz w:val="20"/>
              </w:rPr>
              <w:t xml:space="preserve"> to our Quarterly Report on </w:t>
            </w:r>
            <w:hyperlink r:id="rId35">
              <w:r>
                <w:rPr>
                  <w:rStyle w:val="InternetLink"/>
                  <w:rFonts w:ascii="Times New Roman" w:hAnsi="Times New Roman"/>
                  <w:sz w:val="20"/>
                </w:rPr>
                <w:t>Form 10-Q</w:t>
              </w:r>
            </w:hyperlink>
            <w:r>
              <w:rPr>
                <w:rFonts w:ascii="Times New Roman" w:hAnsi="Times New Roman"/>
                <w:sz w:val="20"/>
              </w:rPr>
              <w:t xml:space="preserve"> for the quarter ended June 30, 2024, filed on August 12, 2024, and any amendment or report filed with the SEC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Taysha Gene Therapies, Inc., Attn: Corporate Secretary, 3000 Pegasus Park Drive, Suite 1430, Dallas, Texas 75247, and our telephone number is (214) 612-0000.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pPr>
      <w:r>
        <w:rPr/>
        <w:drawing>
          <wp:inline distT="0" distB="0" distL="0" distR="0">
            <wp:extent cx="1905000" cy="55308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6"/>
                    <a:stretch>
                      <a:fillRect/>
                    </a:stretch>
                  </pic:blipFill>
                  <pic:spPr bwMode="auto">
                    <a:xfrm>
                      <a:off x="0" y="0"/>
                      <a:ext cx="1905000" cy="55308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32,500,001 Shares of 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Pre-Funded Warrants to Purchase up to 833,333 Shares of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6"/>
        <w:gridCol w:w="101"/>
        <w:gridCol w:w="4697"/>
        <w:gridCol w:w="101"/>
        <w:gridCol w:w="2655"/>
        <w:gridCol w:w="100"/>
        <w:gridCol w:w="1225"/>
      </w:tblGrid>
      <w:tr>
        <w:trPr/>
        <w:tc>
          <w:tcPr>
            <w:tcW w:w="132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283"/>
              <w:jc w:val="left"/>
              <w:rPr>
                <w:b/>
              </w:rPr>
            </w:pPr>
            <w:r>
              <w:rPr>
                <w:b/>
              </w:rPr>
              <w:t>Jefferies</w:t>
            </w:r>
          </w:p>
        </w:tc>
        <w:tc>
          <w:tcPr>
            <w:tcW w:w="101" w:type="dxa"/>
            <w:tcBorders/>
            <w:vAlign w:val="bottom"/>
          </w:tcPr>
          <w:p>
            <w:pPr>
              <w:pStyle w:val="TableContents"/>
              <w:bidi w:val="0"/>
              <w:spacing w:before="0" w:after="283"/>
              <w:jc w:val="left"/>
              <w:rPr/>
            </w:pPr>
            <w:r>
              <w:rPr/>
              <w:t> </w:t>
            </w:r>
          </w:p>
        </w:tc>
        <w:tc>
          <w:tcPr>
            <w:tcW w:w="4697" w:type="dxa"/>
            <w:tcBorders/>
          </w:tcPr>
          <w:p>
            <w:pPr>
              <w:pStyle w:val="TableContents"/>
              <w:bidi w:val="0"/>
              <w:spacing w:before="0" w:after="283"/>
              <w:jc w:val="center"/>
              <w:rPr>
                <w:b/>
              </w:rPr>
            </w:pPr>
            <w:r>
              <w:rPr>
                <w:b/>
              </w:rPr>
              <w:t>Goldman Sachs &amp; Co. LLC</w:t>
            </w:r>
          </w:p>
        </w:tc>
        <w:tc>
          <w:tcPr>
            <w:tcW w:w="101" w:type="dxa"/>
            <w:tcBorders/>
            <w:vAlign w:val="bottom"/>
          </w:tcPr>
          <w:p>
            <w:pPr>
              <w:pStyle w:val="TableContents"/>
              <w:bidi w:val="0"/>
              <w:spacing w:before="0" w:after="283"/>
              <w:jc w:val="left"/>
              <w:rPr/>
            </w:pPr>
            <w:r>
              <w:rPr/>
              <w:t> </w:t>
            </w:r>
          </w:p>
        </w:tc>
        <w:tc>
          <w:tcPr>
            <w:tcW w:w="2655" w:type="dxa"/>
            <w:tcBorders/>
          </w:tcPr>
          <w:p>
            <w:pPr>
              <w:pStyle w:val="TableContents"/>
              <w:bidi w:val="0"/>
              <w:spacing w:before="0" w:after="283"/>
              <w:jc w:val="center"/>
              <w:rPr>
                <w:b/>
              </w:rPr>
            </w:pPr>
            <w:r>
              <w:rPr>
                <w:b/>
              </w:rPr>
              <w:t>Piper Sandler</w:t>
            </w:r>
          </w:p>
        </w:tc>
        <w:tc>
          <w:tcPr>
            <w:tcW w:w="100"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right"/>
              <w:rPr>
                <w:b/>
              </w:rPr>
            </w:pPr>
            <w:r>
              <w:rPr>
                <w:b/>
              </w:rPr>
              <w:t>Cantor</w:t>
            </w:r>
          </w:p>
        </w:tc>
      </w:tr>
    </w:tbl>
    <w:p>
      <w:pPr>
        <w:pStyle w:val="TextBody"/>
        <w:bidi w:val="0"/>
        <w:spacing w:before="240" w:after="0"/>
        <w:jc w:val="center"/>
        <w:rPr>
          <w:rFonts w:ascii="Times New Roman" w:hAnsi="Times New Roman"/>
          <w:b/>
          <w:i/>
          <w:sz w:val="24"/>
        </w:rPr>
      </w:pPr>
      <w:r>
        <w:rPr>
          <w:rFonts w:ascii="Times New Roman" w:hAnsi="Times New Roman"/>
          <w:b/>
          <w:i/>
          <w:sz w:val="24"/>
        </w:rPr>
        <w:t xml:space="preserve">Lead Manager </w:t>
      </w:r>
    </w:p>
    <w:p>
      <w:pPr>
        <w:pStyle w:val="TextBody"/>
        <w:bidi w:val="0"/>
        <w:spacing w:before="120" w:after="0"/>
        <w:jc w:val="center"/>
        <w:rPr>
          <w:rFonts w:ascii="Times New Roman" w:hAnsi="Times New Roman"/>
          <w:b/>
          <w:sz w:val="28"/>
        </w:rPr>
      </w:pPr>
      <w:r>
        <w:rPr>
          <w:rFonts w:ascii="Times New Roman" w:hAnsi="Times New Roman"/>
          <w:b/>
          <w:sz w:val="28"/>
        </w:rPr>
        <w:t xml:space="preserve">Baird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dated June 24,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Normal"/>
        <w:bidi w:val="0"/>
        <w:spacing w:before="0" w:after="0"/>
        <w:jc w:val="left"/>
        <w:rPr>
          <w:sz w:val="4"/>
          <w:szCs w:val="4"/>
        </w:rPr>
      </w:pPr>
      <w:r>
        <w:rPr>
          <w:sz w:val="4"/>
          <w:szCs w:val="4"/>
        </w:rPr>
      </w:r>
      <w:bookmarkStart w:id="33" w:name="d95601dexfilingfees.htm"/>
      <w:bookmarkStart w:id="34" w:name="ksd95601dexfilingfees"/>
      <w:bookmarkStart w:id="35" w:name="d95601dexfilingfees.htm"/>
      <w:bookmarkStart w:id="36" w:name="ksd95601dexfilingfees"/>
      <w:bookmarkEnd w:id="35"/>
      <w:bookmarkEnd w:id="36"/>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Taysha Gene Therapies,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19" w:type="dxa"/>
        <w:jc w:val="left"/>
        <w:tblInd w:w="0" w:type="dxa"/>
        <w:tblLayout w:type="fixed"/>
        <w:tblCellMar>
          <w:top w:w="28" w:type="dxa"/>
          <w:left w:w="28" w:type="dxa"/>
          <w:bottom w:w="28" w:type="dxa"/>
          <w:right w:w="28" w:type="dxa"/>
        </w:tblCellMar>
      </w:tblPr>
      <w:tblGrid>
        <w:gridCol w:w="1126"/>
        <w:gridCol w:w="226"/>
        <w:gridCol w:w="946"/>
        <w:gridCol w:w="115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5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1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Common Stock, par value $0.00001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38,333,334 </w:t>
            </w:r>
          </w:p>
        </w:tc>
        <w:tc>
          <w:tcPr>
            <w:tcW w:w="1156" w:type="dxa"/>
            <w:tcBorders/>
            <w:shd w:fill="E7E7E2" w:val="clear"/>
            <w:vAlign w:val="center"/>
          </w:tcPr>
          <w:p>
            <w:pPr>
              <w:pStyle w:val="TableContents"/>
              <w:bidi w:val="0"/>
              <w:spacing w:before="0" w:after="283"/>
              <w:jc w:val="right"/>
              <w:rPr/>
            </w:pPr>
            <w:r>
              <w:rPr/>
              <w:t xml:space="preserve">$ 6.00 </w:t>
            </w:r>
          </w:p>
        </w:tc>
        <w:tc>
          <w:tcPr>
            <w:tcW w:w="1786" w:type="dxa"/>
            <w:tcBorders/>
            <w:shd w:fill="E7E7E2" w:val="clear"/>
            <w:vAlign w:val="center"/>
          </w:tcPr>
          <w:p>
            <w:pPr>
              <w:pStyle w:val="TableContents"/>
              <w:bidi w:val="0"/>
              <w:spacing w:before="0" w:after="283"/>
              <w:jc w:val="right"/>
              <w:rPr/>
            </w:pPr>
            <w:r>
              <w:rPr/>
              <w:t xml:space="preserve">$ 230,000,004.00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$ 31,763.00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Pre-funded warrants to purchase 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833,333 </w:t>
            </w:r>
          </w:p>
        </w:tc>
        <w:tc>
          <w:tcPr>
            <w:tcW w:w="1156" w:type="dxa"/>
            <w:tcBorders/>
            <w:shd w:fill="E7E7E2" w:val="clear"/>
            <w:vAlign w:val="center"/>
          </w:tcPr>
          <w:p>
            <w:pPr>
              <w:pStyle w:val="TableContents"/>
              <w:bidi w:val="0"/>
              <w:spacing w:before="0" w:after="283"/>
              <w:jc w:val="right"/>
              <w:rPr/>
            </w:pPr>
            <w:r>
              <w:rPr/>
              <w:t xml:space="preserve">$ 5.999 </w:t>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1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7" w:name="MaxAggtOfferingPrice"/>
            <w:bookmarkEnd w:id="37"/>
            <w:r>
              <w:rPr/>
              <w:t xml:space="preserve">$ 230,000,004.00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8" w:name="TotalFeeAmt"/>
            <w:bookmarkEnd w:id="38"/>
            <w:r>
              <w:rPr/>
              <w:t xml:space="preserve">$ 31,763.00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PreviouslyPaid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Offset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NetFeeAmt"/>
            <w:bookmarkEnd w:id="41"/>
            <w:r>
              <w:rPr/>
              <w:t xml:space="preserve">$ 31,763.00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365"/>
        <w:gridCol w:w="8639"/>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 Calculated in accordance with Rule 457(r) under the Securities Act of 1933, as amended (the "Securities Act"). Payment of the registration fee at the time of filing of the registrant's Registration Statement on Form S-3 (File No. 333-291244) on November 4, 2025 deferred pursuant to Rules 456(b) and 457(r) under the Securities Act and is paid herewith. (b) Includes 5,000,000 shares of common stock that the underwriters have an option to purchase for 30 days after the date of the prospectus supplement to which this exhibit is attached. (c) Includes 833,333 shares of common stock issuable upon the exercise of the pre-funded warrants to purchase common stock. Maximum offering price per unit of such shares includes the sum of the offering price of the pre-funded warrants of $5.999 per pre-funded warrant and the exercise price of $0.001 per share of common stock issuable pursuant to the pre-funded warrants. </w:t>
            </w:r>
          </w:p>
        </w:tc>
      </w:tr>
      <w:tr>
        <w:trPr/>
        <w:tc>
          <w:tcPr>
            <w:tcW w:w="1566" w:type="dxa"/>
            <w:gridSpan w:val="2"/>
            <w:tcBorders/>
            <w:vAlign w:val="center"/>
          </w:tcPr>
          <w:p>
            <w:pPr>
              <w:pStyle w:val="HorizontalLine"/>
              <w:pBdr>
                <w:bottom w:val="double" w:sz="2" w:space="0" w:color="808080"/>
              </w:pBdr>
              <w:bidi w:val="0"/>
              <w:spacing w:before="0" w:after="283"/>
              <w:jc w:val="left"/>
              <w:rPr/>
            </w:pPr>
            <w:r>
              <w:rPr/>
            </w:r>
          </w:p>
        </w:tc>
        <w:tc>
          <w:tcPr>
            <w:tcW w:w="8639"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Pursuant to Rule 416 under the Securities Act, the pre-funded warrants to purchase common stock being registered hereunder include such indeterminate number of additional shares of common stock as may be issued after the date hereof as a result of share splits, share dividends or similar transactions. The registration fee for the pre-funded warrants is being allocated to the shares of common stock issuable upon exercise of the pre-funded warrants. </w:t>
            </w:r>
          </w:p>
        </w:tc>
      </w:tr>
      <w:tr>
        <w:trPr/>
        <w:tc>
          <w:tcPr>
            <w:tcW w:w="1566" w:type="dxa"/>
            <w:gridSpan w:val="2"/>
            <w:tcBorders/>
            <w:vAlign w:val="center"/>
          </w:tcPr>
          <w:p>
            <w:pPr>
              <w:pStyle w:val="HorizontalLine"/>
              <w:pBdr>
                <w:bottom w:val="double" w:sz="2" w:space="0" w:color="808080"/>
              </w:pBdr>
              <w:bidi w:val="0"/>
              <w:spacing w:before="0" w:after="283"/>
              <w:jc w:val="left"/>
              <w:rPr/>
            </w:pPr>
            <w:r>
              <w:rPr/>
            </w:r>
          </w:p>
        </w:tc>
        <w:tc>
          <w:tcPr>
            <w:tcW w:w="863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$230,000,004.00.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yperlink" Target="http://www.sec.gov/Archives/edgar/data/../../../ix?doc=/Archives/edgar/data/1806310/000119312526115202/tsha-20251231.htm" TargetMode="External"/><Relationship Id="rId13" Type="http://schemas.openxmlformats.org/officeDocument/2006/relationships/hyperlink" Target="http://www.sec.gov/Archives/edgar/data/../../../ix?doc=/Archives/edgar/data/1806310/000119312526168525/d94391ddef14a.htm" TargetMode="External"/><Relationship Id="rId14" Type="http://schemas.openxmlformats.org/officeDocument/2006/relationships/hyperlink" Target="http://www.sec.gov/Archives/edgar/data/../../../ix?doc=/Archives/edgar/data/1806310/000119312526207666/tsha-20260331.htm" TargetMode="External"/><Relationship Id="rId15" Type="http://schemas.openxmlformats.org/officeDocument/2006/relationships/hyperlink" Target="http://www.sec.gov/Archives/edgar/data/../../../ix?doc=/Archives/edgar/data/1806310/000119312526253478/d159199d8k.htm" TargetMode="External"/><Relationship Id="rId16" Type="http://schemas.openxmlformats.org/officeDocument/2006/relationships/hyperlink" Target="http://www.sec.gov/Archives/edgar/data/../../../ix?doc=/Archives/edgar/data/1806310/000119312526276738/d20817d8k.htm" TargetMode="External"/><Relationship Id="rId17" Type="http://schemas.openxmlformats.org/officeDocument/2006/relationships/hyperlink" Target="http://www.sec.gov/Archives/edgar/data/1806310/000119312526115202/tsha-ex4_2.htm" TargetMode="External"/><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hyperlink" Target="http://www.sec.gov/Archives/edgar/data/../../../ix?doc=/Archives/edgar/data/1806310/000095017025027348/tsha-20241231.htm" TargetMode="External"/><Relationship Id="rId21" Type="http://schemas.openxmlformats.org/officeDocument/2006/relationships/hyperlink" Target="http://www.sec.gov/Archives/edgar/data/../../../ix?doc=/Archives/edgar/data/1806310/000095017025027348/tsha-20241231.htm" TargetMode="External"/><Relationship Id="rId22" Type="http://schemas.openxmlformats.org/officeDocument/2006/relationships/hyperlink" Target="http://www.sec.gov/Archives/edgar/data/../../../ix?doc=/Archives/edgar/data/1806310/000119312525087214/d805582ddef14a.htm" TargetMode="External"/><Relationship Id="rId23" Type="http://schemas.openxmlformats.org/officeDocument/2006/relationships/hyperlink" Target="http://www.sec.gov/Archives/edgar/data/../../../ix?doc=/Archives/edgar/data/1806310/000095017025072036/tsha-20250331.htm" TargetMode="External"/><Relationship Id="rId24" Type="http://schemas.openxmlformats.org/officeDocument/2006/relationships/hyperlink" Target="http://www.sec.gov/Archives/edgar/data/../../../ix?doc=/Archives/edgar/data/1806310/000095017025107010/tsha-20250630.htm" TargetMode="External"/><Relationship Id="rId25" Type="http://schemas.openxmlformats.org/officeDocument/2006/relationships/hyperlink" Target="http://www.sec.gov/Archives/edgar/data/../../../ix?doc=/Archives/edgar/data/1806310/000119312525263506/tsha-20250930.htm" TargetMode="External"/><Relationship Id="rId26" Type="http://schemas.openxmlformats.org/officeDocument/2006/relationships/hyperlink" Target="http://www.sec.gov/Archives/edgar/data/../../../ix?doc=/Archives/edgar/data/1806310/000119312525129494/d904503d8k.htm" TargetMode="External"/><Relationship Id="rId27" Type="http://schemas.openxmlformats.org/officeDocument/2006/relationships/hyperlink" Target="http://www.sec.gov/Archives/edgar/data/../../../ix?doc=/Archives/edgar/data/1806310/000119312525130709/d948981d8k.htm" TargetMode="External"/><Relationship Id="rId28" Type="http://schemas.openxmlformats.org/officeDocument/2006/relationships/hyperlink" Target="http://www.sec.gov/Archives/edgar/data/../../../ix?doc=/Archives/edgar/data/1806310/000119312525133745/d843671d8k.htm" TargetMode="External"/><Relationship Id="rId29" Type="http://schemas.openxmlformats.org/officeDocument/2006/relationships/hyperlink" Target="http://www.sec.gov/Archives/edgar/data/../../../ix?doc=/Archives/edgar/data/1806310/000119312525227505/d61846d8k.htm" TargetMode="External"/><Relationship Id="rId30" Type="http://schemas.openxmlformats.org/officeDocument/2006/relationships/hyperlink" Target="http://www.sec.gov/Archives/edgar/data/../../../ix?doc=/Archives/edgar/data/1806310/000119312525235212/d949053d8k.htm" TargetMode="External"/><Relationship Id="rId31" Type="http://schemas.openxmlformats.org/officeDocument/2006/relationships/hyperlink" Target="http://www.sec.gov/Archives/edgar/data/../../../ix?doc=/Archives/edgar/data/1806310/000119312525241415/d35488d8k.htm" TargetMode="External"/><Relationship Id="rId32" Type="http://schemas.openxmlformats.org/officeDocument/2006/relationships/hyperlink" Target="http://www.sec.gov/Archives/edgar/data/../../../ix?doc=/Archives/edgar/data/1806310/000119312525263543/d17004d8k.htm" TargetMode="External"/><Relationship Id="rId33" Type="http://schemas.openxmlformats.org/officeDocument/2006/relationships/hyperlink" Target="http://www.sec.gov/Archives/edgar/data/../../../ix?doc=/Archives/edgar/data/1806310/000119312525129849/d907074d8ka.htm" TargetMode="External"/><Relationship Id="rId34" Type="http://schemas.openxmlformats.org/officeDocument/2006/relationships/hyperlink" Target="http://www.sec.gov/Archives/edgar/data/1806310/000095017024095082/tsha-ex4_1.htm" TargetMode="External"/><Relationship Id="rId35" Type="http://schemas.openxmlformats.org/officeDocument/2006/relationships/hyperlink" Target="http://www.sec.gov/Archives/edgar/data/../../../ix?doc=/Archives/edgar/data/1806310/000095017024095082/tsha-20240630.htm" TargetMode="External"/><Relationship Id="rId36" Type="http://schemas.openxmlformats.org/officeDocument/2006/relationships/image" Target="media/image1.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109</Pages>
  <Words>44733</Words>
  <Characters>236557</Characters>
  <CharactersWithSpaces>282242</CharactersWithSpaces>
  <Paragraphs>2916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