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3880" w:right="1620" w:hanging="3859"/>
        <w:spacing w:after="0" w:line="245" w:lineRule="auto"/>
        <w:tabs>
          <w:tab w:leader="none" w:pos="476"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200" w:lineRule="exact"/>
        <w:rPr>
          <w:sz w:val="24"/>
          <w:szCs w:val="24"/>
          <w:color w:val="auto"/>
        </w:rPr>
      </w:pPr>
    </w:p>
    <w:p>
      <w:pPr>
        <w:spacing w:after="0" w:line="261" w:lineRule="exact"/>
        <w:rPr>
          <w:sz w:val="24"/>
          <w:szCs w:val="24"/>
          <w:color w:val="auto"/>
        </w:rPr>
      </w:pPr>
    </w:p>
    <w:p>
      <w:pPr>
        <w:ind w:left="3320" w:right="1600" w:hanging="3299"/>
        <w:spacing w:after="0" w:line="245" w:lineRule="auto"/>
        <w:tabs>
          <w:tab w:leader="none" w:pos="471"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82"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Taysha Gene Therapies,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84-3199512</w:t>
            </w:r>
          </w:p>
        </w:tc>
      </w:tr>
      <w:tr>
        <w:trPr>
          <w:trHeight w:val="148"/>
        </w:trPr>
        <w:tc>
          <w:tcPr>
            <w:tcW w:w="4500" w:type="dxa"/>
            <w:vAlign w:val="bottom"/>
          </w:tcPr>
          <w:p>
            <w:pPr>
              <w:jc w:val="center"/>
              <w:ind w:right="1824"/>
              <w:spacing w:after="0"/>
              <w:rPr>
                <w:sz w:val="20"/>
                <w:szCs w:val="20"/>
                <w:color w:val="auto"/>
              </w:rPr>
            </w:pPr>
            <w:r>
              <w:rPr>
                <w:rFonts w:ascii="Arial" w:cs="Arial" w:eastAsia="Arial" w:hAnsi="Arial"/>
                <w:sz w:val="13"/>
                <w:szCs w:val="13"/>
                <w:b w:val="1"/>
                <w:bCs w:val="1"/>
                <w:color w:val="auto"/>
                <w:w w:val="87"/>
              </w:rPr>
              <w:t>( State or other jurisdiction of</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(I.R.S. Employer</w:t>
            </w:r>
          </w:p>
        </w:tc>
      </w:tr>
      <w:tr>
        <w:trPr>
          <w:trHeight w:val="171"/>
        </w:trPr>
        <w:tc>
          <w:tcPr>
            <w:tcW w:w="4500" w:type="dxa"/>
            <w:vAlign w:val="bottom"/>
          </w:tcPr>
          <w:p>
            <w:pPr>
              <w:jc w:val="center"/>
              <w:ind w:right="1824"/>
              <w:spacing w:after="0"/>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89"/>
              </w:rPr>
              <w:t>Identification No.)</w:t>
            </w:r>
          </w:p>
        </w:tc>
      </w:tr>
      <w:tr>
        <w:trPr>
          <w:trHeight w:val="230"/>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89"/>
              </w:rPr>
              <w:t>3000 Pegasus Park Drive Ste 1430</w:t>
            </w:r>
          </w:p>
        </w:tc>
        <w:tc>
          <w:tcPr>
            <w:tcW w:w="2900" w:type="dxa"/>
            <w:vAlign w:val="bottom"/>
          </w:tcPr>
          <w:p>
            <w:pPr>
              <w:spacing w:after="0"/>
              <w:rPr>
                <w:sz w:val="19"/>
                <w:szCs w:val="19"/>
                <w:color w:val="auto"/>
              </w:rPr>
            </w:pPr>
          </w:p>
        </w:tc>
      </w:tr>
      <w:tr>
        <w:trPr>
          <w:trHeight w:val="248"/>
        </w:trPr>
        <w:tc>
          <w:tcPr>
            <w:tcW w:w="4500" w:type="dxa"/>
            <w:vAlign w:val="bottom"/>
          </w:tcPr>
          <w:p>
            <w:pPr>
              <w:ind w:left="780"/>
              <w:spacing w:after="0"/>
              <w:rPr>
                <w:sz w:val="20"/>
                <w:szCs w:val="20"/>
                <w:color w:val="auto"/>
              </w:rPr>
            </w:pPr>
            <w:r>
              <w:rPr>
                <w:rFonts w:ascii="Arial" w:cs="Arial" w:eastAsia="Arial" w:hAnsi="Arial"/>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Arial" w:cs="Arial" w:eastAsia="Arial" w:hAnsi="Arial"/>
                <w:sz w:val="18"/>
                <w:szCs w:val="18"/>
                <w:b w:val="1"/>
                <w:bCs w:val="1"/>
                <w:color w:val="auto"/>
              </w:rPr>
              <w:t>75247</w:t>
            </w:r>
          </w:p>
        </w:tc>
      </w:tr>
      <w:tr>
        <w:trPr>
          <w:trHeight w:val="173"/>
        </w:trPr>
        <w:tc>
          <w:tcPr>
            <w:tcW w:w="4500" w:type="dxa"/>
            <w:vAlign w:val="bottom"/>
          </w:tcPr>
          <w:p>
            <w:pPr>
              <w:jc w:val="center"/>
              <w:ind w:right="18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jc w:val="center"/>
              <w:spacing w:after="0"/>
              <w:rPr>
                <w:sz w:val="20"/>
                <w:szCs w:val="20"/>
                <w:color w:val="auto"/>
              </w:rPr>
            </w:pPr>
            <w:r>
              <w:rPr>
                <w:rFonts w:ascii="Arial" w:cs="Arial" w:eastAsia="Arial" w:hAnsi="Arial"/>
                <w:sz w:val="16"/>
                <w:szCs w:val="16"/>
                <w:color w:val="auto"/>
                <w:w w:val="90"/>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8"/>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jc w:val="both"/>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2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14, 2023, the registrant had 64,465,037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Balance Sheets</w:t>
            </w:r>
          </w:p>
        </w:tc>
        <w:tc>
          <w:tcPr>
            <w:tcW w:w="5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Statements of Stockholders’ (Deficit) Equity</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Statements of Cash Flows</w:t>
            </w:r>
          </w:p>
        </w:tc>
        <w:tc>
          <w:tcPr>
            <w:tcW w:w="608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Arial" w:cs="Arial" w:eastAsia="Arial" w:hAnsi="Arial"/>
                <w:sz w:val="18"/>
                <w:szCs w:val="18"/>
                <w:color w:val="0000FF"/>
              </w:rPr>
              <w:t>Notes to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Controls and Procedures</w:t>
            </w:r>
          </w:p>
        </w:tc>
        <w:tc>
          <w:tcPr>
            <w:tcW w:w="74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OTHER INFORMATION</w:t>
            </w:r>
          </w:p>
        </w:tc>
        <w:tc>
          <w:tcPr>
            <w:tcW w:w="740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3"/>
          </w:tcPr>
          <w:p>
            <w:pPr>
              <w:spacing w:after="0"/>
              <w:rPr>
                <w:sz w:val="18"/>
                <w:szCs w:val="18"/>
                <w:color w:val="auto"/>
              </w:rPr>
            </w:pPr>
          </w:p>
        </w:tc>
        <w:tc>
          <w:tcPr>
            <w:tcW w:w="7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Mine Safety Disclosures</w:t>
            </w:r>
          </w:p>
        </w:tc>
        <w:tc>
          <w:tcPr>
            <w:tcW w:w="74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87,880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54,115</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10,348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81,543</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126,276</w:t>
            </w:r>
          </w:p>
        </w:tc>
        <w:tc>
          <w:tcPr>
            <w:tcW w:w="100" w:type="dxa"/>
            <w:vAlign w:val="bottom"/>
          </w:tcPr>
          <w:p>
            <w:pPr>
              <w:spacing w:after="0"/>
              <w:rPr>
                <w:sz w:val="21"/>
                <w:szCs w:val="2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19,632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20,243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50,641</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62,790</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Term loan, net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38,354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37,967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0"/>
                <w:szCs w:val="20"/>
                <w:color w:val="auto"/>
              </w:rPr>
            </w:pP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118,657</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 Note 12</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(deficit) equity</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8"/>
                <w:szCs w:val="18"/>
                <w:color w:val="auto"/>
                <w:w w:val="93"/>
              </w:rPr>
              <w:t>Preferred stock, $0.00001 par value per share; 10,000,000 shares authorized and no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outstanding as of June 30, 2023 and December 31, 2022</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Common stock, $0.00001 par value per share; 200,000,000 shares authorized and 64,432,637 and</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63,207,507 issued and outstanding as of June 30, 2023 and December 31, 2022, respectively</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406,546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402,389</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(443,661 )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(401,441 )</w:t>
            </w:r>
          </w:p>
        </w:tc>
      </w:tr>
      <w:tr>
        <w:trPr>
          <w:trHeight w:val="20"/>
        </w:trPr>
        <w:tc>
          <w:tcPr>
            <w:tcW w:w="7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Total stockholders’ (deficit) equity</w:t>
            </w:r>
          </w:p>
        </w:tc>
        <w:tc>
          <w:tcPr>
            <w:tcW w:w="32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(37,114 )</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0"/>
                <w:szCs w:val="20"/>
                <w:color w:val="auto"/>
              </w:rPr>
            </w:pPr>
          </w:p>
        </w:tc>
      </w:tr>
      <w:tr>
        <w:trPr>
          <w:trHeight w:val="27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81,543</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126,276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-4097020</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-4097020</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-3470910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-2510790</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-1559560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242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For the Six Months</w:t>
            </w:r>
          </w:p>
        </w:tc>
      </w:t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6"/>
                <w:szCs w:val="16"/>
                <w:color w:val="auto"/>
              </w:rPr>
            </w:pPr>
          </w:p>
        </w:tc>
        <w:tc>
          <w:tcPr>
            <w:tcW w:w="242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Ended June 30,</w:t>
            </w:r>
          </w:p>
        </w:tc>
      </w:tr>
      <w:tr>
        <w:trPr>
          <w:trHeight w:val="183"/>
        </w:trPr>
        <w:tc>
          <w:tcPr>
            <w:tcW w:w="58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61,688</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tcPr>
          <w:p>
            <w:pPr>
              <w:spacing w:after="0"/>
              <w:rPr>
                <w:sz w:val="20"/>
                <w:szCs w:val="20"/>
                <w:color w:val="auto"/>
              </w:rPr>
            </w:pPr>
          </w:p>
        </w:tc>
      </w:tr>
      <w:tr>
        <w:trPr>
          <w:trHeight w:val="23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33,373</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20"/>
                <w:szCs w:val="20"/>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(23,384 )</w:t>
            </w:r>
          </w:p>
        </w:tc>
        <w:tc>
          <w:tcPr>
            <w:tcW w:w="2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(33,373 )</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(39,943 )</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(83,024 )</w:t>
            </w:r>
          </w:p>
        </w:tc>
      </w:tr>
      <w:tr>
        <w:trPr>
          <w:trHeight w:val="241"/>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(1,440 )</w:t>
            </w: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(743 )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(2,814 )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(1,415 )</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0"/>
                <w:szCs w:val="20"/>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7"/>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(24,598 )</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(34,092 )</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(42,220 )</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(84,409 )</w:t>
            </w:r>
          </w:p>
        </w:tc>
      </w:tr>
      <w:tr>
        <w:trPr>
          <w:trHeight w:val="234"/>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64,244,531</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40,142,403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63,755,435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39,163,996</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-1464945</wp:posOffset>
            </wp:positionV>
            <wp:extent cx="774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-1464945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-1464945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-513715</wp:posOffset>
            </wp:positionV>
            <wp:extent cx="77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-513715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-513715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7747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6"/>
              </w:rPr>
              <w:t>Total</w:t>
            </w:r>
          </w:p>
        </w:tc>
      </w:tr>
      <w:tr>
        <w:trPr>
          <w:trHeight w:val="176"/>
        </w:trPr>
        <w:tc>
          <w:tcPr>
            <w:tcW w:w="540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1"/>
              </w:rPr>
              <w:t>Stockholders'</w:t>
            </w:r>
          </w:p>
        </w:tc>
      </w:tr>
      <w:tr>
        <w:trPr>
          <w:trHeight w:val="169"/>
        </w:trPr>
        <w:tc>
          <w:tcPr>
            <w:tcW w:w="5400" w:type="dxa"/>
            <w:vAlign w:val="bottom"/>
          </w:tcPr>
          <w:p>
            <w:pPr>
              <w:spacing w:after="0"/>
              <w:rPr>
                <w:sz w:val="14"/>
                <w:szCs w:val="14"/>
                <w:color w:val="auto"/>
              </w:rPr>
            </w:pPr>
          </w:p>
        </w:tc>
        <w:tc>
          <w:tcPr>
            <w:tcW w:w="1040" w:type="dxa"/>
            <w:vAlign w:val="bottom"/>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9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980" w:type="dxa"/>
            <w:vAlign w:val="bottom"/>
            <w:gridSpan w:val="2"/>
          </w:tcPr>
          <w:p>
            <w:pPr>
              <w:jc w:val="center"/>
              <w:ind w:right="128"/>
              <w:spacing w:after="0"/>
              <w:rPr>
                <w:sz w:val="20"/>
                <w:szCs w:val="20"/>
                <w:color w:val="auto"/>
              </w:rPr>
            </w:pPr>
            <w:r>
              <w:rPr>
                <w:rFonts w:ascii="Arial" w:cs="Arial" w:eastAsia="Arial" w:hAnsi="Arial"/>
                <w:sz w:val="13"/>
                <w:szCs w:val="13"/>
                <w:b w:val="1"/>
                <w:bCs w:val="1"/>
                <w:color w:val="auto"/>
                <w:w w:val="95"/>
              </w:rPr>
              <w:t>Deficit</w:t>
            </w:r>
          </w:p>
        </w:tc>
      </w:tr>
      <w:tr>
        <w:trPr>
          <w:trHeight w:val="169"/>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March 31, 2023</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63,473,349</w:t>
            </w:r>
          </w:p>
        </w:tc>
        <w:tc>
          <w:tcPr>
            <w:tcW w:w="2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404,114</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(419,063</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(14,948</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r>
      <w:tr>
        <w:trPr>
          <w:trHeight w:val="175"/>
        </w:trPr>
        <w:tc>
          <w:tcPr>
            <w:tcW w:w="5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Pr>
          <w:p>
            <w:pPr>
              <w:spacing w:after="0"/>
              <w:rPr>
                <w:sz w:val="15"/>
                <w:szCs w:val="15"/>
                <w:color w:val="auto"/>
              </w:rPr>
            </w:pPr>
          </w:p>
        </w:tc>
      </w:tr>
      <w:tr>
        <w:trPr>
          <w:trHeight w:val="176"/>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in private placement, net of offering costs of $40</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705,218</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Issuance of common stock upon vesting and settlement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254,070</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(24,598 )</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(24,598 )</w:t>
            </w:r>
          </w:p>
        </w:tc>
      </w:tr>
      <w:tr>
        <w:trPr>
          <w:trHeight w:val="20"/>
        </w:trPr>
        <w:tc>
          <w:tcPr>
            <w:tcW w:w="5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64,432,637</w:t>
            </w:r>
          </w:p>
        </w:tc>
        <w:tc>
          <w:tcPr>
            <w:tcW w:w="240" w:type="dxa"/>
            <w:vAlign w:val="bottom"/>
          </w:tcPr>
          <w:p>
            <w:pPr>
              <w:spacing w:after="0"/>
              <w:rPr>
                <w:sz w:val="14"/>
                <w:szCs w:val="14"/>
                <w:color w:val="auto"/>
              </w:rPr>
            </w:pPr>
          </w:p>
        </w:tc>
        <w:tc>
          <w:tcPr>
            <w:tcW w:w="760" w:type="dxa"/>
            <w:vAlign w:val="bottom"/>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406,546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(443,661 )</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(37,114 )</w:t>
            </w: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-145415</wp:posOffset>
            </wp:positionV>
            <wp:extent cx="7747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-145415</wp:posOffset>
            </wp:positionV>
            <wp:extent cx="6858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Total</w:t>
            </w:r>
          </w:p>
        </w:tc>
      </w:tr>
      <w:tr>
        <w:trPr>
          <w:trHeight w:val="176"/>
        </w:trPr>
        <w:tc>
          <w:tcPr>
            <w:tcW w:w="540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90"/>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Stockholders'</w:t>
            </w:r>
          </w:p>
        </w:tc>
      </w:tr>
      <w:tr>
        <w:trPr>
          <w:trHeight w:val="169"/>
        </w:trPr>
        <w:tc>
          <w:tcPr>
            <w:tcW w:w="5400" w:type="dxa"/>
            <w:vAlign w:val="bottom"/>
          </w:tcPr>
          <w:p>
            <w:pPr>
              <w:spacing w:after="0"/>
              <w:rPr>
                <w:sz w:val="14"/>
                <w:szCs w:val="14"/>
                <w:color w:val="auto"/>
              </w:rPr>
            </w:pPr>
          </w:p>
        </w:tc>
        <w:tc>
          <w:tcPr>
            <w:tcW w:w="1040" w:type="dxa"/>
            <w:vAlign w:val="bottom"/>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9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r>
      <w:tr>
        <w:trPr>
          <w:trHeight w:val="169"/>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38,473,945</w:t>
            </w:r>
          </w:p>
        </w:tc>
        <w:tc>
          <w:tcPr>
            <w:tcW w:w="2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336,485</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(285,744</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50,741</w:t>
            </w:r>
          </w:p>
        </w:tc>
        <w:tc>
          <w:tcPr>
            <w:tcW w:w="100" w:type="dxa"/>
            <w:vAlign w:val="bottom"/>
            <w:shd w:val="clear" w:color="auto" w:fill="CFF0FC"/>
          </w:tcPr>
          <w:p>
            <w:pPr>
              <w:spacing w:after="0"/>
              <w:rPr>
                <w:sz w:val="14"/>
                <w:szCs w:val="14"/>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4,249</w:t>
            </w:r>
          </w:p>
        </w:tc>
        <w:tc>
          <w:tcPr>
            <w:tcW w:w="100" w:type="dxa"/>
            <w:vAlign w:val="bottom"/>
          </w:tcPr>
          <w:p>
            <w:pPr>
              <w:spacing w:after="0"/>
              <w:rPr>
                <w:sz w:val="15"/>
                <w:szCs w:val="15"/>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net of sales commissions and other offering costs of $392</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11,609</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Issuance of common stock upon vesting and settlement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546,141</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(34,092 )</w:t>
            </w: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(34,092 )</w:t>
            </w:r>
          </w:p>
        </w:tc>
      </w:tr>
      <w:tr>
        <w:trPr>
          <w:trHeight w:val="20"/>
        </w:trPr>
        <w:tc>
          <w:tcPr>
            <w:tcW w:w="5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4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as of June 30, 2022</w:t>
            </w: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41,020,086</w:t>
            </w:r>
          </w:p>
        </w:tc>
        <w:tc>
          <w:tcPr>
            <w:tcW w:w="240" w:type="dxa"/>
            <w:vAlign w:val="bottom"/>
          </w:tcPr>
          <w:p>
            <w:pPr>
              <w:spacing w:after="0"/>
              <w:rPr>
                <w:sz w:val="14"/>
                <w:szCs w:val="14"/>
                <w:color w:val="auto"/>
              </w:rPr>
            </w:pPr>
          </w:p>
        </w:tc>
        <w:tc>
          <w:tcPr>
            <w:tcW w:w="760" w:type="dxa"/>
            <w:vAlign w:val="bottom"/>
          </w:tcPr>
          <w:p>
            <w:pPr>
              <w:jc w:val="right"/>
              <w:ind w:right="610"/>
              <w:spacing w:after="0" w:line="155"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352,342</w:t>
            </w:r>
          </w:p>
        </w:tc>
        <w:tc>
          <w:tcPr>
            <w:tcW w:w="220" w:type="dxa"/>
            <w:vAlign w:val="bottom"/>
          </w:tcPr>
          <w:p>
            <w:pPr>
              <w:spacing w:after="0"/>
              <w:rPr>
                <w:sz w:val="14"/>
                <w:szCs w:val="14"/>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gridSpan w:val="2"/>
          </w:tcPr>
          <w:p>
            <w:pPr>
              <w:jc w:val="right"/>
              <w:ind w:right="88"/>
              <w:spacing w:after="0" w:line="155" w:lineRule="exact"/>
              <w:rPr>
                <w:sz w:val="20"/>
                <w:szCs w:val="20"/>
                <w:color w:val="auto"/>
              </w:rPr>
            </w:pPr>
            <w:r>
              <w:rPr>
                <w:rFonts w:ascii="Arial" w:cs="Arial" w:eastAsia="Arial" w:hAnsi="Arial"/>
                <w:sz w:val="14"/>
                <w:szCs w:val="14"/>
                <w:b w:val="1"/>
                <w:bCs w:val="1"/>
                <w:color w:val="auto"/>
              </w:rPr>
              <w:t>(319,836 )</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32,507</w:t>
            </w:r>
          </w:p>
        </w:tc>
        <w:tc>
          <w:tcPr>
            <w:tcW w:w="10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-145415</wp:posOffset>
            </wp:positionV>
            <wp:extent cx="7747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-145415</wp:posOffset>
            </wp:positionV>
            <wp:extent cx="6858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-145415</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68"/>
              <w:spacing w:after="0"/>
              <w:rPr>
                <w:sz w:val="20"/>
                <w:szCs w:val="20"/>
                <w:color w:val="auto"/>
              </w:rPr>
            </w:pPr>
            <w:r>
              <w:rPr>
                <w:rFonts w:ascii="Arial" w:cs="Arial" w:eastAsia="Arial" w:hAnsi="Arial"/>
                <w:sz w:val="13"/>
                <w:szCs w:val="13"/>
                <w:b w:val="1"/>
                <w:bCs w:val="1"/>
                <w:color w:val="auto"/>
              </w:rPr>
              <w:t>Total</w:t>
            </w:r>
          </w:p>
        </w:tc>
      </w:tr>
      <w:tr>
        <w:trPr>
          <w:trHeight w:val="176"/>
        </w:trPr>
        <w:tc>
          <w:tcPr>
            <w:tcW w:w="540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w w:val="88"/>
              </w:rPr>
              <w:t>Stockholders'</w:t>
            </w:r>
          </w:p>
        </w:tc>
      </w:tr>
      <w:tr>
        <w:trPr>
          <w:trHeight w:val="169"/>
        </w:trPr>
        <w:tc>
          <w:tcPr>
            <w:tcW w:w="5400" w:type="dxa"/>
            <w:vAlign w:val="bottom"/>
          </w:tcPr>
          <w:p>
            <w:pPr>
              <w:spacing w:after="0"/>
              <w:rPr>
                <w:sz w:val="14"/>
                <w:szCs w:val="14"/>
                <w:color w:val="auto"/>
              </w:rPr>
            </w:pPr>
          </w:p>
        </w:tc>
        <w:tc>
          <w:tcPr>
            <w:tcW w:w="1040" w:type="dxa"/>
            <w:vAlign w:val="bottom"/>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rPr>
              <w:t>Equity (Deficit)</w:t>
            </w:r>
          </w:p>
        </w:tc>
      </w:tr>
      <w:tr>
        <w:trPr>
          <w:trHeight w:val="169"/>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63,207,507</w:t>
            </w:r>
          </w:p>
        </w:tc>
        <w:tc>
          <w:tcPr>
            <w:tcW w:w="2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402,389</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(401,441</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949</w:t>
            </w:r>
          </w:p>
        </w:tc>
        <w:tc>
          <w:tcPr>
            <w:tcW w:w="100" w:type="dxa"/>
            <w:vAlign w:val="bottom"/>
            <w:shd w:val="clear" w:color="auto" w:fill="CFF0FC"/>
          </w:tcPr>
          <w:p>
            <w:pPr>
              <w:spacing w:after="0"/>
              <w:rPr>
                <w:sz w:val="14"/>
                <w:szCs w:val="14"/>
                <w:color w:val="auto"/>
              </w:rPr>
            </w:pPr>
          </w:p>
        </w:tc>
      </w:tr>
      <w:tr>
        <w:trPr>
          <w:trHeight w:val="175"/>
        </w:trPr>
        <w:tc>
          <w:tcPr>
            <w:tcW w:w="5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3,897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3,897</w:t>
            </w:r>
          </w:p>
        </w:tc>
        <w:tc>
          <w:tcPr>
            <w:tcW w:w="100" w:type="dxa"/>
            <w:vAlign w:val="bottom"/>
          </w:tcPr>
          <w:p>
            <w:pPr>
              <w:spacing w:after="0"/>
              <w:rPr>
                <w:sz w:val="15"/>
                <w:szCs w:val="15"/>
                <w:color w:val="auto"/>
              </w:rPr>
            </w:pPr>
          </w:p>
        </w:tc>
      </w:tr>
      <w:tr>
        <w:trPr>
          <w:trHeight w:val="176"/>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in private placement, net of offering costs of $40</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705,218</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Issuance of common stock upon vesting and settlement of restricted stock units, net</w:t>
            </w:r>
          </w:p>
        </w:tc>
        <w:tc>
          <w:tcPr>
            <w:tcW w:w="1040" w:type="dxa"/>
            <w:vAlign w:val="bottom"/>
          </w:tcPr>
          <w:p>
            <w:pPr>
              <w:jc w:val="right"/>
              <w:spacing w:after="0"/>
              <w:rPr>
                <w:sz w:val="20"/>
                <w:szCs w:val="20"/>
                <w:color w:val="auto"/>
              </w:rPr>
            </w:pPr>
            <w:r>
              <w:rPr>
                <w:rFonts w:ascii="Arial" w:cs="Arial" w:eastAsia="Arial" w:hAnsi="Arial"/>
                <w:sz w:val="14"/>
                <w:szCs w:val="14"/>
                <w:color w:val="auto"/>
              </w:rPr>
              <w:t>483,992</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under ESPP</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35,920</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(42,220 )</w:t>
            </w:r>
          </w:p>
        </w:tc>
        <w:tc>
          <w:tcPr>
            <w:tcW w:w="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(42,220 )</w:t>
            </w:r>
          </w:p>
        </w:tc>
      </w:tr>
      <w:tr>
        <w:trPr>
          <w:trHeight w:val="209"/>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64,432,637</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406,546</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(443,661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(37,114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2022</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Total</w:t>
            </w:r>
          </w:p>
        </w:tc>
      </w:tr>
      <w:tr>
        <w:trPr>
          <w:trHeight w:val="176"/>
        </w:trPr>
        <w:tc>
          <w:tcPr>
            <w:tcW w:w="540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8"/>
              </w:rPr>
              <w:t>Stockholders'</w:t>
            </w:r>
          </w:p>
        </w:tc>
      </w:tr>
      <w:tr>
        <w:trPr>
          <w:trHeight w:val="169"/>
        </w:trPr>
        <w:tc>
          <w:tcPr>
            <w:tcW w:w="5400" w:type="dxa"/>
            <w:vAlign w:val="bottom"/>
          </w:tcPr>
          <w:p>
            <w:pPr>
              <w:spacing w:after="0"/>
              <w:rPr>
                <w:sz w:val="14"/>
                <w:szCs w:val="14"/>
                <w:color w:val="auto"/>
              </w:rPr>
            </w:pPr>
          </w:p>
        </w:tc>
        <w:tc>
          <w:tcPr>
            <w:tcW w:w="1040" w:type="dxa"/>
            <w:vAlign w:val="bottom"/>
          </w:tcPr>
          <w:p>
            <w:pPr>
              <w:jc w:val="right"/>
              <w:ind w:right="249"/>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3"/>
                <w:szCs w:val="13"/>
                <w:b w:val="1"/>
                <w:bCs w:val="1"/>
                <w:color w:val="auto"/>
              </w:rPr>
              <w:t>Deficit</w:t>
            </w: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rPr>
              <w:t>Equity (Deficit)</w:t>
            </w:r>
          </w:p>
        </w:tc>
      </w:tr>
      <w:tr>
        <w:trPr>
          <w:trHeight w:val="169"/>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38,473,945</w:t>
            </w:r>
          </w:p>
        </w:tc>
        <w:tc>
          <w:tcPr>
            <w:tcW w:w="24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331,032</w:t>
            </w:r>
          </w:p>
        </w:tc>
        <w:tc>
          <w:tcPr>
            <w:tcW w:w="2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(235,649</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95,383</w:t>
            </w:r>
          </w:p>
        </w:tc>
        <w:tc>
          <w:tcPr>
            <w:tcW w:w="100" w:type="dxa"/>
            <w:vAlign w:val="bottom"/>
            <w:shd w:val="clear" w:color="auto" w:fill="CFF0FC"/>
          </w:tcPr>
          <w:p>
            <w:pPr>
              <w:spacing w:after="0"/>
              <w:rPr>
                <w:sz w:val="14"/>
                <w:szCs w:val="14"/>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Adjustment to beginning accumulated deficit from the adoption of ASC 842</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9,702</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9,702</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Issuance of common stock upon vesting and settlement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546,141</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net of sales commissions and other offering costs of $392</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11,608</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11,609</w:t>
            </w:r>
          </w:p>
        </w:tc>
        <w:tc>
          <w:tcPr>
            <w:tcW w:w="100" w:type="dxa"/>
            <w:vAlign w:val="bottom"/>
            <w:shd w:val="clear" w:color="auto" w:fill="CFF0FC"/>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(84,409 )</w:t>
            </w:r>
          </w:p>
        </w:tc>
        <w:tc>
          <w:tcPr>
            <w:tcW w:w="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(84,409 )</w:t>
            </w:r>
          </w:p>
        </w:tc>
      </w:tr>
      <w:tr>
        <w:trPr>
          <w:trHeight w:val="209"/>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41,020,086</w:t>
            </w:r>
          </w:p>
        </w:tc>
        <w:tc>
          <w:tcPr>
            <w:tcW w:w="2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352,342</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(319,836</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32,507</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For the Six Months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8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Ended June 30,</w:t>
            </w:r>
          </w:p>
        </w:tc>
        <w:tc>
          <w:tcPr>
            <w:tcW w:w="9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8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(42,220 )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(84,409 )</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 license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3,897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(1,324 )</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(8,461 )</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(7,101 )</w:t>
            </w:r>
          </w:p>
        </w:tc>
        <w:tc>
          <w:tcPr>
            <w:tcW w:w="4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(38,952 )</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(74,292 )</w:t>
            </w:r>
          </w:p>
        </w:tc>
        <w:tc>
          <w:tcPr>
            <w:tcW w:w="0" w:type="dxa"/>
            <w:vAlign w:val="bottom"/>
          </w:tcPr>
          <w:p>
            <w:pPr>
              <w:spacing w:after="0"/>
              <w:rPr>
                <w:sz w:val="1"/>
                <w:szCs w:val="1"/>
                <w:color w:val="auto"/>
              </w:rPr>
            </w:pPr>
          </w:p>
        </w:tc>
      </w:tr>
      <w:tr>
        <w:trPr>
          <w:trHeight w:val="236"/>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Purchase of research and development license</w:t>
            </w:r>
          </w:p>
        </w:tc>
        <w:tc>
          <w:tcPr>
            <w:tcW w:w="9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(3,250 )</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(3,852 )</w:t>
            </w:r>
          </w:p>
        </w:tc>
        <w:tc>
          <w:tcPr>
            <w:tcW w:w="4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(16,290 )</w:t>
            </w:r>
          </w:p>
        </w:tc>
        <w:tc>
          <w:tcPr>
            <w:tcW w:w="0" w:type="dxa"/>
            <w:vAlign w:val="bottom"/>
          </w:tcPr>
          <w:p>
            <w:pPr>
              <w:spacing w:after="0"/>
              <w:rPr>
                <w:sz w:val="1"/>
                <w:szCs w:val="1"/>
                <w:color w:val="auto"/>
              </w:rPr>
            </w:pPr>
          </w:p>
        </w:tc>
      </w:tr>
      <w:tr>
        <w:trPr>
          <w:trHeight w:val="20"/>
        </w:trPr>
        <w:tc>
          <w:tcPr>
            <w:tcW w:w="78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(3,852 )</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(19,540 )</w:t>
            </w: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Proceeds from issuance of common stock, net of sales commissions</w:t>
            </w:r>
          </w:p>
        </w:tc>
        <w:tc>
          <w:tcPr>
            <w:tcW w:w="9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from private placement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Payment of shelf registration costs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(387 )</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common stock issuances under ESPP</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(156 )</w:t>
            </w:r>
          </w:p>
        </w:tc>
        <w:tc>
          <w:tcPr>
            <w:tcW w:w="4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(766 )</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(42,797 )</w:t>
            </w: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(82,864 )</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the beginning of the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90,517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151,740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the end of the period</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47,720</w:t>
            </w: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the end of the period</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47,720</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68,876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in accounts payable and accrued expenses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liabilities</w:t>
            </w:r>
          </w:p>
        </w:tc>
        <w:tc>
          <w:tcPr>
            <w:tcW w:w="9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 costs not yet paid</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Issuance of warrants in connection with private placement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research and development license not yet paid</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-4131310</wp:posOffset>
            </wp:positionV>
            <wp:extent cx="685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-3496945</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-2236470</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-1919605</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-1259205</wp:posOffset>
            </wp:positionV>
            <wp:extent cx="1165860"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5860" cy="17970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18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Agreement</w:t>
      </w:r>
    </w:p>
    <w:p>
      <w:pPr>
        <w:spacing w:after="0" w:line="117"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Any shares of the Company’s common stock will be issued pursuant to the Company’s shelf registration statement on Form S-3 (File No. 333-260069) (the “Shelf Registration Statement”), which the Securities and Exchange Commission ("SEC") declared effective on October 14, 2021; however the Company’s use of the Shelf Registration Statement will be limited for so long as the Company is subject to General Instruction I.B.6 of Form S-3, which limits the amounts that the Company may sell under the Shelf Registration Statement and in accordance with the Sales Agreement.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560" w:firstLine="749"/>
        <w:spacing w:after="0" w:line="342" w:lineRule="auto"/>
        <w:rPr>
          <w:sz w:val="20"/>
          <w:szCs w:val="20"/>
          <w:color w:val="auto"/>
        </w:rPr>
      </w:pPr>
      <w:r>
        <w:rPr>
          <w:rFonts w:ascii="Arial" w:cs="Arial" w:eastAsia="Arial" w:hAnsi="Arial"/>
          <w:sz w:val="16"/>
          <w:szCs w:val="16"/>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spacing w:after="0" w:line="124"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 xml:space="preserve">Pursuant to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the Company is required to and does evaluate at each annual and interim period whether there are conditions or events, considered in the aggregate, that raise substantial doubt about its ability to continue as a going concern within one year after the date that the condensed consolidated financial statements are issued.</w:t>
      </w:r>
    </w:p>
    <w:p>
      <w:pPr>
        <w:spacing w:after="0" w:line="184"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The assessment of the Company’s ability to meet its future obligations is inherently judgmental, subjective and susceptible to change. Based on the Company’s current forecast, management believes that it will have sufficient cash, including the anticipated net proceeds from the private placement expected to close in August 2023 (See Note 15), to maintain the Company’s planned operations for the next twelve months following the issuance of these condensed consolidated financial statements. However given the inherent uncertainties in the forecast, the Company has considered both quantitative and qualitative factors that are known or reasonably knowable as of the date that these condensed consolidated financial statements are issued and concluded that there are conditions present in the aggregate that raise substantial doubt about the Company’s ability to continue as a going concern.</w:t>
      </w:r>
    </w:p>
    <w:p>
      <w:pPr>
        <w:spacing w:after="0" w:line="16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The Company has incurred operating losses since inception and expects to continue to incur significant operating losses for the foreseeable future and may never become profitable. As of June 30, 2023, the Company had an accumulated deficit of $443.7 million. Losses are expected to continue as the Company continues to invest in its research and development activities. 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2022, filed with the SEC on March 28, 2023 (the “2022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2022,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2022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and the allocation of consideration received in connection with the Astellas Transactions.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as disclosed in Note 2 to the audited consolidated financial statements included in the 2022 Annual Report, except as described below.</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w:t>
      </w:r>
      <w:r>
        <w:rPr>
          <w:rFonts w:ascii="Arial" w:cs="Arial" w:eastAsia="Arial" w:hAnsi="Arial"/>
          <w:sz w:val="16"/>
          <w:szCs w:val="16"/>
          <w:color w:val="auto"/>
        </w:rPr>
        <w:t>(“ASC 815”). The assessment considers whether the warrants are freestanding financial instruments pursuant to ASC 480, meet the definition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while the warrants are outstanding.</w:t>
      </w:r>
    </w:p>
    <w:p>
      <w:pPr>
        <w:spacing w:after="0" w:line="58"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classifies the warrants as liabilities at their fair value and adjusts the warrants to fair value at each reporting period. This liability is subject to remeasurement at each balance sheet date until the warrants are exercised or expire, and any change in fair value is recognized in the Company’s condensed consolidated statement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Comprehensive loss is equal to net loss as presented in the accompanying condensed consolidated statements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80" w:firstLine="749"/>
        <w:spacing w:after="0" w:line="311" w:lineRule="auto"/>
        <w:rPr>
          <w:sz w:val="20"/>
          <w:szCs w:val="20"/>
          <w:color w:val="auto"/>
        </w:rPr>
      </w:pPr>
      <w:r>
        <w:rPr>
          <w:rFonts w:ascii="Arial" w:cs="Arial" w:eastAsia="Arial" w:hAnsi="Arial"/>
          <w:sz w:val="16"/>
          <w:szCs w:val="16"/>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w:t>
      </w:r>
    </w:p>
    <w:p>
      <w:pPr>
        <w:spacing w:after="0" w:line="149"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On December 31, 2022, the Company adopted ASU 2016-02 using the modified retrospective approach and utilizing the effective date as its date of initial application. The Company has retrospectively changed its previously issued condensed consolidated financial statements as of June 30, 2022 as presented within the Company's June 30, 2022 Quarterly Report on Form 10-Q to reflect the adoption of ASC 842 on January 1, 2022. The condensed consolidated financial statements for the three and six months ended June 30, 2022 presented herein differ from the Company's condensed consolidated financial statements included in the Company's June 30, 2022 Quarterly Report on Form 10-Q as those condensed consolidated financial statements were prepared using the former accounting standard referred to as ASC Topic 840, Leases.</w:t>
      </w:r>
    </w:p>
    <w:p>
      <w:pPr>
        <w:spacing w:after="0" w:line="178"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 For leases that existed prior to the date of initial application of ASC 842 (which were previously classified as operating leases), a lessee may elect to use either the total lease term measured at lease inception under ASC 840 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81"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The adoption of this standard resulted in the recognition of operating lease right-of-use assets and operating lease liabilities of $18.4 million and $19.1 million, respectively, on the Company’s condensed consolidated balance sheet at adoption relating to its operating leases. The lease liabilities were determined based on the present value of the remaining minimum lease payments. Upon adoption of ASC 842, the Company also (i) derecognized the build-to-suit lease asset of $26.3 million previously presented in property, plant and equipment, (ii) derecognized the build-to-suit lease liability of $26.5 million, and (iii) eliminated $0.7 million of deferred rent liabilities and tenant improvement allowances as of January 1, 2022, as these liabilities are reflected in the operating lease right-of-use assets. In adopting ASU 2016-02, the Company recorded a total one-time adjustment of $0.2 million to the opening balance of accumulated deficit as of January 1, 2022, related to the de-recognition of the build-to-suit lease asset and related build-to-suit lease obligation. The adoption did not have a material impact on accumulated deficit and on the condensed consolidated statements of operations and cash flows.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right="200" w:firstLine="749"/>
        <w:spacing w:after="0" w:line="277" w:lineRule="auto"/>
        <w:rPr>
          <w:sz w:val="20"/>
          <w:szCs w:val="20"/>
          <w:color w:val="auto"/>
        </w:rPr>
      </w:pPr>
      <w:r>
        <w:rPr>
          <w:rFonts w:ascii="Arial" w:cs="Arial" w:eastAsia="Arial" w:hAnsi="Arial"/>
          <w:sz w:val="18"/>
          <w:szCs w:val="18"/>
          <w:color w:val="auto"/>
        </w:rPr>
        <w:t>The following table summarizes the effect of the adoption of ASC 842 on the condensed consolidated statement of operations and statement of cash flows for the six months ended June 30, 2022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After ASC 842</w:t>
            </w:r>
          </w:p>
        </w:tc>
      </w:tr>
      <w:tr>
        <w:trPr>
          <w:trHeight w:val="216"/>
        </w:trPr>
        <w:tc>
          <w:tcPr>
            <w:tcW w:w="628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Pre ASC 842 Six</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Six Months</w:t>
            </w:r>
          </w:p>
        </w:tc>
      </w:t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Months Ended</w:t>
            </w:r>
          </w:p>
        </w:tc>
        <w:tc>
          <w:tcPr>
            <w:tcW w:w="3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ASC 842</w:t>
            </w:r>
          </w:p>
        </w:tc>
        <w:tc>
          <w:tcPr>
            <w:tcW w:w="2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r>
      <w:tr>
        <w:trPr>
          <w:trHeight w:val="241"/>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June 30, 2022</w:t>
            </w:r>
          </w:p>
        </w:tc>
        <w:tc>
          <w:tcPr>
            <w:tcW w:w="3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Adjustments</w:t>
            </w: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June 30, 2022</w:t>
            </w:r>
          </w:p>
        </w:tc>
      </w:tr>
      <w:tr>
        <w:trPr>
          <w:trHeight w:val="24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4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61,688</w:t>
            </w: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(1,761 )</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(1,415 )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(83,984 )</w:t>
            </w:r>
          </w:p>
        </w:tc>
        <w:tc>
          <w:tcPr>
            <w:tcW w:w="3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(425 )</w:t>
            </w: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(84,409 )</w:t>
            </w:r>
          </w:p>
        </w:tc>
      </w:tr>
      <w:tr>
        <w:trPr>
          <w:trHeight w:val="256"/>
        </w:trPr>
        <w:tc>
          <w:tcPr>
            <w:tcW w:w="6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30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(7,958 )</w:t>
            </w:r>
          </w:p>
        </w:tc>
        <w:tc>
          <w:tcPr>
            <w:tcW w:w="3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(503 )</w:t>
            </w: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(8,461 )</w:t>
            </w:r>
          </w:p>
        </w:tc>
      </w:tr>
      <w:tr>
        <w:trPr>
          <w:trHeight w:val="249"/>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(1,046 )</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(766 )</w:t>
            </w:r>
          </w:p>
        </w:tc>
      </w:tr>
      <w:tr>
        <w:trPr>
          <w:trHeight w:val="249"/>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Right-of-use assets obtained in exchange for lease liabilities</w:t>
            </w:r>
          </w:p>
        </w:tc>
        <w:tc>
          <w:tcPr>
            <w:tcW w:w="1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right="500" w:firstLine="749"/>
        <w:spacing w:after="0" w:line="258" w:lineRule="auto"/>
        <w:rPr>
          <w:sz w:val="20"/>
          <w:szCs w:val="20"/>
          <w:color w:val="auto"/>
        </w:rPr>
      </w:pPr>
      <w:r>
        <w:rPr>
          <w:rFonts w:ascii="Arial" w:cs="Arial" w:eastAsia="Arial" w:hAnsi="Arial"/>
          <w:sz w:val="18"/>
          <w:szCs w:val="18"/>
          <w:color w:val="auto"/>
        </w:rPr>
        <w:t>The following table summarizes the effect of the adoption of ASC 842 on the condensed consolidated statement of operations for the three months ended June 30,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Pre ASC 842</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After ASC 842</w:t>
            </w:r>
          </w:p>
        </w:tc>
      </w:t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Ended</w:t>
            </w:r>
          </w:p>
        </w:tc>
        <w:tc>
          <w:tcPr>
            <w:tcW w:w="3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ASC 842</w:t>
            </w: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2022</w:t>
            </w:r>
          </w:p>
        </w:tc>
        <w:tc>
          <w:tcPr>
            <w:tcW w:w="320" w:type="dxa"/>
            <w:vAlign w:val="bottom"/>
          </w:tcPr>
          <w:p>
            <w:pPr>
              <w:spacing w:after="0"/>
              <w:rPr>
                <w:sz w:val="20"/>
                <w:szCs w:val="20"/>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Adjustments</w:t>
            </w:r>
          </w:p>
        </w:tc>
        <w:tc>
          <w:tcPr>
            <w:tcW w:w="2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June 30, 2022</w:t>
            </w:r>
          </w:p>
        </w:tc>
      </w:tr>
      <w:tr>
        <w:trPr>
          <w:trHeight w:val="24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4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23,118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(912 )</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(33,873 )</w:t>
            </w:r>
          </w:p>
        </w:tc>
        <w:tc>
          <w:tcPr>
            <w:tcW w:w="3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(219 )</w:t>
            </w: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(34,092 )</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3—Balance Sheet Components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8"/>
                <w:szCs w:val="18"/>
                <w:color w:val="auto"/>
              </w:rPr>
            </w:pPr>
          </w:p>
        </w:tc>
      </w:tr>
      <w:tr>
        <w:trPr>
          <w:trHeight w:val="241"/>
        </w:trPr>
        <w:tc>
          <w:tcPr>
            <w:tcW w:w="4500" w:type="dxa"/>
            <w:vAlign w:val="bottom"/>
          </w:tcPr>
          <w:p>
            <w:pPr>
              <w:spacing w:after="0"/>
              <w:rPr>
                <w:sz w:val="20"/>
                <w:szCs w:val="20"/>
                <w:color w:val="auto"/>
              </w:rPr>
            </w:pPr>
          </w:p>
        </w:tc>
        <w:tc>
          <w:tcPr>
            <w:tcW w:w="4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research and development</w:t>
            </w:r>
          </w:p>
        </w:tc>
        <w:tc>
          <w:tcPr>
            <w:tcW w:w="324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4,470</w:t>
            </w:r>
          </w:p>
        </w:tc>
        <w:tc>
          <w:tcPr>
            <w:tcW w:w="3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4,840</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Prepaid clinical trial</w:t>
            </w: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2,972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offering costs</w:t>
            </w:r>
          </w:p>
        </w:tc>
        <w:tc>
          <w:tcPr>
            <w:tcW w:w="3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bonus</w:t>
            </w:r>
          </w:p>
        </w:tc>
        <w:tc>
          <w:tcPr>
            <w:tcW w:w="3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r>
      <w:tr>
        <w:trPr>
          <w:trHeight w:val="270"/>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3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9,032</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5"/>
        </w:trPr>
        <w:tc>
          <w:tcPr>
            <w:tcW w:w="4500" w:type="dxa"/>
            <w:vAlign w:val="bottom"/>
          </w:tcPr>
          <w:p>
            <w:pPr>
              <w:spacing w:after="0"/>
              <w:rPr>
                <w:sz w:val="24"/>
                <w:szCs w:val="24"/>
                <w:color w:val="auto"/>
              </w:rPr>
            </w:pPr>
          </w:p>
        </w:tc>
        <w:tc>
          <w:tcPr>
            <w:tcW w:w="3240" w:type="dxa"/>
            <w:vAlign w:val="bottom"/>
          </w:tcPr>
          <w:p>
            <w:pPr>
              <w:jc w:val="right"/>
              <w:ind w:right="199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-521970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-504825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7740" w:type="dxa"/>
            <w:vAlign w:val="bottom"/>
          </w:tcPr>
          <w:p>
            <w:pPr>
              <w:ind w:left="760"/>
              <w:spacing w:after="0"/>
              <w:rPr>
                <w:sz w:val="20"/>
                <w:szCs w:val="20"/>
                <w:color w:val="auto"/>
              </w:rPr>
            </w:pPr>
            <w:r>
              <w:rPr>
                <w:rFonts w:ascii="Arial" w:cs="Arial" w:eastAsia="Arial" w:hAnsi="Arial"/>
                <w:sz w:val="18"/>
                <w:szCs w:val="18"/>
                <w:color w:val="auto"/>
              </w:rPr>
              <w:t>Property, plant and equipment, net consisted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0"/>
                <w:szCs w:val="20"/>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16,605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(2,311 )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(1,642 )</w:t>
            </w:r>
          </w:p>
        </w:tc>
      </w:tr>
      <w:tr>
        <w:trPr>
          <w:trHeight w:val="236"/>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14,139</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14,963</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-505460</wp:posOffset>
            </wp:positionV>
            <wp:extent cx="6858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In November 2022, the Company recognized a non-cash impairment charge of $36.4 million for the manufacturing facility asset group, of which $26.3 million relates to construction in progress and finance lease right-of-use assets. The impairment charge was estimated using a discounted cash flow model and recorded in the consolidated statements of operations for the year ended December 31, 2022. Property, plant and equipment, net includes $1.1 million and $1.3 million of assets capitalized as finance leases as of June 30, 2023 and December 31, 2022, respectively.</w:t>
      </w:r>
    </w:p>
    <w:p>
      <w:pPr>
        <w:spacing w:after="0" w:line="15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Depreciation expense was $0.4 million and $0.3 million for the three months ended June 30, 2023 and 2022, respectively. Depreciation expense was $0.7 million and $0.5 million for the six months ended June 30, 2023 and 2022,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7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24"/>
                <w:szCs w:val="24"/>
                <w:color w:val="auto"/>
              </w:rPr>
            </w:pPr>
          </w:p>
        </w:tc>
      </w:tr>
      <w:tr>
        <w:trPr>
          <w:trHeight w:val="241"/>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7,016</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Accrued license fees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clinical trial</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severance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Lease liabilities, current portion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r>
      <w:tr>
        <w:trPr>
          <w:trHeight w:val="27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19,632</w:t>
            </w: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Dallas Lease</w:t>
      </w:r>
    </w:p>
    <w:p>
      <w:pPr>
        <w:spacing w:after="0" w:line="12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w:t>
      </w:r>
    </w:p>
    <w:p>
      <w:pPr>
        <w:spacing w:after="0" w:line="184"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Dallas Lease commenced on May 27, 2021, and has a term of approximately ten years. The Company has an option to extend the term of the Dallas Lease for one additional period of five years.</w:t>
      </w:r>
    </w:p>
    <w:p>
      <w:pPr>
        <w:spacing w:after="0" w:line="170"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b w:val="1"/>
          <w:bCs w:val="1"/>
          <w:color w:val="auto"/>
        </w:rPr>
        <w:t>Dallas Lease Expansion</w:t>
      </w:r>
    </w:p>
    <w:p>
      <w:pPr>
        <w:spacing w:after="0" w:line="12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On December 14, 2021, the Company amended the Dallas Lease (the “Dallas Lease Amendment”) with the Dallas Landlord, pursuant to which the Company will lease approximately 18,000 square feet of office space adjacent to the Office Space at 3000 Pegasus Park Drive, Dallas, Texas 75247 (the “Expansion Premises”).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Dallas Lease Amendment commenced on July 1, 2022, and has a term of approximately ten years.</w:t>
      </w:r>
    </w:p>
    <w:p>
      <w:pPr>
        <w:spacing w:after="0" w:line="225"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The Company is obligated to pay operating costs and utilities applicable to the Expansion Premises. Total future minimum lease payments under the Dallas Lease Amendment over the initial 10-year term are approximately $6.0 million. The Company will be responsible for costs of constructing interior improvements within the Expansion Premises that exceed a $40.00 per rentable square foot construction allowance provided by the Dallas Landlord.</w:t>
      </w:r>
    </w:p>
    <w:p>
      <w:pPr>
        <w:spacing w:after="0" w:line="191" w:lineRule="exact"/>
        <w:rPr>
          <w:sz w:val="20"/>
          <w:szCs w:val="20"/>
          <w:color w:val="auto"/>
        </w:rPr>
      </w:pPr>
    </w:p>
    <w:p>
      <w:pPr>
        <w:ind w:right="520" w:firstLine="749"/>
        <w:spacing w:after="0" w:line="226" w:lineRule="auto"/>
        <w:rPr>
          <w:sz w:val="20"/>
          <w:szCs w:val="20"/>
          <w:color w:val="auto"/>
        </w:rPr>
      </w:pPr>
      <w:r>
        <w:rPr>
          <w:rFonts w:ascii="Arial" w:cs="Arial" w:eastAsia="Arial" w:hAnsi="Arial"/>
          <w:sz w:val="18"/>
          <w:szCs w:val="18"/>
          <w:color w:val="auto"/>
        </w:rPr>
        <w:t>The Company has a right of first refusal with respect to certain additional office space on the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 at 3000 Pegasus Park Drive, Dallas, Texas 75247 before the Dallas Landlord accepts any offer for such space.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Durham Lease</w:t>
      </w:r>
    </w:p>
    <w:p>
      <w:pPr>
        <w:spacing w:after="0" w:line="121"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8"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The Company was not required to provide a security deposit in connection with its entry into the Durham Lease. The Company will be responsible for constructing interior improvements within the Facility. The Company was required to place $2.6 million in an escrow account which will be released when the improvements are substantially complete. The escrow funds are recorded as restricted cash on the condensed consolidated balance sheet as of June 30, 2023.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all lease costs recognized under ASC 842</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following table summarizes the lease costs recognized under ASC 842 and other information pertaining to the Company's operating leases for the three and six months ended June 30, 2023 and 2022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20" w:type="dxa"/>
            <w:vAlign w:val="bottom"/>
          </w:tcPr>
          <w:p>
            <w:pPr>
              <w:spacing w:after="0"/>
              <w:rPr>
                <w:sz w:val="15"/>
                <w:szCs w:val="15"/>
                <w:color w:val="auto"/>
              </w:rPr>
            </w:pPr>
          </w:p>
        </w:tc>
        <w:tc>
          <w:tcPr>
            <w:tcW w:w="27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4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Pr>
          <w:p>
            <w:pPr>
              <w:spacing w:after="0"/>
              <w:rPr>
                <w:sz w:val="15"/>
                <w:szCs w:val="15"/>
                <w:color w:val="auto"/>
              </w:rPr>
            </w:pPr>
          </w:p>
        </w:tc>
      </w:tr>
      <w:tr>
        <w:trPr>
          <w:trHeight w:val="241"/>
        </w:trPr>
        <w:tc>
          <w:tcPr>
            <w:tcW w:w="4120" w:type="dxa"/>
            <w:vAlign w:val="bottom"/>
          </w:tcPr>
          <w:p>
            <w:pPr>
              <w:spacing w:after="0"/>
              <w:rPr>
                <w:sz w:val="20"/>
                <w:szCs w:val="20"/>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2023</w:t>
            </w:r>
          </w:p>
        </w:tc>
        <w:tc>
          <w:tcPr>
            <w:tcW w:w="44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4"/>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80" w:type="dxa"/>
            <w:vAlign w:val="bottom"/>
            <w:tcBorders>
              <w:top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Variable lease cost</w:t>
            </w:r>
          </w:p>
        </w:tc>
        <w:tc>
          <w:tcPr>
            <w:tcW w:w="10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80" w:type="dxa"/>
            <w:vAlign w:val="bottom"/>
          </w:tcPr>
          <w:p>
            <w:pPr>
              <w:jc w:val="right"/>
              <w:ind w:right="8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951</w:t>
            </w:r>
          </w:p>
        </w:tc>
        <w:tc>
          <w:tcPr>
            <w:tcW w:w="120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729</w:t>
            </w:r>
          </w:p>
        </w:tc>
        <w:tc>
          <w:tcPr>
            <w:tcW w:w="6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1,846</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-187960</wp:posOffset>
            </wp:positionV>
            <wp:extent cx="7683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7747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2"/>
          </w:tcPr>
          <w:p>
            <w:pPr>
              <w:ind w:left="760"/>
              <w:spacing w:after="0"/>
              <w:rPr>
                <w:sz w:val="20"/>
                <w:szCs w:val="20"/>
                <w:color w:val="auto"/>
              </w:rPr>
            </w:pPr>
            <w:r>
              <w:rPr>
                <w:rFonts w:ascii="Arial" w:cs="Arial" w:eastAsia="Arial" w:hAnsi="Arial"/>
                <w:sz w:val="18"/>
                <w:szCs w:val="18"/>
                <w:color w:val="auto"/>
                <w:w w:val="99"/>
              </w:rPr>
              <w:t>Supplemental information related to the remaining lease term and discount rate are as follows: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0"/>
        </w:trPr>
        <w:tc>
          <w:tcPr>
            <w:tcW w:w="6260" w:type="dxa"/>
            <w:vAlign w:val="bottom"/>
          </w:tcPr>
          <w:p>
            <w:pPr>
              <w:spacing w:after="0"/>
              <w:rPr>
                <w:sz w:val="24"/>
                <w:szCs w:val="24"/>
                <w:color w:val="auto"/>
              </w:rPr>
            </w:pPr>
          </w:p>
        </w:tc>
        <w:tc>
          <w:tcPr>
            <w:tcW w:w="2020" w:type="dxa"/>
            <w:vAlign w:val="bottom"/>
          </w:tcPr>
          <w:p>
            <w:pPr>
              <w:ind w:left="780"/>
              <w:spacing w:after="0"/>
              <w:rPr>
                <w:sz w:val="20"/>
                <w:szCs w:val="20"/>
                <w:color w:val="auto"/>
              </w:rPr>
            </w:pPr>
            <w:r>
              <w:rPr>
                <w:rFonts w:ascii="Arial" w:cs="Arial" w:eastAsia="Arial" w:hAnsi="Arial"/>
                <w:sz w:val="18"/>
                <w:szCs w:val="18"/>
                <w:b w:val="1"/>
                <w:bCs w:val="1"/>
                <w:color w:val="auto"/>
              </w:rPr>
              <w:t>June 30, 2023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December 31, 2022</w:t>
            </w:r>
          </w:p>
        </w:tc>
      </w:tr>
      <w:tr>
        <w:trPr>
          <w:trHeight w:val="243"/>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 (in years) - Finance leases</w:t>
            </w:r>
          </w:p>
        </w:tc>
        <w:tc>
          <w:tcPr>
            <w:tcW w:w="20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(in years) - Operating leases</w:t>
            </w:r>
          </w:p>
        </w:tc>
        <w:tc>
          <w:tcPr>
            <w:tcW w:w="60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Finance leases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10.52 %</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10.51 %</w:t>
            </w:r>
          </w:p>
        </w:tc>
      </w:tr>
      <w:tr>
        <w:trPr>
          <w:trHeight w:val="243"/>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7.75 %</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7.72 %</w:t>
            </w:r>
          </w:p>
        </w:tc>
      </w:tr>
      <w:tr>
        <w:trPr>
          <w:trHeight w:val="661"/>
        </w:trPr>
        <w:tc>
          <w:tcPr>
            <w:tcW w:w="6260" w:type="dxa"/>
            <w:vAlign w:val="bottom"/>
          </w:tcPr>
          <w:p>
            <w:pPr>
              <w:ind w:left="5540"/>
              <w:spacing w:after="0"/>
              <w:rPr>
                <w:sz w:val="20"/>
                <w:szCs w:val="20"/>
                <w:color w:val="auto"/>
              </w:rPr>
            </w:pPr>
            <w:r>
              <w:rPr>
                <w:rFonts w:ascii="Arial" w:cs="Arial" w:eastAsia="Arial" w:hAnsi="Arial"/>
                <w:sz w:val="18"/>
                <w:szCs w:val="18"/>
                <w:color w:val="auto"/>
              </w:rPr>
              <w:t>11</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626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13" w:name="page14"/>
    <w:bookmarkEnd w:id="13"/>
    <w:p>
      <w:pPr>
        <w:ind w:left="760"/>
        <w:spacing w:after="0"/>
        <w:rPr>
          <w:sz w:val="20"/>
          <w:szCs w:val="20"/>
          <w:color w:val="auto"/>
        </w:rPr>
      </w:pPr>
      <w:r>
        <w:rPr>
          <w:rFonts w:ascii="Arial" w:cs="Arial" w:eastAsia="Arial" w:hAnsi="Arial"/>
          <w:sz w:val="18"/>
          <w:szCs w:val="18"/>
          <w:color w:val="auto"/>
        </w:rPr>
        <w:t>Supplemental cash flow information related to the Company's operating leases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4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For the Six Months Ended June 30,</w:t>
            </w:r>
          </w:p>
        </w:tc>
        <w:tc>
          <w:tcPr>
            <w:tcW w:w="100" w:type="dxa"/>
            <w:vAlign w:val="bottom"/>
          </w:tcPr>
          <w:p>
            <w:pPr>
              <w:spacing w:after="0"/>
              <w:rPr>
                <w:sz w:val="20"/>
                <w:szCs w:val="20"/>
                <w:color w:val="auto"/>
              </w:rPr>
            </w:pPr>
          </w:p>
        </w:tc>
      </w:tr>
      <w:tr>
        <w:trPr>
          <w:trHeight w:val="263"/>
        </w:trPr>
        <w:tc>
          <w:tcPr>
            <w:tcW w:w="594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2"/>
                <w:szCs w:val="22"/>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As of June 30, 2023, future minimum commitments under ASC 842 under the Company's operating and finance leases were as follows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500" w:type="dxa"/>
            <w:vAlign w:val="bottom"/>
          </w:tcPr>
          <w:p>
            <w:pPr>
              <w:spacing w:after="0"/>
              <w:rPr>
                <w:sz w:val="20"/>
                <w:szCs w:val="20"/>
                <w:color w:val="auto"/>
              </w:rPr>
            </w:pPr>
          </w:p>
        </w:tc>
        <w:tc>
          <w:tcPr>
            <w:tcW w:w="224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Operating</w:t>
            </w:r>
          </w:p>
        </w:tc>
        <w:tc>
          <w:tcPr>
            <w:tcW w:w="540" w:type="dxa"/>
            <w:vAlign w:val="bottom"/>
          </w:tcPr>
          <w:p>
            <w:pPr>
              <w:spacing w:after="0"/>
              <w:rPr>
                <w:sz w:val="20"/>
                <w:szCs w:val="20"/>
                <w:color w:val="auto"/>
              </w:rPr>
            </w:pPr>
          </w:p>
        </w:tc>
        <w:tc>
          <w:tcPr>
            <w:tcW w:w="214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Finance</w:t>
            </w:r>
          </w:p>
        </w:tc>
      </w:tr>
      <w:tr>
        <w:trPr>
          <w:trHeight w:val="243"/>
        </w:trPr>
        <w:tc>
          <w:tcPr>
            <w:tcW w:w="58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19,721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tcBorders>
              <w:top w:val="single" w:sz="8" w:color="auto"/>
            </w:tcBorders>
            <w:shd w:val="clear" w:color="auto" w:fill="CFF0FC"/>
          </w:tcPr>
          <w:p>
            <w:pPr>
              <w:spacing w:after="0"/>
              <w:rPr>
                <w:sz w:val="21"/>
                <w:szCs w:val="21"/>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32,147</w:t>
            </w:r>
          </w:p>
        </w:tc>
        <w:tc>
          <w:tcPr>
            <w:tcW w:w="10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20"/>
                <w:szCs w:val="20"/>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(11,318 )</w:t>
            </w:r>
          </w:p>
        </w:tc>
        <w:tc>
          <w:tcPr>
            <w:tcW w:w="540" w:type="dxa"/>
            <w:vAlign w:val="bottom"/>
          </w:tcPr>
          <w:p>
            <w:pPr>
              <w:spacing w:after="0"/>
              <w:rPr>
                <w:sz w:val="20"/>
                <w:szCs w:val="20"/>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color w:val="auto"/>
              </w:rPr>
              <w:t>(273 )</w:t>
            </w:r>
          </w:p>
        </w:tc>
      </w:tr>
      <w:tr>
        <w:trPr>
          <w:trHeight w:val="28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20,829</w:t>
            </w:r>
          </w:p>
        </w:tc>
        <w:tc>
          <w:tcPr>
            <w:tcW w:w="1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Lease liabilities, current</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non-current</w:t>
            </w:r>
          </w:p>
        </w:tc>
        <w:tc>
          <w:tcPr>
            <w:tcW w:w="500" w:type="dxa"/>
            <w:vAlign w:val="bottom"/>
            <w:tcBorders>
              <w:bottom w:val="single" w:sz="8" w:color="auto"/>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19,528</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-521970</wp:posOffset>
            </wp:positionV>
            <wp:extent cx="176593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65935" cy="17970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5—Astellas Agreements</w:t>
      </w:r>
    </w:p>
    <w:p>
      <w:pPr>
        <w:spacing w:after="0" w:line="121"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On October 21, 2022 (the “Effective Date”), the Company entered into the Option Agreement with 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GAN or any other gene therapy product for use in the treatment of GAN that is controlled by Taysha or any of its affiliates or with respect to which the Company or any of its affiliates controls intellectual property rights covering the exploitation thereof, or a GAN Product, and (B) under any intellectual property rights controlled by Taysha or any of its affiliates with respect to such exploitation (the “GAN Option”). Subject to certain extensions, the GAN Option is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w:t>
      </w:r>
    </w:p>
    <w:p>
      <w:pPr>
        <w:spacing w:after="0" w:line="182" w:lineRule="exact"/>
        <w:rPr>
          <w:sz w:val="20"/>
          <w:szCs w:val="20"/>
          <w:color w:val="auto"/>
        </w:rPr>
      </w:pPr>
    </w:p>
    <w:p>
      <w:pPr>
        <w:ind w:right="100" w:firstLine="749"/>
        <w:spacing w:after="0" w:line="271" w:lineRule="auto"/>
        <w:rPr>
          <w:sz w:val="20"/>
          <w:szCs w:val="20"/>
          <w:color w:val="auto"/>
        </w:rPr>
      </w:pPr>
      <w:r>
        <w:rPr>
          <w:rFonts w:ascii="Arial" w:cs="Arial" w:eastAsia="Arial" w:hAnsi="Arial"/>
          <w:sz w:val="17"/>
          <w:szCs w:val="17"/>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spacing w:after="0" w:line="178" w:lineRule="exact"/>
        <w:rPr>
          <w:sz w:val="20"/>
          <w:szCs w:val="20"/>
          <w:color w:val="auto"/>
        </w:rPr>
      </w:pPr>
    </w:p>
    <w:p>
      <w:pPr>
        <w:ind w:right="200" w:firstLine="749"/>
        <w:spacing w:after="0" w:line="311" w:lineRule="auto"/>
        <w:rPr>
          <w:sz w:val="20"/>
          <w:szCs w:val="20"/>
          <w:color w:val="auto"/>
        </w:rPr>
      </w:pPr>
      <w:r>
        <w:rPr>
          <w:rFonts w:ascii="Arial" w:cs="Arial" w:eastAsia="Arial" w:hAnsi="Arial"/>
          <w:sz w:val="16"/>
          <w:szCs w:val="16"/>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right="120" w:firstLine="749"/>
        <w:spacing w:after="0" w:line="291" w:lineRule="auto"/>
        <w:rPr>
          <w:sz w:val="20"/>
          <w:szCs w:val="20"/>
          <w:color w:val="auto"/>
        </w:rPr>
      </w:pPr>
      <w:r>
        <w:rPr>
          <w:rFonts w:ascii="Arial" w:cs="Arial" w:eastAsia="Arial" w:hAnsi="Arial"/>
          <w:sz w:val="16"/>
          <w:szCs w:val="16"/>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66"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As partial consideration for the rights granted to Astellas under the Option Agreement, Astellas paid the Company the Upfront Payment, which is $20.0 million.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Securities Purchase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Purchase Agreement</w:t>
      </w:r>
    </w:p>
    <w:p>
      <w:pPr>
        <w:spacing w:after="0" w:line="117"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On October 21, 2022, the Company entered into the Securities Purchase Agreement with Astellas, pursuant to which the Company agreed to issue and sell to Astellas in a private placement (the “Private Placement”), an aggregate of 7,266,342 shares (the “Private Placement Shares”), of its common stock, for aggregate gross proceeds of $30.0 million. The Private Placement closed on October 24, 2022. Pursuant to the Securities Purchase Agreement, in connection with the Private Placement, Astellas has the right to designate one individual to attend all meetings of the Board in a non-voting observer capacity. The Company also granted Astellas certain registration rights with respect to the Private Placement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 xml:space="preserve">In October 2022, upon closing of the Private Placement and transferring the 7,266,342 shares to Astellas, the Company recorded the issuance of shares at fair value. Fair value of the shares transferred to Astellas was calculated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92"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 xml:space="preserve">The Company determined that the Option Agreement falls within the scope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Private Placement.</w:t>
      </w:r>
    </w:p>
    <w:p>
      <w:pPr>
        <w:spacing w:after="0" w:line="192"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 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condensed consolidated balance sheet at the inception of the Astellas Transactions.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6"/>
          <w:szCs w:val="16"/>
          <w:color w:val="auto"/>
        </w:rPr>
        <w:t>The following table summarizes the allocation of the transaction price to the three performance obligations at contract inception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Transaction Price Allocation</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 to obtain license for Rett</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5,485</w:t>
            </w:r>
          </w:p>
        </w:tc>
        <w:tc>
          <w:tcPr>
            <w:tcW w:w="100" w:type="dxa"/>
            <w:vAlign w:val="bottom"/>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Option to obtain license for GAN</w:t>
            </w:r>
          </w:p>
        </w:tc>
        <w:tc>
          <w:tcPr>
            <w:tcW w:w="480" w:type="dxa"/>
            <w:vAlign w:val="bottom"/>
          </w:tcPr>
          <w:p>
            <w:pPr>
              <w:spacing w:after="0"/>
              <w:rPr>
                <w:sz w:val="20"/>
                <w:szCs w:val="20"/>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Rett research and development activities</w:t>
            </w:r>
          </w:p>
        </w:tc>
        <w:tc>
          <w:tcPr>
            <w:tcW w:w="480" w:type="dxa"/>
            <w:vAlign w:val="bottom"/>
            <w:tcBorders>
              <w:bottom w:val="single" w:sz="8" w:color="auto"/>
            </w:tcBorders>
            <w:shd w:val="clear" w:color="auto" w:fill="CFF0FC"/>
          </w:tcPr>
          <w:p>
            <w:pPr>
              <w:spacing w:after="0"/>
              <w:rPr>
                <w:sz w:val="21"/>
                <w:szCs w:val="21"/>
                <w:color w:val="auto"/>
              </w:rPr>
            </w:pPr>
          </w:p>
        </w:tc>
        <w:tc>
          <w:tcPr>
            <w:tcW w:w="2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80" w:firstLine="749"/>
        <w:spacing w:after="0" w:line="279" w:lineRule="auto"/>
        <w:rPr>
          <w:sz w:val="20"/>
          <w:szCs w:val="20"/>
          <w:color w:val="auto"/>
        </w:rPr>
      </w:pPr>
      <w:r>
        <w:rPr>
          <w:rFonts w:ascii="Arial" w:cs="Arial" w:eastAsia="Arial" w:hAnsi="Arial"/>
          <w:sz w:val="17"/>
          <w:szCs w:val="17"/>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71"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During the six months ended June 30, 2023, the Company determined that the total estimated costs to be incurred to satisfy the performance obligation associated with Rett research and development activities had increased from the cost estimate used for the year ended December 31, 2022, and the three months ended March 31, 2023. The cumulative impact of this change would have resulted in a $3.1 million decrease related to revenue previously recognized based on prior cost estimates.</w:t>
      </w:r>
    </w:p>
    <w:p>
      <w:pPr>
        <w:spacing w:after="0" w:line="18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 Company recognized revenue of $2.4 million and $7.1 million from Rett research and development activities for the three and six months ended June 30, 2023, respectively. As of June 30, 2023, the Company recorded deferred revenue of $20.2 million within current liabilities and $6.2 million within long-term liabilities in the accompanying consolidated balance sheet. The Company will recognize revenues for these performance obligations as they are satisfied.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 with Silicon Valley Bank</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 The Company did not draw on the two additional $20.0 million tranches prior to expiration on September 30, 2022 and March 31, 2023.</w:t>
      </w:r>
    </w:p>
    <w:p>
      <w:pPr>
        <w:spacing w:after="0" w:line="185"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184"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The Term Loans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 million was recorded as debt discount and has also been fully accrued within non-current liabilities as of June 30, 2023. The debt discount is being accreted using the effective interest method over the term of the Term Loans within interest expense in the condensed consolidated statements of operations.</w:t>
      </w:r>
    </w:p>
    <w:p>
      <w:pPr>
        <w:spacing w:after="0" w:line="188"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100" w:firstLine="749"/>
        <w:spacing w:after="0" w:line="257" w:lineRule="auto"/>
        <w:rPr>
          <w:sz w:val="20"/>
          <w:szCs w:val="20"/>
          <w:color w:val="auto"/>
        </w:rPr>
      </w:pPr>
      <w:r>
        <w:rPr>
          <w:rFonts w:ascii="Arial" w:cs="Arial" w:eastAsia="Arial" w:hAnsi="Arial"/>
          <w:sz w:val="18"/>
          <w:szCs w:val="18"/>
          <w:color w:val="auto"/>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June 30, 2023.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spacing w:after="0" w:line="188"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During the three and six months ended June 30, 2023, the Company recognized interest expense related to the Term Loan of $1.4 million and $2.7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760"/>
              <w:spacing w:after="0"/>
              <w:rPr>
                <w:sz w:val="20"/>
                <w:szCs w:val="20"/>
                <w:color w:val="auto"/>
              </w:rPr>
            </w:pPr>
            <w:r>
              <w:rPr>
                <w:rFonts w:ascii="Arial" w:cs="Arial" w:eastAsia="Arial" w:hAnsi="Arial"/>
                <w:sz w:val="18"/>
                <w:szCs w:val="18"/>
                <w:color w:val="auto"/>
              </w:rPr>
              <w:t>Future principal debt payments on the loan payable as of June 30, 2023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96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Year Ending December 31,</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0"/>
                <w:szCs w:val="20"/>
                <w:color w:val="auto"/>
              </w:rPr>
            </w:pPr>
          </w:p>
        </w:tc>
      </w:tr>
      <w:tr>
        <w:trPr>
          <w:trHeight w:val="24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20"/>
                <w:szCs w:val="20"/>
                <w:color w:val="auto"/>
              </w:rPr>
            </w:pPr>
          </w:p>
        </w:tc>
      </w:tr>
      <w:tr>
        <w:trPr>
          <w:trHeight w:val="243"/>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FF0FC"/>
          </w:tcPr>
          <w:p>
            <w:pPr>
              <w:spacing w:after="0"/>
              <w:rPr>
                <w:sz w:val="21"/>
                <w:szCs w:val="21"/>
                <w:color w:val="auto"/>
              </w:rPr>
            </w:pPr>
          </w:p>
        </w:tc>
      </w:tr>
      <w:tr>
        <w:trPr>
          <w:trHeight w:val="237"/>
        </w:trPr>
        <w:tc>
          <w:tcPr>
            <w:tcW w:w="96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5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(1,646 )</w:t>
            </w:r>
          </w:p>
        </w:tc>
      </w:tr>
      <w:tr>
        <w:trPr>
          <w:trHeight w:val="277"/>
        </w:trPr>
        <w:tc>
          <w:tcPr>
            <w:tcW w:w="9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 net</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On March 10, 2023, Silicon Valley Bank, based in Santa Clara, California, was closed by the California Department of Financial Protection and Innovation, which appointed the Federal Deposit Insurance Corporation (“FDIC”) as receiver. On March 27, 2023, First Citizens Bank purchased the remaining assets, deposits and loans of Silicon Valley Bank. As a result, the portion of the Company's term loans previously held by Silicon Valley Bank is now held by Silicon Valley Bank as a division of First-Citizen’s Bank &amp; Trust Company. The remaining portion of the Company's term loans are still held by SVB Capital, which is currently in bankruptcy proceedings.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7—Research,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6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64" w:lineRule="exact"/>
        <w:rPr>
          <w:sz w:val="20"/>
          <w:szCs w:val="20"/>
          <w:color w:val="auto"/>
        </w:rPr>
      </w:pPr>
    </w:p>
    <w:p>
      <w:pPr>
        <w:ind w:right="180" w:firstLine="749"/>
        <w:spacing w:after="0" w:line="301" w:lineRule="auto"/>
        <w:rPr>
          <w:sz w:val="20"/>
          <w:szCs w:val="20"/>
          <w:color w:val="auto"/>
        </w:rPr>
      </w:pPr>
      <w:r>
        <w:rPr>
          <w:rFonts w:ascii="Arial" w:cs="Arial" w:eastAsia="Arial" w:hAnsi="Arial"/>
          <w:sz w:val="16"/>
          <w:szCs w:val="16"/>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p>
    <w:p>
      <w:pPr>
        <w:spacing w:after="0" w:line="157"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700"/>
        <w:spacing w:after="0" w:line="277" w:lineRule="auto"/>
        <w:rPr>
          <w:sz w:val="20"/>
          <w:szCs w:val="20"/>
          <w:color w:val="auto"/>
        </w:rPr>
      </w:pPr>
      <w:r>
        <w:rPr>
          <w:rFonts w:ascii="Arial" w:cs="Arial" w:eastAsia="Arial" w:hAnsi="Arial"/>
          <w:sz w:val="18"/>
          <w:szCs w:val="18"/>
          <w:color w:val="auto"/>
        </w:rPr>
        <w:t>upon specified written notice to UT Southwestern. Either party may terminate the agreement upon an uncured material breach of the agreement or insolvency of the other party.</w:t>
      </w:r>
    </w:p>
    <w:p>
      <w:pPr>
        <w:spacing w:after="0" w:line="170" w:lineRule="exact"/>
        <w:rPr>
          <w:sz w:val="20"/>
          <w:szCs w:val="20"/>
          <w:color w:val="auto"/>
        </w:rPr>
      </w:pPr>
    </w:p>
    <w:p>
      <w:pPr>
        <w:ind w:right="80" w:firstLine="749"/>
        <w:spacing w:after="0" w:line="311" w:lineRule="auto"/>
        <w:rPr>
          <w:sz w:val="20"/>
          <w:szCs w:val="20"/>
          <w:color w:val="auto"/>
        </w:rPr>
      </w:pPr>
      <w:r>
        <w:rPr>
          <w:rFonts w:ascii="Arial" w:cs="Arial" w:eastAsia="Arial" w:hAnsi="Arial"/>
          <w:sz w:val="16"/>
          <w:szCs w:val="16"/>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CLN1 Agreements</w:t>
      </w:r>
    </w:p>
    <w:p>
      <w:pPr>
        <w:spacing w:after="0" w:line="117"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spacing w:after="0" w:line="179"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six months ended June 30, 2022. No additional milestone payments were made or triggered in connection with this agreement during the six months ended June 30,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Rett Agreement</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7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70"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March 2022, the Company’s clinical trial application ("CTA") filing for TSHA-102 for the treatment of Rett Syndrome was approved by Health Canada and therefore triggered a regulatory milestone payment in connection with the Abeona Rett Agreement. The Company recorded $1.0 million within research and development expenses in the condensed consolidated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20"/>
        <w:spacing w:after="0" w:line="254" w:lineRule="auto"/>
        <w:rPr>
          <w:sz w:val="20"/>
          <w:szCs w:val="20"/>
          <w:color w:val="auto"/>
        </w:rPr>
      </w:pPr>
      <w:r>
        <w:rPr>
          <w:rFonts w:ascii="Arial" w:cs="Arial" w:eastAsia="Arial" w:hAnsi="Arial"/>
          <w:sz w:val="18"/>
          <w:szCs w:val="18"/>
          <w:color w:val="auto"/>
        </w:rPr>
        <w:t>of operations for the six months ended June 30, 2022. The $1.0 million regulatory milestone fee was paid in July 2022.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six months ended June 30, 2023. This milestone fee was not paid as of June 30, 2023 and has been recorded in accrued expenses and other current liabilities in the condensed consolidated balance sheet as of June 30, 2023. No additional milestone payments were made or triggered in connection with the Abeona Rett Agreement during the six months ended June 30,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Worldwide Rights for TSHA-120 for the treatment of GAN</w:t>
      </w:r>
    </w:p>
    <w:p>
      <w:pPr>
        <w:spacing w:after="0" w:line="11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(“NIH”)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spacing w:after="0" w:line="16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Under the terms of the GAN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 No additional milestone payments were made or triggered in connection with the GAN Agreement during the six months ended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for CLN7</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paid a one-time upfront license fee of $0.3 million. The Company recorded the upfront license fee in research and development expense in the condensed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 No additional milestone payments were made or triggered in connection with the CLN7 Agreement during the six months ended June 30, 2023.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8—Stock-Based Compensation</w:t>
      </w:r>
    </w:p>
    <w:p>
      <w:pPr>
        <w:spacing w:after="0" w:line="121"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On July 1, 2020, the Company’s board of directors approved the 2020 Equity Incentive Plan (“Existing Plan”) which permits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Existing Plan. The terms of the Existing Plan will continue to govern the terms of outstanding equity awards that were granted prior to approval of the New Plan.</w:t>
      </w:r>
    </w:p>
    <w:p>
      <w:pPr>
        <w:spacing w:after="0" w:line="188"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2023, the Company’s board of directors increased the number of shares of common stock reserved for issuance under the New Plan by 3,160,375 shares.</w:t>
      </w:r>
    </w:p>
    <w:p>
      <w:pPr>
        <w:spacing w:after="0" w:line="178" w:lineRule="exact"/>
        <w:rPr>
          <w:sz w:val="20"/>
          <w:szCs w:val="20"/>
          <w:color w:val="auto"/>
        </w:rPr>
      </w:pPr>
    </w:p>
    <w:p>
      <w:pPr>
        <w:ind w:right="360" w:firstLine="749"/>
        <w:spacing w:after="0" w:line="254" w:lineRule="auto"/>
        <w:rPr>
          <w:sz w:val="20"/>
          <w:szCs w:val="20"/>
          <w:color w:val="auto"/>
        </w:rPr>
      </w:pPr>
      <w:r>
        <w:rPr>
          <w:rFonts w:ascii="Arial" w:cs="Arial" w:eastAsia="Arial" w:hAnsi="Arial"/>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On January 1, 2022 and 2023, the Company’s board of directors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increased the number of shares of common stock reserved for issuance under the ESPP by 384,739 and 632,075 respectively. The Company has issued 108,993 shares of common stock under the ESPP as of June 30, 2023.</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number of shares available for grant under the Company's incentive plans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Existing</w:t>
            </w: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rPr>
              <w:t>New</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680" w:type="dxa"/>
            <w:vAlign w:val="bottom"/>
          </w:tcPr>
          <w:p>
            <w:pPr>
              <w:spacing w:after="0"/>
              <w:rPr>
                <w:sz w:val="16"/>
                <w:szCs w:val="16"/>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rPr>
              <w:t>Plan</w:t>
            </w: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Total</w:t>
            </w:r>
          </w:p>
        </w:tc>
      </w:tr>
      <w:tr>
        <w:trPr>
          <w:trHeight w:val="236"/>
        </w:trPr>
        <w:tc>
          <w:tcPr>
            <w:tcW w:w="5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Available for grant - December 31, 2022</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1,067,682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1,067,682</w:t>
            </w:r>
          </w:p>
        </w:tc>
        <w:tc>
          <w:tcPr>
            <w:tcW w:w="100" w:type="dxa"/>
            <w:vAlign w:val="bottom"/>
            <w:shd w:val="clear" w:color="auto" w:fill="CFF0FC"/>
          </w:tcPr>
          <w:p>
            <w:pPr>
              <w:spacing w:after="0"/>
              <w:rPr>
                <w:sz w:val="20"/>
                <w:szCs w:val="20"/>
                <w:color w:val="auto"/>
              </w:rPr>
            </w:pP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Plan adjustments and amendments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(667,828 )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3,828,203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3,160,375</w:t>
            </w:r>
          </w:p>
        </w:tc>
        <w:tc>
          <w:tcPr>
            <w:tcW w:w="100" w:type="dxa"/>
            <w:vAlign w:val="bottom"/>
          </w:tcPr>
          <w:p>
            <w:pPr>
              <w:spacing w:after="0"/>
              <w:rPr>
                <w:sz w:val="20"/>
                <w:szCs w:val="20"/>
                <w:color w:val="auto"/>
              </w:rPr>
            </w:pPr>
          </w:p>
        </w:tc>
      </w:tr>
      <w:tr>
        <w:trPr>
          <w:trHeight w:val="249"/>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Grants</w:t>
            </w:r>
          </w:p>
        </w:tc>
        <w:tc>
          <w:tcPr>
            <w:tcW w:w="19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(5,191,357 )</w:t>
            </w:r>
          </w:p>
        </w:tc>
        <w:tc>
          <w:tcPr>
            <w:tcW w:w="12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(5,191,357 )</w:t>
            </w:r>
          </w:p>
        </w:tc>
      </w:tr>
      <w:tr>
        <w:trPr>
          <w:trHeight w:val="237"/>
        </w:trPr>
        <w:tc>
          <w:tcPr>
            <w:tcW w:w="5680" w:type="dxa"/>
            <w:vAlign w:val="bottom"/>
          </w:tcPr>
          <w:p>
            <w:pPr>
              <w:ind w:left="200"/>
              <w:spacing w:after="0"/>
              <w:rPr>
                <w:sz w:val="20"/>
                <w:szCs w:val="20"/>
                <w:color w:val="auto"/>
              </w:rPr>
            </w:pPr>
            <w:r>
              <w:rPr>
                <w:rFonts w:ascii="Arial" w:cs="Arial" w:eastAsia="Arial" w:hAnsi="Arial"/>
                <w:sz w:val="18"/>
                <w:szCs w:val="18"/>
                <w:color w:val="auto"/>
              </w:rPr>
              <w:t>Forfeitures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667,828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2,707,496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3,375,324</w:t>
            </w:r>
          </w:p>
        </w:tc>
        <w:tc>
          <w:tcPr>
            <w:tcW w:w="100" w:type="dxa"/>
            <w:vAlign w:val="bottom"/>
          </w:tcPr>
          <w:p>
            <w:pPr>
              <w:spacing w:after="0"/>
              <w:rPr>
                <w:sz w:val="20"/>
                <w:szCs w:val="20"/>
                <w:color w:val="auto"/>
              </w:rPr>
            </w:pPr>
          </w:p>
        </w:tc>
      </w:tr>
      <w:tr>
        <w:trPr>
          <w:trHeight w:val="283"/>
        </w:trPr>
        <w:tc>
          <w:tcPr>
            <w:tcW w:w="56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Available for grant - June 30, 2023</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2,412,024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2,412,024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For the three months ended June 30, 2023, 1,427,100 shares of common stock under the New Plan were awarded with a weighted-average grant date fair value per share of $0.50. For the six months ended June 30, 2023, 2,470,471 shares of common stock under the New Plan were awarded with a weighted-average grant date fair value per share of $0.65. The stock options vest over one to four years and have a ten-year contractual term.</w:t>
      </w:r>
    </w:p>
    <w:p>
      <w:pPr>
        <w:spacing w:after="0" w:line="149"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following weighted-average assumptions were used to estimate the fair value of time-based vesting stock options that were granted during the three and six months ended June 30,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66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Three Months Ended June 30,</w:t>
            </w: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6780" w:type="dxa"/>
            <w:vAlign w:val="bottom"/>
            <w:gridSpan w:val="2"/>
          </w:tcPr>
          <w:p>
            <w:pPr>
              <w:ind w:left="6460"/>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3.72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6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time-based vesting stock option activity, during the six months ended June 30, 2023:</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5"/>
                <w:szCs w:val="15"/>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86"/>
              </w:rPr>
              <w:t>Exercise</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r>
      <w:tr>
        <w:trPr>
          <w:trHeight w:val="185"/>
        </w:trPr>
        <w:tc>
          <w:tcPr>
            <w:tcW w:w="5780" w:type="dxa"/>
            <w:vAlign w:val="bottom"/>
          </w:tcPr>
          <w:p>
            <w:pPr>
              <w:spacing w:after="0"/>
              <w:rPr>
                <w:sz w:val="16"/>
                <w:szCs w:val="16"/>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6"/>
                <w:szCs w:val="16"/>
                <w:color w:val="auto"/>
              </w:rPr>
            </w:pPr>
          </w:p>
        </w:tc>
      </w:tr>
      <w:tr>
        <w:trPr>
          <w:trHeight w:val="27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6,158,078</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2,470,471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49"/>
        </w:trPr>
        <w:tc>
          <w:tcPr>
            <w:tcW w:w="5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cancelled or forfeited</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(1,927,564 )</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Arial" w:cs="Arial" w:eastAsia="Arial" w:hAnsi="Arial"/>
                <w:sz w:val="18"/>
                <w:szCs w:val="18"/>
                <w:color w:val="auto"/>
              </w:rPr>
              <w:t>Options expired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(732,376 )</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5,968,609</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Options exercisable at June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1,049,702</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-839470</wp:posOffset>
            </wp:positionV>
            <wp:extent cx="270002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00020" cy="17970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right="260" w:firstLine="749"/>
        <w:spacing w:after="0" w:line="259" w:lineRule="auto"/>
        <w:rPr>
          <w:sz w:val="20"/>
          <w:szCs w:val="20"/>
          <w:color w:val="auto"/>
        </w:rPr>
      </w:pPr>
      <w:r>
        <w:rPr>
          <w:rFonts w:ascii="Arial" w:cs="Arial" w:eastAsia="Arial" w:hAnsi="Arial"/>
          <w:sz w:val="18"/>
          <w:szCs w:val="18"/>
          <w:color w:val="auto"/>
        </w:rPr>
        <w:t>The aggregate intrinsic value in the above table is calculated as the difference between the fair value of the Company’s common stock at the respective reporting date and the exercise price of the stock options. As of June 30, 2023, the total unrecognized compensation related to unvested time-based vesting stock option awards granted was $10.9 million, which the Company expects to recognize over a weighted-average period of approximately 2.4 years. No stock options were exercised during the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Options</w:t>
      </w:r>
    </w:p>
    <w:p>
      <w:pPr>
        <w:spacing w:after="0" w:line="117" w:lineRule="exact"/>
        <w:rPr>
          <w:sz w:val="20"/>
          <w:szCs w:val="20"/>
          <w:color w:val="auto"/>
        </w:rPr>
      </w:pPr>
    </w:p>
    <w:p>
      <w:pPr>
        <w:ind w:right="360" w:firstLine="749"/>
        <w:spacing w:after="0" w:line="279" w:lineRule="auto"/>
        <w:rPr>
          <w:sz w:val="20"/>
          <w:szCs w:val="20"/>
          <w:color w:val="auto"/>
        </w:rPr>
      </w:pPr>
      <w:r>
        <w:rPr>
          <w:rFonts w:ascii="Arial" w:cs="Arial" w:eastAsia="Arial" w:hAnsi="Arial"/>
          <w:sz w:val="17"/>
          <w:szCs w:val="17"/>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June 30, 2023, 58,346 of the shares subject to the performance-based options were outstanding, all of which vested during the period. No stock options were exercised during the period.</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0" w:name="page21"/>
    <w:bookmarkEnd w:id="20"/>
    <w:p>
      <w:pPr>
        <w:ind w:right="60" w:firstLine="749"/>
        <w:spacing w:after="0" w:line="255" w:lineRule="auto"/>
        <w:rPr>
          <w:sz w:val="20"/>
          <w:szCs w:val="20"/>
          <w:color w:val="auto"/>
        </w:rPr>
      </w:pPr>
      <w:r>
        <w:rPr>
          <w:rFonts w:ascii="Arial" w:cs="Arial" w:eastAsia="Arial" w:hAnsi="Arial"/>
          <w:sz w:val="18"/>
          <w:szCs w:val="18"/>
          <w:color w:val="auto"/>
        </w:rPr>
        <w:t>In May 2023, the Company issued options to purchase 2,166,653 shares of common stock to employees under the New Plan that contain both service and performance-based vesting conditions with a weighted average grant date fair value per share of $0.50. The stock options have a 10-year contractual term and vest over 3.6 years if a combination of clinical, regulatory and financing performance conditions are achieved. As of June 30, 2023, no compensation expense was recorded related to the awards as achievement of the performance conditions was not considered probable. The following assumptions were used to estimate the fair value of performance and service-based stock options that were granted during the six months ended June 30,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00" w:type="dxa"/>
            <w:vAlign w:val="bottom"/>
          </w:tcPr>
          <w:p>
            <w:pPr>
              <w:jc w:val="right"/>
              <w:ind w:right="338"/>
              <w:spacing w:after="0"/>
              <w:rPr>
                <w:sz w:val="20"/>
                <w:szCs w:val="20"/>
                <w:color w:val="auto"/>
              </w:rPr>
            </w:pPr>
            <w:r>
              <w:rPr>
                <w:rFonts w:ascii="Arial" w:cs="Arial" w:eastAsia="Arial" w:hAnsi="Arial"/>
                <w:sz w:val="14"/>
                <w:szCs w:val="14"/>
                <w:b w:val="1"/>
                <w:bCs w:val="1"/>
                <w:color w:val="auto"/>
                <w:w w:val="97"/>
              </w:rPr>
              <w:t>For the three months</w:t>
            </w:r>
          </w:p>
        </w:tc>
        <w:tc>
          <w:tcPr>
            <w:tcW w:w="16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For the six months</w:t>
            </w:r>
          </w:p>
        </w:tc>
      </w:tr>
      <w:tr>
        <w:trPr>
          <w:trHeight w:val="176"/>
        </w:trPr>
        <w:tc>
          <w:tcPr>
            <w:tcW w:w="7820" w:type="dxa"/>
            <w:vAlign w:val="bottom"/>
          </w:tcPr>
          <w:p>
            <w:pPr>
              <w:spacing w:after="0"/>
              <w:rPr>
                <w:sz w:val="15"/>
                <w:szCs w:val="15"/>
                <w:color w:val="auto"/>
              </w:rPr>
            </w:pPr>
          </w:p>
        </w:tc>
        <w:tc>
          <w:tcPr>
            <w:tcW w:w="1800" w:type="dxa"/>
            <w:vAlign w:val="bottom"/>
          </w:tcPr>
          <w:p>
            <w:pPr>
              <w:jc w:val="right"/>
              <w:ind w:right="778"/>
              <w:spacing w:after="0"/>
              <w:rPr>
                <w:sz w:val="20"/>
                <w:szCs w:val="20"/>
                <w:color w:val="auto"/>
              </w:rPr>
            </w:pPr>
            <w:r>
              <w:rPr>
                <w:rFonts w:ascii="Arial" w:cs="Arial" w:eastAsia="Arial" w:hAnsi="Arial"/>
                <w:sz w:val="14"/>
                <w:szCs w:val="14"/>
                <w:b w:val="1"/>
                <w:bCs w:val="1"/>
                <w:color w:val="auto"/>
              </w:rPr>
              <w:t>ended</w:t>
            </w:r>
          </w:p>
        </w:tc>
        <w:tc>
          <w:tcPr>
            <w:tcW w:w="16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ended</w:t>
            </w:r>
          </w:p>
        </w:tc>
      </w:tr>
      <w:tr>
        <w:trPr>
          <w:trHeight w:val="185"/>
        </w:trPr>
        <w:tc>
          <w:tcPr>
            <w:tcW w:w="7820" w:type="dxa"/>
            <w:vAlign w:val="bottom"/>
          </w:tcPr>
          <w:p>
            <w:pPr>
              <w:spacing w:after="0"/>
              <w:rPr>
                <w:sz w:val="16"/>
                <w:szCs w:val="16"/>
                <w:color w:val="auto"/>
              </w:rPr>
            </w:pPr>
          </w:p>
        </w:tc>
        <w:tc>
          <w:tcPr>
            <w:tcW w:w="348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June 30, 2023</w:t>
            </w:r>
          </w:p>
        </w:tc>
      </w:tr>
      <w:tr>
        <w:trPr>
          <w:trHeight w:val="224"/>
        </w:trPr>
        <w:tc>
          <w:tcPr>
            <w:tcW w:w="78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0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4.04 %</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800" w:type="dxa"/>
            <w:vAlign w:val="bottom"/>
          </w:tcPr>
          <w:p>
            <w:pPr>
              <w:jc w:val="right"/>
              <w:ind w:right="238"/>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7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800" w:type="dxa"/>
            <w:vAlign w:val="bottom"/>
            <w:shd w:val="clear" w:color="auto" w:fill="CFF0FC"/>
          </w:tcPr>
          <w:p>
            <w:pPr>
              <w:jc w:val="right"/>
              <w:ind w:right="238"/>
              <w:spacing w:after="0"/>
              <w:rPr>
                <w:sz w:val="20"/>
                <w:szCs w:val="20"/>
                <w:color w:val="auto"/>
              </w:rPr>
            </w:pPr>
            <w:r>
              <w:rPr>
                <w:rFonts w:ascii="Arial" w:cs="Arial" w:eastAsia="Arial" w:hAnsi="Arial"/>
                <w:sz w:val="18"/>
                <w:szCs w:val="18"/>
                <w:color w:val="auto"/>
              </w:rPr>
              <w:t>6.0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800" w:type="dxa"/>
            <w:vAlign w:val="bottom"/>
          </w:tcPr>
          <w:p>
            <w:pPr>
              <w:jc w:val="right"/>
              <w:ind w:right="58"/>
              <w:spacing w:after="0"/>
              <w:rPr>
                <w:sz w:val="20"/>
                <w:szCs w:val="20"/>
                <w:color w:val="auto"/>
              </w:rPr>
            </w:pPr>
            <w:r>
              <w:rPr>
                <w:rFonts w:ascii="Arial" w:cs="Arial" w:eastAsia="Arial" w:hAnsi="Arial"/>
                <w:sz w:val="18"/>
                <w:szCs w:val="18"/>
                <w:color w:val="auto"/>
              </w:rPr>
              <w:t>81 %</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Market-based Stock Options</w:t>
      </w:r>
    </w:p>
    <w:p>
      <w:pPr>
        <w:spacing w:after="0" w:line="117" w:lineRule="exact"/>
        <w:rPr>
          <w:sz w:val="20"/>
          <w:szCs w:val="20"/>
          <w:color w:val="auto"/>
        </w:rPr>
      </w:pPr>
    </w:p>
    <w:p>
      <w:pPr>
        <w:ind w:right="280" w:firstLine="749"/>
        <w:spacing w:after="0" w:line="279" w:lineRule="auto"/>
        <w:rPr>
          <w:sz w:val="20"/>
          <w:szCs w:val="20"/>
          <w:color w:val="auto"/>
        </w:rPr>
      </w:pPr>
      <w:r>
        <w:rPr>
          <w:rFonts w:ascii="Arial" w:cs="Arial" w:eastAsia="Arial" w:hAnsi="Arial"/>
          <w:sz w:val="17"/>
          <w:szCs w:val="17"/>
          <w:color w:val="auto"/>
        </w:rPr>
        <w:t>In February 2023, the Company issued options to purchase 70,233 shares of common stock to employees under the New Plan that contain a market-based vesting condition, subject to continued employment through each anniversary and achievement of the market condition. The grant date fair value of the stock options that contain market-based vesting conditions was not material. As of June 30, 2023, 58,344 of the shares subject to the stock options that contain a market-based vesting condition were outstanding, and no options vested during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In February 2023, the Company issued 81,236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spacing w:after="0" w:line="184" w:lineRule="exact"/>
        <w:rPr>
          <w:sz w:val="20"/>
          <w:szCs w:val="20"/>
          <w:color w:val="auto"/>
        </w:rPr>
      </w:pPr>
    </w:p>
    <w:p>
      <w:pPr>
        <w:jc w:val="both"/>
        <w:ind w:right="120" w:firstLine="749"/>
        <w:spacing w:after="0" w:line="296" w:lineRule="auto"/>
        <w:rPr>
          <w:sz w:val="20"/>
          <w:szCs w:val="20"/>
          <w:color w:val="auto"/>
        </w:rPr>
      </w:pPr>
      <w:r>
        <w:rPr>
          <w:rFonts w:ascii="Arial" w:cs="Arial" w:eastAsia="Arial" w:hAnsi="Arial"/>
          <w:sz w:val="16"/>
          <w:szCs w:val="16"/>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w:t>
      </w:r>
    </w:p>
    <w:p>
      <w:pPr>
        <w:spacing w:after="0" w:line="161"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In March 2023, the Company issued 251,296 RSUs to the former President and Chief Executive officer of the Company in connection with his resignation from the Company and Board of Directors. The RSUs vested immediately.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RSU activity for the six months ended June 30, 2023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r>
      <w:tr>
        <w:trPr>
          <w:trHeight w:val="176"/>
        </w:trPr>
        <w:tc>
          <w:tcPr>
            <w:tcW w:w="7680" w:type="dxa"/>
            <w:vAlign w:val="bottom"/>
          </w:tcPr>
          <w:p>
            <w:pPr>
              <w:spacing w:after="0"/>
              <w:rPr>
                <w:sz w:val="15"/>
                <w:szCs w:val="15"/>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6"/>
                <w:szCs w:val="16"/>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1,257,844</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units 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332,532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(474,209 )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Cancelled or forfeited</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(658,343 )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at June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457,824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160" w:firstLine="749"/>
        <w:spacing w:after="0" w:line="277" w:lineRule="auto"/>
        <w:rPr>
          <w:sz w:val="20"/>
          <w:szCs w:val="20"/>
          <w:color w:val="auto"/>
        </w:rPr>
      </w:pPr>
      <w:r>
        <w:rPr>
          <w:rFonts w:ascii="Arial" w:cs="Arial" w:eastAsia="Arial" w:hAnsi="Arial"/>
          <w:sz w:val="18"/>
          <w:szCs w:val="18"/>
          <w:color w:val="auto"/>
        </w:rPr>
        <w:t>As of June 30, 2023, the total unrecognized compensation related to unvested RSUs granted was $2.6 million which is expected to be amortized on a straight-line basis over a weighted-average period of approximately 1.1 years.</w:t>
      </w:r>
    </w:p>
    <w:p>
      <w:pPr>
        <w:spacing w:after="0" w:line="200" w:lineRule="exact"/>
        <w:rPr>
          <w:sz w:val="20"/>
          <w:szCs w:val="20"/>
          <w:color w:val="auto"/>
        </w:r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Performance and Market-based Restricted Stock Units</w:t>
      </w:r>
    </w:p>
    <w:p>
      <w:pPr>
        <w:spacing w:after="0" w:line="117"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In February 2023, the Company issued 81,233 RSUs to employees under the New Plan that contain a combination of performance and market-based vesting conditions, subject to continued employment through each anniversary and achievement of market and performance conditions. The grant date fair value of the RSUs that contain performance and market-based vesting conditions was not material. As of June 30, 2023, 34,673 of the RSUs were unvested and still outstanding and 34,671 RSUs vested and were settled during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240" w:firstLine="749"/>
        <w:spacing w:after="0" w:line="259" w:lineRule="auto"/>
        <w:rPr>
          <w:sz w:val="20"/>
          <w:szCs w:val="20"/>
          <w:color w:val="auto"/>
        </w:rPr>
      </w:pPr>
      <w:r>
        <w:rPr>
          <w:rFonts w:ascii="Arial" w:cs="Arial" w:eastAsia="Arial" w:hAnsi="Arial"/>
          <w:sz w:val="18"/>
          <w:szCs w:val="18"/>
          <w:color w:val="auto"/>
        </w:rPr>
        <w:t>The Company’s former President and Chief Executive Officer, was awarded 769,058 RSAs under the Existing Plan on July 1, 2020, which vested over a three-year term, subject to continuous employment. The fair value of these RSAs at the grant date of July 1, 2020, was $5.28 per share. On March 2, 2023, the Company’s former President and Chief Executive Officer resigned from the Board of Directors, therefore cancelling any remaining unvested tranches.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RSA activity for the six months ended June 30, 2023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75"/>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6"/>
        </w:trPr>
        <w:tc>
          <w:tcPr>
            <w:tcW w:w="7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9"/>
              <w:spacing w:after="0"/>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5"/>
                <w:szCs w:val="15"/>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9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6"/>
                <w:szCs w:val="16"/>
                <w:color w:val="auto"/>
              </w:rPr>
            </w:pPr>
          </w:p>
        </w:tc>
        <w:tc>
          <w:tcPr>
            <w:tcW w:w="128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at December 31, 2022</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85,494</w:t>
            </w:r>
          </w:p>
        </w:tc>
        <w:tc>
          <w:tcPr>
            <w:tcW w:w="3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stock granted</w:t>
            </w: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(64,120 )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Cancelled or forfeited</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(21,374 )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at June 30, 2023</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of shares of Taysha common stock during any offering period. During the six months ended June 30, 2023 and 2022, stock-based compensation expense related to the ESPP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560" w:firstLine="749"/>
        <w:spacing w:after="0" w:line="308" w:lineRule="auto"/>
        <w:rPr>
          <w:sz w:val="20"/>
          <w:szCs w:val="20"/>
          <w:color w:val="auto"/>
        </w:rPr>
      </w:pPr>
      <w:r>
        <w:rPr>
          <w:rFonts w:ascii="Arial" w:cs="Arial" w:eastAsia="Arial" w:hAnsi="Arial"/>
          <w:sz w:val="17"/>
          <w:szCs w:val="17"/>
          <w:color w:val="auto"/>
        </w:rPr>
        <w:t>The following table summarizes the total stock-based compensation expense for the stock options, ESPP, RSAs and RSUs recorded in the condensed consolidated statements of operations for the three and six months ended June 30, 2023 and 2022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33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For the Three Months Ended June 30,</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For the Six Months Ended June 30,</w:t>
            </w:r>
          </w:p>
        </w:tc>
        <w:tc>
          <w:tcPr>
            <w:tcW w:w="100" w:type="dxa"/>
            <w:vAlign w:val="bottom"/>
          </w:tcPr>
          <w:p>
            <w:pPr>
              <w:spacing w:after="0"/>
              <w:rPr>
                <w:sz w:val="15"/>
                <w:szCs w:val="15"/>
                <w:color w:val="auto"/>
              </w:rPr>
            </w:pPr>
          </w:p>
        </w:tc>
      </w:tr>
      <w:tr>
        <w:trPr>
          <w:trHeight w:val="185"/>
        </w:trPr>
        <w:tc>
          <w:tcPr>
            <w:tcW w:w="328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1280" w:type="dxa"/>
            <w:vAlign w:val="bottom"/>
            <w:tcBorders>
              <w:top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44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4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FF0FC"/>
          </w:tcPr>
          <w:p>
            <w:pPr>
              <w:spacing w:after="0"/>
              <w:rPr>
                <w:sz w:val="20"/>
                <w:szCs w:val="20"/>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4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0"/>
                <w:szCs w:val="20"/>
                <w:color w:val="auto"/>
              </w:rPr>
            </w:pPr>
          </w:p>
        </w:tc>
      </w:tr>
      <w:tr>
        <w:trPr>
          <w:trHeight w:val="276"/>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4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w:t>
            </w:r>
          </w:p>
        </w:tc>
        <w:tc>
          <w:tcPr>
            <w:tcW w:w="4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-24765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9—Warrants</w:t>
      </w:r>
    </w:p>
    <w:p>
      <w:pPr>
        <w:spacing w:after="0" w:line="121" w:lineRule="exact"/>
        <w:rPr>
          <w:sz w:val="20"/>
          <w:szCs w:val="20"/>
          <w:color w:val="auto"/>
        </w:rPr>
      </w:pPr>
    </w:p>
    <w:p>
      <w:pPr>
        <w:ind w:right="60" w:firstLine="749"/>
        <w:spacing w:after="0" w:line="271" w:lineRule="auto"/>
        <w:rPr>
          <w:sz w:val="20"/>
          <w:szCs w:val="20"/>
          <w:color w:val="auto"/>
        </w:rPr>
      </w:pPr>
      <w:r>
        <w:rPr>
          <w:rFonts w:ascii="Arial" w:cs="Arial" w:eastAsia="Arial" w:hAnsi="Arial"/>
          <w:sz w:val="17"/>
          <w:szCs w:val="17"/>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80" w:firstLine="749"/>
        <w:spacing w:after="0" w:line="275" w:lineRule="auto"/>
        <w:rPr>
          <w:sz w:val="20"/>
          <w:szCs w:val="20"/>
          <w:color w:val="auto"/>
        </w:rPr>
      </w:pPr>
      <w:r>
        <w:rPr>
          <w:rFonts w:ascii="Arial" w:cs="Arial" w:eastAsia="Arial" w:hAnsi="Arial"/>
          <w:sz w:val="17"/>
          <w:szCs w:val="17"/>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 of operations.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determined the fair value of the SSI Warrants at issuance was $0.3 million using the Black-Scholes-Merton option pricing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3.46 %</w:t>
            </w:r>
          </w:p>
        </w:tc>
      </w:tr>
      <w:tr>
        <w:trPr>
          <w:trHeight w:val="250"/>
        </w:trPr>
        <w:tc>
          <w:tcPr>
            <w:tcW w:w="63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4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000" w:type="dxa"/>
            <w:vAlign w:val="bottom"/>
            <w:gridSpan w:val="2"/>
          </w:tcPr>
          <w:p>
            <w:pPr>
              <w:jc w:val="right"/>
              <w:spacing w:after="0"/>
              <w:rPr>
                <w:sz w:val="20"/>
                <w:szCs w:val="20"/>
                <w:color w:val="auto"/>
              </w:rPr>
            </w:pPr>
            <w:r>
              <w:rPr>
                <w:rFonts w:ascii="Arial" w:cs="Arial" w:eastAsia="Arial" w:hAnsi="Arial"/>
                <w:sz w:val="18"/>
                <w:szCs w:val="18"/>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fair value adjustment as of June 30, 2023 was immaterial. As of June 30, 2023, 150,000 of the SSI Warrants have vested and are exercisable.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warrants were exercised during the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10—Net Loss Per Common Share</w:t>
      </w:r>
    </w:p>
    <w:p>
      <w:pPr>
        <w:spacing w:after="0" w:line="121"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represents the calculation of basic and diluted net loss per common share (in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w w:val="95"/>
              </w:rPr>
              <w:t>For the Three Months Ended June 30,</w:t>
            </w:r>
          </w:p>
        </w:tc>
        <w:tc>
          <w:tcPr>
            <w:tcW w:w="100" w:type="dxa"/>
            <w:vAlign w:val="bottom"/>
          </w:tcPr>
          <w:p>
            <w:pPr>
              <w:spacing w:after="0"/>
              <w:rPr>
                <w:sz w:val="15"/>
                <w:szCs w:val="15"/>
                <w:color w:val="auto"/>
              </w:rPr>
            </w:pPr>
          </w:p>
        </w:tc>
        <w:tc>
          <w:tcPr>
            <w:tcW w:w="2420" w:type="dxa"/>
            <w:vAlign w:val="bottom"/>
            <w:gridSpan w:val="5"/>
          </w:tcPr>
          <w:p>
            <w:pPr>
              <w:jc w:val="right"/>
              <w:ind w:right="161"/>
              <w:spacing w:after="0"/>
              <w:rPr>
                <w:sz w:val="20"/>
                <w:szCs w:val="20"/>
                <w:color w:val="auto"/>
              </w:rPr>
            </w:pPr>
            <w:r>
              <w:rPr>
                <w:rFonts w:ascii="Arial" w:cs="Arial" w:eastAsia="Arial" w:hAnsi="Arial"/>
                <w:sz w:val="14"/>
                <w:szCs w:val="14"/>
                <w:b w:val="1"/>
                <w:bCs w:val="1"/>
                <w:color w:val="auto"/>
                <w:w w:val="92"/>
              </w:rPr>
              <w:t>For the Six Months Ended June 30,</w:t>
            </w: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(42,220</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w w:val="92"/>
              </w:rPr>
              <w:t>Weighted-average shares of common stock outstanding used to compute net</w:t>
            </w: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64,244,531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40,142,403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63,755,435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7"/>
              </w:rPr>
              <w:t>39,163,996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loss per common share, basic and diluted</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-496570</wp:posOffset>
            </wp:positionV>
            <wp:extent cx="2726055" cy="3175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26055" cy="31750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220" w:firstLine="749"/>
        <w:spacing w:after="0" w:line="224" w:lineRule="exact"/>
        <w:rPr>
          <w:sz w:val="20"/>
          <w:szCs w:val="20"/>
          <w:color w:val="auto"/>
        </w:rPr>
      </w:pPr>
      <w:r>
        <w:rPr>
          <w:rFonts w:ascii="Arial" w:cs="Arial" w:eastAsia="Arial" w:hAnsi="Arial"/>
          <w:sz w:val="17"/>
          <w:szCs w:val="17"/>
          <w:color w:val="auto"/>
        </w:rPr>
        <w:t>The following common stock equivalents outstanding as of June 30, 2023 and 2022 were excluded from the computation of diluted net loss per share attributable to common stockholders for the periods presented because including them would have been anti</w:t>
      </w:r>
      <w:r>
        <w:rPr>
          <w:rFonts w:ascii="MS PGothic" w:cs="MS PGothic" w:eastAsia="MS PGothic" w:hAnsi="MS PGothic"/>
          <w:sz w:val="17"/>
          <w:szCs w:val="17"/>
          <w:color w:val="auto"/>
        </w:rPr>
        <w:t>‑</w:t>
      </w:r>
      <w:r>
        <w:rPr>
          <w:rFonts w:ascii="Arial" w:cs="Arial" w:eastAsia="Arial" w:hAnsi="Arial"/>
          <w:sz w:val="17"/>
          <w:szCs w:val="17"/>
          <w:color w:val="auto"/>
        </w:rPr>
        <w:t>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r>
      <w:tr>
        <w:trPr>
          <w:trHeight w:val="185"/>
        </w:trPr>
        <w:tc>
          <w:tcPr>
            <w:tcW w:w="7680" w:type="dxa"/>
            <w:vAlign w:val="bottom"/>
          </w:tcPr>
          <w:p>
            <w:pPr>
              <w:spacing w:after="0"/>
              <w:rPr>
                <w:sz w:val="16"/>
                <w:szCs w:val="16"/>
                <w:color w:val="auto"/>
              </w:rPr>
            </w:pPr>
          </w:p>
        </w:tc>
        <w:tc>
          <w:tcPr>
            <w:tcW w:w="1620" w:type="dxa"/>
            <w:vAlign w:val="bottom"/>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840" w:type="dxa"/>
            <w:vAlign w:val="bottom"/>
            <w:gridSpan w:val="2"/>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492,497</w:t>
            </w:r>
          </w:p>
        </w:tc>
        <w:tc>
          <w:tcPr>
            <w:tcW w:w="22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1,340,624</w:t>
            </w: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Unvested RSAs</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213,735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8,251,952</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5,148,695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9,269,449</w:t>
            </w:r>
          </w:p>
        </w:tc>
        <w:tc>
          <w:tcPr>
            <w:tcW w:w="22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6,703,054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7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As of June 30, 2023, there were no material changes to either the nature or the amounts of the uncertain tax positions previously determined for the year ended December 31, 2022.</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500" w:firstLine="749"/>
        <w:spacing w:after="0" w:line="308" w:lineRule="auto"/>
        <w:rPr>
          <w:sz w:val="20"/>
          <w:szCs w:val="20"/>
          <w:color w:val="auto"/>
        </w:rPr>
      </w:pPr>
      <w:r>
        <w:rPr>
          <w:rFonts w:ascii="Arial" w:cs="Arial" w:eastAsia="Arial" w:hAnsi="Arial"/>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420" w:firstLine="749"/>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2023. The Company does not anticipate recognizing any significant losses relating to these arrangements.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Strategic Reprioritization</w:t>
      </w:r>
    </w:p>
    <w:p>
      <w:pPr>
        <w:spacing w:after="0" w:line="121"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Substantially all other research and development activities have been paused to increase operational efficiency.</w:t>
      </w:r>
    </w:p>
    <w:p>
      <w:pPr>
        <w:spacing w:after="0" w:line="184"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 xml:space="preserve">In connection with prioritization of programs, the Company reduced headcount by approximately 35% across all functions in March 2022. In accordance with ASC 420, </w:t>
      </w:r>
      <w:r>
        <w:rPr>
          <w:rFonts w:ascii="Arial" w:cs="Arial" w:eastAsia="Arial" w:hAnsi="Arial"/>
          <w:sz w:val="18"/>
          <w:szCs w:val="18"/>
          <w:i w:val="1"/>
          <w:iCs w:val="1"/>
          <w:color w:val="auto"/>
        </w:rPr>
        <w:t>Exit and Disposal Activities,</w:t>
      </w:r>
      <w:r>
        <w:rPr>
          <w:rFonts w:ascii="Arial" w:cs="Arial" w:eastAsia="Arial" w:hAnsi="Arial"/>
          <w:sz w:val="18"/>
          <w:szCs w:val="18"/>
          <w:color w:val="auto"/>
        </w:rPr>
        <w:t xml:space="preserve"> the Company recorded one-time severance and termination-related costs of $2.6 million in the condensed consolidated statements of operations for the six months ended June 30, 2022, primarily within research and development expenses. Throughout the first quarter of 2023, the Company further reduced headcount and recorded additional one-time severance and termination related costs of $2.7 million within research and development and general and administrative expenses.</w:t>
      </w:r>
    </w:p>
    <w:p>
      <w:pPr>
        <w:spacing w:after="0" w:line="188"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Company expects payment of these costs to be complete by March 31, 2024. The amount of accrued severance recorded as of June 30, 2023 is as follows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6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As of June 30, 2023</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Accrued severance balance as of December 31, 2022</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Severance recorded</w:t>
            </w:r>
          </w:p>
        </w:tc>
        <w:tc>
          <w:tcPr>
            <w:tcW w:w="540" w:type="dxa"/>
            <w:vAlign w:val="bottom"/>
            <w:shd w:val="clear" w:color="auto" w:fill="CFF0FC"/>
          </w:tcPr>
          <w:p>
            <w:pPr>
              <w:spacing w:after="0"/>
              <w:rPr>
                <w:sz w:val="21"/>
                <w:szCs w:val="21"/>
                <w:color w:val="auto"/>
              </w:rPr>
            </w:pPr>
          </w:p>
        </w:tc>
        <w:tc>
          <w:tcPr>
            <w:tcW w:w="2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Severance paid</w:t>
            </w:r>
          </w:p>
        </w:tc>
        <w:tc>
          <w:tcPr>
            <w:tcW w:w="540" w:type="dxa"/>
            <w:vAlign w:val="bottom"/>
          </w:tcPr>
          <w:p>
            <w:pPr>
              <w:spacing w:after="0"/>
              <w:rPr>
                <w:sz w:val="20"/>
                <w:szCs w:val="20"/>
                <w:color w:val="auto"/>
              </w:rPr>
            </w:pPr>
          </w:p>
        </w:tc>
        <w:tc>
          <w:tcPr>
            <w:tcW w:w="2960" w:type="dxa"/>
            <w:vAlign w:val="bottom"/>
            <w:gridSpan w:val="2"/>
          </w:tcPr>
          <w:p>
            <w:pPr>
              <w:jc w:val="right"/>
              <w:ind w:right="40"/>
              <w:spacing w:after="0"/>
              <w:rPr>
                <w:sz w:val="20"/>
                <w:szCs w:val="20"/>
                <w:color w:val="auto"/>
              </w:rPr>
            </w:pPr>
            <w:r>
              <w:rPr>
                <w:rFonts w:ascii="Arial" w:cs="Arial" w:eastAsia="Arial" w:hAnsi="Arial"/>
                <w:sz w:val="18"/>
                <w:szCs w:val="18"/>
                <w:color w:val="auto"/>
              </w:rPr>
              <w:t>(2,400 )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severance balance as of June 30, 2023</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Retirement Plan</w:t>
      </w:r>
    </w:p>
    <w:p>
      <w:pPr>
        <w:spacing w:after="0" w:line="121"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and $0.1 million to the 401(k) retirement savings plan for the three months ended June 30, 2023 and 2022, respectively. The Company contributed $0.2 million and $0.6 million to the 401(k) retirement savings plan for the six months ended June 30, 2023 and 2022,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1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On August 14, 2023, the Company entered into a Securities Purchase Agreement (the “Purchase Agreement”) with certain institutional and other accredited investors (the “Purchasers”), pursuant to which the Company agreed to sell and issue to the Purchasers in a private placement transaction (the “Private Placement”) (i) 122,412,376 shares (the “Shares”) of the Company’s common stock, par value $0.00001 (“Common Stock”), and (ii) with respect to certain Purchasers, pre-funded warrants to purchase 44,250,978 shares of Common Stock (the “Pre-Funded Warrants”) in lieu of Shares. The purchase price per share of Common Stock is $0.90 per share (the “Purchase Price”), and the purchase price for the Pre-Funded Warrants is the Purchase Price minus $0.001 per Pre-Funded Warrant.</w:t>
      </w:r>
    </w:p>
    <w:p>
      <w:pPr>
        <w:spacing w:after="0" w:line="192" w:lineRule="exact"/>
        <w:rPr>
          <w:sz w:val="20"/>
          <w:szCs w:val="20"/>
          <w:color w:val="auto"/>
        </w:rPr>
      </w:pPr>
    </w:p>
    <w:p>
      <w:pPr>
        <w:ind w:right="40" w:firstLine="599"/>
        <w:spacing w:after="0" w:line="277" w:lineRule="auto"/>
        <w:rPr>
          <w:sz w:val="20"/>
          <w:szCs w:val="20"/>
          <w:color w:val="auto"/>
        </w:rPr>
      </w:pPr>
      <w:r>
        <w:rPr>
          <w:rFonts w:ascii="Arial" w:cs="Arial" w:eastAsia="Arial" w:hAnsi="Arial"/>
          <w:sz w:val="18"/>
          <w:szCs w:val="18"/>
          <w:color w:val="auto"/>
        </w:rPr>
        <w:t>The Pre-Funded Warrants have a per share exercise price of $0.001, subject to proportional adjustments in the event of stock splits or combinations or similar events. The Pre-Funded Warrants will not expire until exercised in full. The Pre-Funded Warrants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ind w:right="40"/>
        <w:spacing w:after="0" w:line="291" w:lineRule="auto"/>
        <w:rPr>
          <w:sz w:val="20"/>
          <w:szCs w:val="20"/>
          <w:color w:val="auto"/>
        </w:rPr>
      </w:pPr>
      <w:r>
        <w:rPr>
          <w:rFonts w:ascii="Arial" w:cs="Arial" w:eastAsia="Arial" w:hAnsi="Arial"/>
          <w:sz w:val="16"/>
          <w:szCs w:val="16"/>
          <w:color w:val="auto"/>
        </w:rPr>
        <w:t>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 The Pre-Funded Warrants will only be exercisable upon receipt of stockholder approval of an increase in the authorized shares of the Company's common stock (the “Stockholder Approval”), which the Company will first seek to obtain at a special meeting of stockholders to be held by December 31, 2023. If the Company does not obtain Stockholder Approval by December 31, 2023, it is required to pay liquidated damages of 2.0% of the aggregate purchase price paid by each holder of Pre-Funded Warrants. For any subsequent failure to obtain Stockholder Approval, the Company is required to pay an additional 2.0% as liquidated damages.</w:t>
      </w:r>
    </w:p>
    <w:p>
      <w:pPr>
        <w:spacing w:after="0" w:line="166"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The closing of the Private Placement is expected to occur on or before August 16, 2023 (the “Closing”), subject to customary closing conditions. The total gross proceeds to the Company at the Closing are expected to be approximately $150 million, before deducting placement agent commissions and offering expenses payable by the Company.</w:t>
      </w:r>
    </w:p>
    <w:p>
      <w:pPr>
        <w:spacing w:after="0" w:line="184"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Under the terms of the Purchase Agreement, the Company has agreed to prepare and file, within 15 days after the Closing (the “Filing Deadline”), one or more registration statements with the Securities and Exchange Commission (the “SEC”) to register for resale the Common Stock issued under the Purchase Agreement and the shares of Common Stock issuable upon conversion of the Pre-Funded Warrants (the “Warrant Shares”) issued pursuant to the Purchase Agreement (together, the “Registrable Securities”), and to cause the applicable registration statements to become effective within a specified period after the Filing Deadline (the “Effectiveness Deadline”). The Company also agreed to use its best efforts to keep such registration statement effective until the earlier of (i) the third anniversary of the Effectiveness Date, as defined in the Purchase Agreement, or (ii) the date all Shares and Warrant Shares (assuming cashless exercise) held by or issuable to a Holder may be sold under Rule 144 without being subject to any volume, manner of sale or publicly available information requirements.</w:t>
      </w:r>
    </w:p>
    <w:p>
      <w:pPr>
        <w:spacing w:after="0" w:line="178" w:lineRule="exact"/>
        <w:rPr>
          <w:sz w:val="20"/>
          <w:szCs w:val="20"/>
          <w:color w:val="auto"/>
        </w:rPr>
      </w:pPr>
    </w:p>
    <w:p>
      <w:pPr>
        <w:jc w:val="both"/>
        <w:ind w:right="120" w:firstLine="749"/>
        <w:spacing w:after="0" w:line="311" w:lineRule="auto"/>
        <w:rPr>
          <w:sz w:val="20"/>
          <w:szCs w:val="20"/>
          <w:color w:val="auto"/>
        </w:rPr>
      </w:pPr>
      <w:r>
        <w:rPr>
          <w:rFonts w:ascii="Arial" w:cs="Arial" w:eastAsia="Arial" w:hAnsi="Arial"/>
          <w:sz w:val="16"/>
          <w:szCs w:val="16"/>
          <w:color w:val="auto"/>
        </w:rPr>
        <w:t>The Company has also agreed, among other things, to pay all Registration Expenses, as defined in the Purchase Agreement, which excludes the fees of legal counsel for any Holder, as defined in the Purchase Agreement. All selling commissions applicable to the sale of Registrable Securities and all fees and expenses of legal counsel for any Holder, as defined in the Purchase Agreement, shall be borne by such Holder.</w:t>
      </w:r>
    </w:p>
    <w:p>
      <w:pPr>
        <w:spacing w:after="0" w:line="149"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the event the registration statement has not been filed by the Filing Deadline or has not been declared effective by the SEC by the Effectiveness Deadline, each as defined in the Purchase Agreement, subject to certain limited exceptions, the Company has agreed to make pro rata payments to each Purchaser as liquidated damages in an amount equal to 1.0% of the Purchaser’s Subscription Amount, as defined in the Purchase Agreement, per 20-day period or pro rata for any portion thereof for each such 20-day period during which such event continues, subject to certain caps set forth in the Purchase Agreement.</w:t>
      </w:r>
    </w:p>
    <w:p>
      <w:pPr>
        <w:spacing w:after="0" w:line="188"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stockholders of, or other investors in, the Company. Accordingly, the Purchase Agreement is included with this filing only to provide investors with information regarding the terms of transaction and not to provide investors with any other factual information regarding the Company. 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Purchase Agreement, which subsequent information may or may not be fully reflected in public disclosures.</w:t>
      </w:r>
    </w:p>
    <w:p>
      <w:pPr>
        <w:spacing w:after="0" w:line="165"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2022 and the related Management’s Discussion and Analysis of Financial Condition and Results of Operations, included in our Annual Report on Form 10-K for the year ended December 31, 2022, or Annual Report, filed with the Securities and Exchange Commission, or the SEC, on March 28, 2023. Unless the context requires otherwise, references in this Quarterly Report on Form 10-Q to “we,” “us,” and “our” refer to Taysha Gene Therapies, Inc. together with its consolidated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Part II, Item 1A, “Risk Factors” in our Annual Report. The forward-looking statements are applicable only as of the date on which they are made, and we do not assume any obligation to update any forward-looking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35"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We are a patient-centric gene therapy company focused on developing and commercializing AAV-based gene therapies for the treatment of monogenic diseases of the central nervous system, or CNS. We were founded in partnership with The University of Texas Southwestern Medical Center, or UT Southwestern, to develop and commercialize transformative gene therapy treatments. Together with UT Southwestern, we possess a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giant axonal neuropathy, or GAN, and Rett syndrome, and we have subsequently further paused substantially all other research and development activities to increase operational efficiency.</w:t>
      </w:r>
    </w:p>
    <w:p>
      <w:pPr>
        <w:spacing w:after="0" w:line="178"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In April 2021, we acquired exclusive worldwide rights to TSHA-120, a clinical-stage, intrathecally dosed AAV9 gene therapy program for the treatment of GAN. A Phase 1/2 clinical trial of TSHA-120 is being conducted by the National Institutes of Health, or NIH, under an accepted investigational new drug application, or IND. We reported clinical safety and functional MFM32, a validated 32-item scale for motor function measurement developed for neuromuscular diseases, data from this trial for the highest dose cohort of 3.5x10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total vector genomes, or vg, (by dot blot) and 1.0x10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total vg (by ddPCR) in January 2022, where we saw continued clinically meaningful slowing of disease progression similar to that achieved with the lower dose cohorts, which we considered confirmatory of disease modification. We recently completed a commercially representative Good Manufacturing Practices, or GMP, batch of TSHA-120, which demonstrated that the pivotal lots from the commercial grade material were generally analytically comparable to the original clinical trial material. Release testing for this batch was completed in the fourth quarter of 2022. In September 2022, we submitted a meeting request to the U.S. Food and Drug Administration, or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Biologics License Application, or BLA. The FDA acknowledged that our overall approach to manufacturing of commercial material was appropriate pending review of a planned Chemistry, Manufacturing and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spacing w:after="0" w:line="270" w:lineRule="auto"/>
        <w:rPr>
          <w:sz w:val="20"/>
          <w:szCs w:val="20"/>
          <w:color w:val="auto"/>
        </w:rPr>
      </w:pPr>
      <w:r>
        <w:rPr>
          <w:rFonts w:ascii="Arial" w:cs="Arial" w:eastAsia="Arial" w:hAnsi="Arial"/>
          <w:sz w:val="17"/>
          <w:szCs w:val="17"/>
          <w:color w:val="auto"/>
        </w:rPr>
        <w:t>Controls, or CMC, data package for TSHA-120. Subsequently, we submitted follow up questions in response to the formal meeting minutes. The FDA clarified MFM32 as a relevant primary endpoint in the setting of a randomized, double-blind, placebo-controlled trial and acknowledged Taysha's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received feedback in July 2023. The FDA concluded that analytical data is sufficient to support the comparability study (comparing early clinical and pivotal lots) and pivotal lot release for use in planned clinical studies.</w:t>
      </w:r>
    </w:p>
    <w:p>
      <w:pPr>
        <w:spacing w:after="0" w:line="181"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We are evaluating TSHA-102 in the REVEAL Phase 1/2 clinical trial, which is an open-label, dose escalation, randomized, multicenter study that is examining the safety and efficacy of TSHA-102 in adult female patients with Rett syndrome. We dosed the first adult patient with Rett syndrome in the first half of 2023. The independent data monitoring committee, or IDMC, meeting to review the initial safety data from the first patient took place in the early third quarter of 2023 at which time the IDMC provided clearance to dose the next patient. There have been no treatment-emergent serious adverse events as of the six-week assessment post-treatment. We will continue to report quarterly updates on available clinical data from the adult study. We submitted a clinical trial application, or CTA, to the United Kingdom’s Medicines and Healthcare Products Regulatory Agency, or MHRA, for pediatric patients with Rett syndrome and submitted an IND application for pediatric patients with Rett syndrome to the FDA for TSHA-102 early in the third quarter of 2023. In August 2023, we received clearance from the FDA on our IND for TSHA-102 in pediatric patients with Rett syndrome.</w:t>
      </w:r>
    </w:p>
    <w:p>
      <w:pPr>
        <w:spacing w:after="0" w:line="165"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Both of our lead product candidates are still in the clinical stage. We do not have any product candidates approved for sale and have not generated any revenue from product sales. We have funded our operations primarily through: (i) the sale of equity, raising an aggregate of $439.0 million of gross proceeds from our initial public offering, or the IPO, sales of common stock pursuant to our Sales Agreement (as defined below) and our October 2022 follow-on offering; (ii) pre-IPO private placements of our convertible preferred stock and other private placements of our common stock; (iii) our Term Loan Agreement (as defined below); and (iv) the Astellas Transactions.</w:t>
      </w:r>
    </w:p>
    <w:p>
      <w:pPr>
        <w:spacing w:after="0" w:line="177"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We did not draw any of the additional $20.0 million tranches prior to their expiration on September 30, 2022 and March 31, 2023.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179"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Since our inception, we have incurred significant operating losses. Our net losses were $42.2 million for the six months ended June 30, 2023 and $84.4 million for the six months ended June 30, 2022. As of June 30, 2023, we had an accumulated deficit of $443.7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1140" w:right="760" w:hanging="38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advance the clinical development of our product candidates and, if we determine to do so in the future, reprioritize the advancement of our preclinical and discovery programs;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ongoing clinical trials of TSHA-102, TSHA-120 and any other future product candidates that we advance;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 with CMOs for the manufacture current GMP material for clinical trials or potential commercial sales;</w:t>
      </w:r>
    </w:p>
    <w:p>
      <w:pPr>
        <w:spacing w:after="0" w:line="117" w:lineRule="exact"/>
        <w:rPr>
          <w:rFonts w:ascii="Arial" w:cs="Arial" w:eastAsia="Arial" w:hAnsi="Arial"/>
          <w:sz w:val="18"/>
          <w:szCs w:val="18"/>
          <w:color w:val="auto"/>
        </w:rPr>
      </w:pPr>
    </w:p>
    <w:p>
      <w:pPr>
        <w:ind w:left="1140" w:right="8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1140" w:hanging="383"/>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300" w:firstLine="749"/>
        <w:spacing w:after="0" w:line="301" w:lineRule="auto"/>
        <w:rPr>
          <w:sz w:val="20"/>
          <w:szCs w:val="20"/>
          <w:color w:val="auto"/>
        </w:rPr>
      </w:pPr>
      <w:r>
        <w:rPr>
          <w:rFonts w:ascii="Arial" w:cs="Arial" w:eastAsia="Arial" w:hAnsi="Arial"/>
          <w:sz w:val="16"/>
          <w:szCs w:val="16"/>
          <w:color w:val="auto"/>
        </w:rPr>
        <w:t>We possess a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108585</wp:posOffset>
            </wp:positionV>
            <wp:extent cx="6172200" cy="13627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7220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TSHA-102 for Rett Syndrome</w:t>
      </w:r>
    </w:p>
    <w:p>
      <w:pPr>
        <w:spacing w:after="0" w:line="117"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TSHA-102 is a self-complementary intrathecally delivered AAV9 gene transfer therapy product candidate in clinical evaluation for Rett syndrome, a neurodevelopmental disorder and one of the most common genetic causes of severe intellectual disability, characterized by rapid developmental regression and in many cases caused by heterozygous loss of function mutations in MECP2, a gene essential for neuronal and synaptic function in the brain. TSHA-102 has been designed to prevent gene overexpression-related toxicity by inserting microRNA, or miRNA target binding sites into the 3’ untranslated region of viral genomes. This overexpression of MECP2 is seen clinically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which enables cellular regulation of both endogenous and exogenous MECP2 expression. According to the Rett Syndrome Research Trust, Rett syndrome affects more than 350,000 patients worldwide. The estimated addressable patient population with typical Rett syndrome caused by a pathogenic/likely pathogenic MECP2 mutation is between 15,000 and 20,000 patients in the United States, European Union and United Kingdom.</w:t>
      </w:r>
    </w:p>
    <w:p>
      <w:pPr>
        <w:spacing w:after="0" w:line="182"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 xml:space="preserve">In May 2021, preclinical data for TSHA-102 were published online in </w:t>
      </w:r>
      <w:r>
        <w:rPr>
          <w:rFonts w:ascii="Arial" w:cs="Arial" w:eastAsia="Arial" w:hAnsi="Arial"/>
          <w:sz w:val="17"/>
          <w:szCs w:val="17"/>
          <w:i w:val="1"/>
          <w:iCs w:val="1"/>
          <w:color w:val="auto"/>
        </w:rPr>
        <w:t>Brain</w:t>
      </w:r>
      <w:r>
        <w:rPr>
          <w:rFonts w:ascii="Arial" w:cs="Arial" w:eastAsia="Arial" w:hAnsi="Arial"/>
          <w:sz w:val="17"/>
          <w:szCs w:val="17"/>
          <w:color w:val="auto"/>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ind w:right="100" w:firstLine="749"/>
        <w:spacing w:after="0" w:line="263" w:lineRule="auto"/>
        <w:rPr>
          <w:sz w:val="20"/>
          <w:szCs w:val="20"/>
          <w:color w:val="auto"/>
        </w:rPr>
      </w:pPr>
      <w:r>
        <w:rPr>
          <w:rFonts w:ascii="Arial" w:cs="Arial" w:eastAsia="Arial" w:hAnsi="Arial"/>
          <w:sz w:val="18"/>
          <w:szCs w:val="18"/>
          <w:color w:val="auto"/>
        </w:rPr>
        <w:t>TSHA-102 extended survival of KO (MECP2 -/y) mice by 56% via IT delivery. In contrast, the unregulated miniMECP2 gene transfer failed to significantly extend KO survival at all doses tested. Additionally, the unregulated full-length MECP2 construct did not demonstrate a significant extension in survival and was associated with an unacceptable toxicity profile in wild type mice.</w:t>
      </w:r>
    </w:p>
    <w:p>
      <w:pPr>
        <w:spacing w:after="0" w:line="184"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177"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miRARE-mediated genotype-dependent gene regulation was demonstrated by analyzing tissue sections from wild type and KO mice treated with AAV9 vectors given intrathecally. When KO mice were injected with a vector expressing the mini-MECP2 transgene with and without the miRARE element, miRARE reduced overall miniMECP2 transgene expression compared to unregulated miniMECP2 in wild type mice as shown below.</w:t>
      </w:r>
    </w:p>
    <w:p>
      <w:pPr>
        <w:spacing w:after="0" w:line="149"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graph on the left depicts KO mice treated with regulated and unregulated vectors showed equivalent vector DNA biodistribution, confirming matched titers and injection accuracy (n = 3-8 mice per bar).</w:t>
      </w:r>
    </w:p>
    <w:p>
      <w:pPr>
        <w:spacing w:after="0" w:line="170"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graph on the right depicts miRARE significantly decreased transgene expression versus that conferred by the unregulated vector construct (n = 6-8 mice per bar; P &lt; 0.05 for brain, cervical cord, or CC, thoracic cord, or TC, and lumbar cord, or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172200" cy="3471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Source: Variant of Supplemental Fig 6B and C from Sinnett et al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firstLine="749"/>
        <w:spacing w:after="0" w:line="259" w:lineRule="auto"/>
        <w:rPr>
          <w:sz w:val="20"/>
          <w:szCs w:val="20"/>
          <w:color w:val="auto"/>
        </w:rPr>
      </w:pPr>
      <w:r>
        <w:rPr>
          <w:rFonts w:ascii="Arial" w:cs="Arial" w:eastAsia="Arial" w:hAnsi="Arial"/>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KO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281940</wp:posOffset>
            </wp:positionV>
            <wp:extent cx="4663440" cy="28632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6344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Source: Variant of Fig 6B from Sinnett SE, Boyle E, Lyons C, Gray SJ. Engineered microRNA-based regulatory element permits safe high-</w:t>
      </w:r>
    </w:p>
    <w:p>
      <w:pPr>
        <w:ind w:left="1500"/>
        <w:spacing w:after="0"/>
        <w:rPr>
          <w:sz w:val="20"/>
          <w:szCs w:val="20"/>
          <w:color w:val="auto"/>
        </w:rPr>
      </w:pPr>
      <w:r>
        <w:rPr>
          <w:rFonts w:ascii="Arial" w:cs="Arial" w:eastAsia="Arial" w:hAnsi="Arial"/>
          <w:sz w:val="14"/>
          <w:szCs w:val="14"/>
          <w:color w:val="auto"/>
        </w:rPr>
        <w:t>dose miniMECP2 gene therapy in Rett mice. Brain. 2021; 144(10): 3005-3019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201930</wp:posOffset>
            </wp:positionV>
            <wp:extent cx="4791710" cy="2314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9171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Source: Figure 6C from Sinnett SE, Boyle E, Lyons C, Gray SJ. Engineered microRNA-based regulatory element</w:t>
      </w:r>
    </w:p>
    <w:p>
      <w:pPr>
        <w:ind w:left="2260"/>
        <w:spacing w:after="0"/>
        <w:rPr>
          <w:sz w:val="20"/>
          <w:szCs w:val="20"/>
          <w:color w:val="auto"/>
        </w:rPr>
      </w:pPr>
      <w:r>
        <w:rPr>
          <w:rFonts w:ascii="Arial" w:cs="Arial" w:eastAsia="Arial" w:hAnsi="Arial"/>
          <w:sz w:val="14"/>
          <w:szCs w:val="14"/>
          <w:color w:val="auto"/>
        </w:rPr>
        <w:t xml:space="preserve">permits safe high-dose miniMECP2 gene therapy in Rett mice. </w:t>
      </w:r>
      <w:r>
        <w:rPr>
          <w:rFonts w:ascii="Arial" w:cs="Arial" w:eastAsia="Arial" w:hAnsi="Arial"/>
          <w:sz w:val="14"/>
          <w:szCs w:val="14"/>
          <w:i w:val="1"/>
          <w:iCs w:val="1"/>
          <w:color w:val="auto"/>
        </w:rPr>
        <w:t>Brain</w:t>
      </w:r>
      <w:r>
        <w:rPr>
          <w:rFonts w:ascii="Arial" w:cs="Arial" w:eastAsia="Arial" w:hAnsi="Arial"/>
          <w:sz w:val="14"/>
          <w:szCs w:val="14"/>
          <w:color w:val="auto"/>
        </w:rPr>
        <w:t>. 2021; 144(10): 3005-3019.</w:t>
      </w:r>
    </w:p>
    <w:p>
      <w:pPr>
        <w:spacing w:after="0" w:line="344"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0" w:right="439" w:bottom="1440" w:gutter="0" w:footer="0" w:header="0"/>
        </w:sectPr>
      </w:pPr>
    </w:p>
    <w:bookmarkStart w:id="30" w:name="page31"/>
    <w:bookmarkEnd w:id="30"/>
    <w:p>
      <w:pPr>
        <w:spacing w:after="0" w:line="262" w:lineRule="auto"/>
        <w:rPr>
          <w:sz w:val="20"/>
          <w:szCs w:val="20"/>
          <w:color w:val="auto"/>
        </w:rPr>
      </w:pPr>
      <w:r>
        <w:rPr>
          <w:rFonts w:ascii="Arial" w:cs="Arial" w:eastAsia="Arial" w:hAnsi="Arial"/>
          <w:sz w:val="17"/>
          <w:szCs w:val="17"/>
          <w:color w:val="auto"/>
        </w:rPr>
        <w:t>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KO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KO mice. An additional study in neonatal mice (n=45) was completed and data showed prolonged survival. Finally, IND/CTA-enabling 6-month GLP toxicology studies examined the biodistribution, toxicological effects and mechanism of action of TSHA-102 when intrathecally administered to NHP and rats in three dose levels, up to 2.0x10</w:t>
      </w:r>
      <w:r>
        <w:rPr>
          <w:rFonts w:ascii="Arial" w:cs="Arial" w:eastAsia="Arial" w:hAnsi="Arial"/>
          <w:sz w:val="23"/>
          <w:szCs w:val="23"/>
          <w:color w:val="auto"/>
          <w:vertAlign w:val="superscript"/>
        </w:rPr>
        <w:t>15</w:t>
      </w:r>
      <w:r>
        <w:rPr>
          <w:rFonts w:ascii="Arial" w:cs="Arial" w:eastAsia="Arial" w:hAnsi="Arial"/>
          <w:sz w:val="17"/>
          <w:szCs w:val="17"/>
          <w:color w:val="auto"/>
        </w:rPr>
        <w:t xml:space="preserve"> vg/animal, which was well tolerated in both WT species. Biodistribution, as reflected by DNA copy number, was observed in multiple areas of the brain, sections of spinal cord and the DRG as shown below.</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NHP Toxicology Study - Broad biodistribution to brain and spinal 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111760</wp:posOffset>
            </wp:positionV>
            <wp:extent cx="6172200" cy="2451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Source: Company data</w:t>
      </w:r>
    </w:p>
    <w:p>
      <w:pPr>
        <w:spacing w:after="0" w:line="316" w:lineRule="exact"/>
        <w:rPr>
          <w:sz w:val="20"/>
          <w:szCs w:val="20"/>
          <w:color w:val="auto"/>
        </w:rPr>
      </w:pPr>
    </w:p>
    <w:p>
      <w:pPr>
        <w:ind w:right="620" w:firstLine="749"/>
        <w:spacing w:after="0" w:line="259" w:lineRule="auto"/>
        <w:rPr>
          <w:sz w:val="20"/>
          <w:szCs w:val="20"/>
          <w:color w:val="auto"/>
        </w:rPr>
      </w:pPr>
      <w:r>
        <w:rPr>
          <w:rFonts w:ascii="Arial" w:cs="Arial" w:eastAsia="Arial" w:hAnsi="Arial"/>
          <w:sz w:val="18"/>
          <w:szCs w:val="18"/>
          <w:color w:val="auto"/>
        </w:rPr>
        <w:t>Importantly, mRNA levels across multiple tissues were low, indicating miRARE regulation is minimizing 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spacing w:after="0" w:line="187" w:lineRule="exact"/>
        <w:rPr>
          <w:sz w:val="20"/>
          <w:szCs w:val="20"/>
          <w:color w:val="auto"/>
        </w:rPr>
      </w:pPr>
    </w:p>
    <w:p>
      <w:pPr>
        <w:ind w:right="60" w:firstLine="749"/>
        <w:spacing w:after="0" w:line="225" w:lineRule="exact"/>
        <w:rPr>
          <w:sz w:val="20"/>
          <w:szCs w:val="20"/>
          <w:color w:val="auto"/>
        </w:rPr>
      </w:pPr>
      <w:r>
        <w:rPr>
          <w:rFonts w:ascii="Arial" w:cs="Arial" w:eastAsia="Arial" w:hAnsi="Arial"/>
          <w:sz w:val="17"/>
          <w:szCs w:val="17"/>
          <w:color w:val="auto"/>
        </w:rPr>
        <w:t>In a neonatal KO Rett mouse efficacy study, treatment with TSHA-102 resulted in near normalization of survival as shown below. TSHA-102 at the dose of 8.8x10</w:t>
      </w:r>
      <w:r>
        <w:rPr>
          <w:rFonts w:ascii="Arial" w:cs="Arial" w:eastAsia="Arial" w:hAnsi="Arial"/>
          <w:sz w:val="23"/>
          <w:szCs w:val="23"/>
          <w:color w:val="auto"/>
          <w:vertAlign w:val="superscript"/>
        </w:rPr>
        <w:t>10</w:t>
      </w:r>
      <w:r>
        <w:rPr>
          <w:rFonts w:ascii="Arial" w:cs="Arial" w:eastAsia="Arial" w:hAnsi="Arial"/>
          <w:sz w:val="17"/>
          <w:szCs w:val="17"/>
          <w:color w:val="auto"/>
        </w:rPr>
        <w:t xml:space="preserve"> vg/mouse, which translates to the Human Equivalent Dose of 2.86x10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vg/participant significantly improved survival when administered in Postnatal day mice by intracerebroventricular, or ICV, injection. While the longest-lived vehicle</w:t>
      </w:r>
      <w:r>
        <w:rPr>
          <w:rFonts w:ascii="MS PGothic" w:cs="MS PGothic" w:eastAsia="MS PGothic" w:hAnsi="MS PGothic"/>
          <w:sz w:val="17"/>
          <w:szCs w:val="17"/>
          <w:color w:val="auto"/>
        </w:rPr>
        <w:t>‐</w:t>
      </w:r>
      <w:r>
        <w:rPr>
          <w:rFonts w:ascii="Arial" w:cs="Arial" w:eastAsia="Arial" w:hAnsi="Arial"/>
          <w:sz w:val="17"/>
          <w:szCs w:val="17"/>
          <w:color w:val="auto"/>
        </w:rPr>
        <w:t xml:space="preserve">treated </w:t>
      </w:r>
      <w:r>
        <w:rPr>
          <w:rFonts w:ascii="Arial" w:cs="Arial" w:eastAsia="Arial" w:hAnsi="Arial"/>
          <w:sz w:val="17"/>
          <w:szCs w:val="17"/>
          <w:i w:val="1"/>
          <w:iCs w:val="1"/>
          <w:color w:val="auto"/>
        </w:rPr>
        <w:t>Mecp2</w:t>
      </w:r>
      <w:r>
        <w:rPr>
          <w:rFonts w:ascii="MS PGothic" w:cs="MS PGothic" w:eastAsia="MS PGothic" w:hAnsi="MS PGothic"/>
          <w:sz w:val="23"/>
          <w:szCs w:val="23"/>
          <w:i w:val="1"/>
          <w:iCs w:val="1"/>
          <w:color w:val="auto"/>
          <w:vertAlign w:val="superscript"/>
        </w:rPr>
        <w:t>‐</w:t>
      </w:r>
      <w:r>
        <w:rPr>
          <w:rFonts w:ascii="Arial" w:cs="Arial" w:eastAsia="Arial" w:hAnsi="Arial"/>
          <w:sz w:val="23"/>
          <w:szCs w:val="23"/>
          <w:i w:val="1"/>
          <w:iCs w:val="1"/>
          <w:color w:val="auto"/>
          <w:vertAlign w:val="superscript"/>
        </w:rPr>
        <w:t>/Y</w:t>
      </w:r>
      <w:r>
        <w:rPr>
          <w:rFonts w:ascii="Arial" w:cs="Arial" w:eastAsia="Arial" w:hAnsi="Arial"/>
          <w:sz w:val="17"/>
          <w:szCs w:val="17"/>
          <w:color w:val="auto"/>
        </w:rPr>
        <w:t xml:space="preserve"> male survived to 13.3 weeks only, 47% of the treated </w:t>
      </w:r>
      <w:r>
        <w:rPr>
          <w:rFonts w:ascii="Arial" w:cs="Arial" w:eastAsia="Arial" w:hAnsi="Arial"/>
          <w:sz w:val="17"/>
          <w:szCs w:val="17"/>
          <w:i w:val="1"/>
          <w:iCs w:val="1"/>
          <w:color w:val="auto"/>
        </w:rPr>
        <w:t>Mecp2</w:t>
      </w:r>
      <w:r>
        <w:rPr>
          <w:rFonts w:ascii="MS PGothic" w:cs="MS PGothic" w:eastAsia="MS PGothic" w:hAnsi="MS PGothic"/>
          <w:sz w:val="23"/>
          <w:szCs w:val="23"/>
          <w:i w:val="1"/>
          <w:iCs w:val="1"/>
          <w:color w:val="auto"/>
          <w:vertAlign w:val="superscript"/>
        </w:rPr>
        <w:t>‐</w:t>
      </w:r>
      <w:r>
        <w:rPr>
          <w:rFonts w:ascii="Arial" w:cs="Arial" w:eastAsia="Arial" w:hAnsi="Arial"/>
          <w:sz w:val="23"/>
          <w:szCs w:val="23"/>
          <w:i w:val="1"/>
          <w:iCs w:val="1"/>
          <w:color w:val="auto"/>
          <w:vertAlign w:val="superscript"/>
        </w:rPr>
        <w:t>/Y</w:t>
      </w:r>
      <w:r>
        <w:rPr>
          <w:rFonts w:ascii="Arial" w:cs="Arial" w:eastAsia="Arial" w:hAnsi="Arial"/>
          <w:sz w:val="17"/>
          <w:szCs w:val="17"/>
          <w:color w:val="auto"/>
        </w:rPr>
        <w:t xml:space="preserve"> males survived to 36 weeks of age, which was the conclusion of the study and all subjects were then sacrificed. The Bird Score, a composite measure of six different phenotypes, was significantly improved in TSHA</w:t>
      </w:r>
      <w:r>
        <w:rPr>
          <w:rFonts w:ascii="MS PGothic" w:cs="MS PGothic" w:eastAsia="MS PGothic" w:hAnsi="MS PGothic"/>
          <w:sz w:val="17"/>
          <w:szCs w:val="17"/>
          <w:color w:val="auto"/>
        </w:rPr>
        <w:t>‐</w:t>
      </w:r>
      <w:r>
        <w:rPr>
          <w:rFonts w:ascii="Arial" w:cs="Arial" w:eastAsia="Arial" w:hAnsi="Arial"/>
          <w:sz w:val="17"/>
          <w:szCs w:val="17"/>
          <w:color w:val="auto"/>
        </w:rPr>
        <w:t>102</w:t>
      </w:r>
      <w:r>
        <w:rPr>
          <w:rFonts w:ascii="MS PGothic" w:cs="MS PGothic" w:eastAsia="MS PGothic" w:hAnsi="MS PGothic"/>
          <w:sz w:val="17"/>
          <w:szCs w:val="17"/>
          <w:color w:val="auto"/>
        </w:rPr>
        <w:t>‐</w:t>
      </w:r>
      <w:r>
        <w:rPr>
          <w:rFonts w:ascii="Arial" w:cs="Arial" w:eastAsia="Arial" w:hAnsi="Arial"/>
          <w:sz w:val="17"/>
          <w:szCs w:val="17"/>
          <w:color w:val="auto"/>
        </w:rPr>
        <w:t>treated KO mice. TSHA</w:t>
      </w:r>
      <w:r>
        <w:rPr>
          <w:rFonts w:ascii="MS PGothic" w:cs="MS PGothic" w:eastAsia="MS PGothic" w:hAnsi="MS PGothic"/>
          <w:sz w:val="17"/>
          <w:szCs w:val="17"/>
          <w:color w:val="auto"/>
        </w:rPr>
        <w:t>‐</w:t>
      </w:r>
      <w:r>
        <w:rPr>
          <w:rFonts w:ascii="Arial" w:cs="Arial" w:eastAsia="Arial" w:hAnsi="Arial"/>
          <w:sz w:val="17"/>
          <w:szCs w:val="17"/>
          <w:color w:val="auto"/>
        </w:rPr>
        <w:t>102 significantly delayed the average age of onset for severe clasping from approximately 7 to 21 weeks and severely abnormal gait from approximately 8 to 20 weeks. TSHA</w:t>
      </w:r>
      <w:r>
        <w:rPr>
          <w:rFonts w:ascii="MS PGothic" w:cs="MS PGothic" w:eastAsia="MS PGothic" w:hAnsi="MS PGothic"/>
          <w:sz w:val="17"/>
          <w:szCs w:val="17"/>
          <w:color w:val="auto"/>
        </w:rPr>
        <w:t>‐</w:t>
      </w:r>
      <w:r>
        <w:rPr>
          <w:rFonts w:ascii="Arial" w:cs="Arial" w:eastAsia="Arial" w:hAnsi="Arial"/>
          <w:sz w:val="17"/>
          <w:szCs w:val="17"/>
          <w:color w:val="auto"/>
        </w:rPr>
        <w:t>102 treatment at 8.8x10</w:t>
      </w:r>
      <w:r>
        <w:rPr>
          <w:rFonts w:ascii="Arial" w:cs="Arial" w:eastAsia="Arial" w:hAnsi="Arial"/>
          <w:sz w:val="23"/>
          <w:szCs w:val="23"/>
          <w:color w:val="auto"/>
          <w:vertAlign w:val="superscript"/>
        </w:rPr>
        <w:t>10</w:t>
      </w:r>
      <w:r>
        <w:rPr>
          <w:rFonts w:ascii="Arial" w:cs="Arial" w:eastAsia="Arial" w:hAnsi="Arial"/>
          <w:sz w:val="17"/>
          <w:szCs w:val="17"/>
          <w:color w:val="auto"/>
        </w:rPr>
        <w:t xml:space="preserve"> vg/mouse extended survival significantly in neonatal Mecp2</w:t>
      </w:r>
      <w:r>
        <w:rPr>
          <w:rFonts w:ascii="MS PGothic" w:cs="MS PGothic" w:eastAsia="MS PGothic" w:hAnsi="MS PGothic"/>
          <w:sz w:val="23"/>
          <w:szCs w:val="23"/>
          <w:color w:val="auto"/>
          <w:vertAlign w:val="superscript"/>
        </w:rPr>
        <w:t>‐</w:t>
      </w:r>
      <w:r>
        <w:rPr>
          <w:rFonts w:ascii="Arial" w:cs="Arial" w:eastAsia="Arial" w:hAnsi="Arial"/>
          <w:sz w:val="23"/>
          <w:szCs w:val="23"/>
          <w:color w:val="auto"/>
          <w:vertAlign w:val="superscript"/>
        </w:rPr>
        <w:t>/Y</w:t>
      </w:r>
      <w:r>
        <w:rPr>
          <w:rFonts w:ascii="Arial" w:cs="Arial" w:eastAsia="Arial" w:hAnsi="Arial"/>
          <w:sz w:val="17"/>
          <w:szCs w:val="17"/>
          <w:color w:val="auto"/>
        </w:rPr>
        <w:t xml:space="preserve"> males, improved weight, improved their overall phenotypic score, and delayed the age of onset for severely abnormal limb clasping and gait.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2359660</wp:posOffset>
            </wp:positionH>
            <wp:positionV relativeFrom="page">
              <wp:posOffset>226060</wp:posOffset>
            </wp:positionV>
            <wp:extent cx="3282950" cy="2459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328295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Source: Company data</w:t>
      </w:r>
    </w:p>
    <w:p>
      <w:pPr>
        <w:spacing w:after="0" w:line="343"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In addition, neonatal KO Rett mice demonstrated normalization of behavior following treatment with TSHA-102 as assessed by the Bird Score, a composite measure of six different phenotypic abilities. KO animals were initially assessed at four weeks of age with a mean Bird Score of four. Over the course of the study, TSHA-102 improved the behaviors (as assessed by the Bird aggregate score) of TSHA-102 treated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172085</wp:posOffset>
            </wp:positionV>
            <wp:extent cx="4020185" cy="2606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2018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Source: Lyst MJ, Bird A. Rett syndrome: a complex disorder with simple roots. Nat Rev</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Genet. 2015 May;16(5):261-75. doi: 10.1038/nrg3897. Epub 2015 Mar 3. PMID: 25732612</w:t>
      </w:r>
    </w:p>
    <w:p>
      <w:pPr>
        <w:spacing w:after="0" w:line="211"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As shown in the table below, TSHA-102 demonstrated broad biodistribution to the brain and spinal cord with low mRNA in the tissue of NHPs. Vector genome copy numbers detected in the brain, spinal cord and DRG were appropriately above 1.0 vg/diploid genome. miniMECP2 mRNA measured in the brain, spinal cord and DRG were zero, indicating downregulation of miRNA copies.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ind w:right="620" w:firstLine="749"/>
        <w:spacing w:after="0" w:line="311" w:lineRule="auto"/>
        <w:rPr>
          <w:sz w:val="20"/>
          <w:szCs w:val="20"/>
          <w:color w:val="auto"/>
        </w:rPr>
      </w:pPr>
      <w:r>
        <w:rPr>
          <w:rFonts w:ascii="Arial" w:cs="Arial" w:eastAsia="Arial" w:hAnsi="Arial"/>
          <w:sz w:val="16"/>
          <w:szCs w:val="16"/>
          <w:color w:val="auto"/>
        </w:rPr>
        <w:t>In summary, we believe the totality of preclinical data generated to date, which includes the mouse pharmacology study to ascertain the minimally effective dose, two toxicology studies (wild type rat and wild type NHP), a mouse distribution and gene expression study, and the recent neonatal mouse data, represents the most robust package supporting clinical advancement of TSHA-102 in Rett syndrome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172085</wp:posOffset>
            </wp:positionV>
            <wp:extent cx="6103620" cy="22631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036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Safety and biodistribution assessments in NHPs were presented in May 2022 at the International Rett Syndrome Foundation (IRSF) meeting along with the caregiver perspective on Rett syndrome in adulthood. At the ASCEND National Summit, there was an oral presentation on “Putting Patients at the Center.” Finally, mouse pharmacology, rat and NHP toxicology data were presented at the 25th Annual Meeting of the American Society of Gene &amp; Cell Therapy (ASGCT) and the European Society for Gene and Cell Therapy Congress (ESGCT).</w:t>
      </w:r>
    </w:p>
    <w:p>
      <w:pPr>
        <w:spacing w:after="0" w:line="171" w:lineRule="exact"/>
        <w:rPr>
          <w:sz w:val="20"/>
          <w:szCs w:val="20"/>
          <w:color w:val="auto"/>
        </w:rPr>
      </w:pPr>
    </w:p>
    <w:p>
      <w:pPr>
        <w:ind w:firstLine="749"/>
        <w:spacing w:after="0" w:line="222" w:lineRule="exact"/>
        <w:rPr>
          <w:sz w:val="20"/>
          <w:szCs w:val="20"/>
          <w:color w:val="auto"/>
        </w:rPr>
      </w:pPr>
      <w:r>
        <w:rPr>
          <w:rFonts w:ascii="Arial" w:cs="Arial" w:eastAsia="Arial" w:hAnsi="Arial"/>
          <w:sz w:val="16"/>
          <w:szCs w:val="16"/>
          <w:color w:val="auto"/>
        </w:rPr>
        <w:t>To illustrate the full therapeutic potential of TSHA-102, additional data was generated, evaluating the efficacy in neonatal mice. TSHA-102 was assessed in a pharmacology study in neonatal KO (Mecp2</w:t>
      </w:r>
      <w:r>
        <w:rPr>
          <w:rFonts w:ascii="Arial" w:cs="Arial" w:eastAsia="Arial" w:hAnsi="Arial"/>
          <w:sz w:val="21"/>
          <w:szCs w:val="21"/>
          <w:color w:val="auto"/>
          <w:vertAlign w:val="superscript"/>
        </w:rPr>
        <w:t>-/Y</w:t>
      </w:r>
      <w:r>
        <w:rPr>
          <w:rFonts w:ascii="Arial" w:cs="Arial" w:eastAsia="Arial" w:hAnsi="Arial"/>
          <w:sz w:val="16"/>
          <w:szCs w:val="16"/>
          <w:color w:val="auto"/>
        </w:rPr>
        <w:t>) mice. TSHA-102 was administered to postnatal Day 2 (P2) old mouse pups via intracerebroventricular (ICV) route. Efficacy parameters evaluated included body weight (BW), survival, and phenotypic scores (Bird score). TSHA-102 in P2 KO mice at a dose of 8.8x10</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vg/mouse [Human Equivalent Dose, (HED) 2.86x10</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vg/participant] significantly improved survival, BW, and behavior. The median survival for vehicle-treated KO mice was 8.1 weeks. While the longest-lived vehicle</w:t>
      </w:r>
      <w:r>
        <w:rPr>
          <w:rFonts w:ascii="MS PGothic" w:cs="MS PGothic" w:eastAsia="MS PGothic" w:hAnsi="MS PGothic"/>
          <w:sz w:val="16"/>
          <w:szCs w:val="16"/>
          <w:color w:val="auto"/>
        </w:rPr>
        <w:t>‐</w:t>
      </w:r>
      <w:r>
        <w:rPr>
          <w:rFonts w:ascii="Arial" w:cs="Arial" w:eastAsia="Arial" w:hAnsi="Arial"/>
          <w:sz w:val="16"/>
          <w:szCs w:val="16"/>
          <w:color w:val="auto"/>
        </w:rPr>
        <w:t>treated KO mouse survived to only 13.3 weeks, half (47%) of the TSHA-120 treated KO mice survived to 36 weeks of age, the age at which monitoring was ended. TSHA</w:t>
      </w:r>
      <w:r>
        <w:rPr>
          <w:rFonts w:ascii="MS PGothic" w:cs="MS PGothic" w:eastAsia="MS PGothic" w:hAnsi="MS PGothic"/>
          <w:sz w:val="16"/>
          <w:szCs w:val="16"/>
          <w:color w:val="auto"/>
        </w:rPr>
        <w:t>‐</w:t>
      </w:r>
      <w:r>
        <w:rPr>
          <w:rFonts w:ascii="Arial" w:cs="Arial" w:eastAsia="Arial" w:hAnsi="Arial"/>
          <w:sz w:val="16"/>
          <w:szCs w:val="16"/>
          <w:color w:val="auto"/>
        </w:rPr>
        <w:t>102 significantly improved BW in KO mice compared to vehicle treated KO mice. Bird score, a composite measure of six different phenotypes, was significantly improved in TSHA</w:t>
      </w:r>
      <w:r>
        <w:rPr>
          <w:rFonts w:ascii="MS PGothic" w:cs="MS PGothic" w:eastAsia="MS PGothic" w:hAnsi="MS PGothic"/>
          <w:sz w:val="16"/>
          <w:szCs w:val="16"/>
          <w:color w:val="auto"/>
        </w:rPr>
        <w:t>‐</w:t>
      </w:r>
      <w:r>
        <w:rPr>
          <w:rFonts w:ascii="Arial" w:cs="Arial" w:eastAsia="Arial" w:hAnsi="Arial"/>
          <w:sz w:val="16"/>
          <w:szCs w:val="16"/>
          <w:color w:val="auto"/>
        </w:rPr>
        <w:t>102</w:t>
      </w:r>
      <w:r>
        <w:rPr>
          <w:rFonts w:ascii="MS PGothic" w:cs="MS PGothic" w:eastAsia="MS PGothic" w:hAnsi="MS PGothic"/>
          <w:sz w:val="16"/>
          <w:szCs w:val="16"/>
          <w:color w:val="auto"/>
        </w:rPr>
        <w:t>‐</w:t>
      </w:r>
      <w:r>
        <w:rPr>
          <w:rFonts w:ascii="Arial" w:cs="Arial" w:eastAsia="Arial" w:hAnsi="Arial"/>
          <w:sz w:val="16"/>
          <w:szCs w:val="16"/>
          <w:color w:val="auto"/>
        </w:rPr>
        <w:t xml:space="preserve"> treated KO mice. TSHA</w:t>
      </w:r>
      <w:r>
        <w:rPr>
          <w:rFonts w:ascii="MS PGothic" w:cs="MS PGothic" w:eastAsia="MS PGothic" w:hAnsi="MS PGothic"/>
          <w:sz w:val="16"/>
          <w:szCs w:val="16"/>
          <w:color w:val="auto"/>
        </w:rPr>
        <w:t>‐</w:t>
      </w:r>
      <w:r>
        <w:rPr>
          <w:rFonts w:ascii="Arial" w:cs="Arial" w:eastAsia="Arial" w:hAnsi="Arial"/>
          <w:sz w:val="16"/>
          <w:szCs w:val="16"/>
          <w:color w:val="auto"/>
        </w:rPr>
        <w:t>102 significantly delayed the average age of onset for severe clasping from approximately 7 to 21 weeks and severely abnormal gait from approximately 8 to 20 weeks. Overall, TSHA</w:t>
      </w:r>
      <w:r>
        <w:rPr>
          <w:rFonts w:ascii="MS PGothic" w:cs="MS PGothic" w:eastAsia="MS PGothic" w:hAnsi="MS PGothic"/>
          <w:sz w:val="16"/>
          <w:szCs w:val="16"/>
          <w:color w:val="auto"/>
        </w:rPr>
        <w:t>‐</w:t>
      </w:r>
      <w:r>
        <w:rPr>
          <w:rFonts w:ascii="Arial" w:cs="Arial" w:eastAsia="Arial" w:hAnsi="Arial"/>
          <w:sz w:val="16"/>
          <w:szCs w:val="16"/>
          <w:color w:val="auto"/>
        </w:rPr>
        <w:t>102 treatment at 8.8x10</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vg/mouse significantly extended survival in neonatal KO (Mecp2</w:t>
      </w:r>
      <w:r>
        <w:rPr>
          <w:rFonts w:ascii="MS PGothic" w:cs="MS PGothic" w:eastAsia="MS PGothic" w:hAnsi="MS PGothic"/>
          <w:sz w:val="21"/>
          <w:szCs w:val="21"/>
          <w:color w:val="auto"/>
          <w:vertAlign w:val="superscript"/>
        </w:rPr>
        <w:t>‐</w:t>
      </w:r>
      <w:r>
        <w:rPr>
          <w:rFonts w:ascii="Arial" w:cs="Arial" w:eastAsia="Arial" w:hAnsi="Arial"/>
          <w:sz w:val="21"/>
          <w:szCs w:val="21"/>
          <w:color w:val="auto"/>
          <w:vertAlign w:val="superscript"/>
        </w:rPr>
        <w:t>/Y</w:t>
      </w:r>
      <w:r>
        <w:rPr>
          <w:rFonts w:ascii="Arial" w:cs="Arial" w:eastAsia="Arial" w:hAnsi="Arial"/>
          <w:sz w:val="16"/>
          <w:szCs w:val="16"/>
          <w:color w:val="auto"/>
        </w:rPr>
        <w:t>) males, improved weight, improved their overall phenotypic score, and delayed the age of onset for severely abnormal limb clasping and gait.</w:t>
      </w:r>
    </w:p>
    <w:p>
      <w:pPr>
        <w:spacing w:after="0" w:line="31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Phase 1/2 REVEAL Clinical Trial</w:t>
      </w:r>
    </w:p>
    <w:p>
      <w:pPr>
        <w:spacing w:after="0" w:line="117" w:lineRule="exact"/>
        <w:rPr>
          <w:sz w:val="20"/>
          <w:szCs w:val="20"/>
          <w:color w:val="auto"/>
        </w:rPr>
      </w:pPr>
    </w:p>
    <w:p>
      <w:pPr>
        <w:ind w:right="60" w:firstLine="749"/>
        <w:spacing w:after="0" w:line="234" w:lineRule="auto"/>
        <w:rPr>
          <w:sz w:val="20"/>
          <w:szCs w:val="20"/>
          <w:color w:val="auto"/>
        </w:rPr>
      </w:pPr>
      <w:r>
        <w:rPr>
          <w:rFonts w:ascii="Arial" w:cs="Arial" w:eastAsia="Arial" w:hAnsi="Arial"/>
          <w:sz w:val="18"/>
          <w:szCs w:val="18"/>
          <w:color w:val="auto"/>
        </w:rPr>
        <w:t>We submitted a CTA for TSHA-102 in November 2021 and announced initiation of clinical development under a CTA approved by Health Canada in March 2022. We are advancing TSHA-102 in the REVEAL Phase 1/2 clinical trial, which is an open-label, dose escalation and dose-expansion, randomized, multicenter study that will examine the safety and efficacy of TSHA-102 in up to 18 adult female patients with Rett syndrome. Participants will receive a single lumbar intrathecal injection of TSHA-102. Dose escalation will evaluate two dose levels of TSHA-102 sequentially. In cohort 1, the first patient was dosed with a dose of 5.7x10</w:t>
      </w:r>
      <w:r>
        <w:rPr>
          <w:rFonts w:ascii="Arial" w:cs="Arial" w:eastAsia="Arial" w:hAnsi="Arial"/>
          <w:sz w:val="24"/>
          <w:szCs w:val="24"/>
          <w:color w:val="auto"/>
          <w:vertAlign w:val="superscript"/>
        </w:rPr>
        <w:t>14</w:t>
      </w:r>
      <w:r>
        <w:rPr>
          <w:rFonts w:ascii="Arial" w:cs="Arial" w:eastAsia="Arial" w:hAnsi="Arial"/>
          <w:sz w:val="18"/>
          <w:szCs w:val="18"/>
          <w:color w:val="auto"/>
        </w:rPr>
        <w:t xml:space="preserve"> total vg, and the remaining patients in cohort 1 will receive the same dose, and the second cohort will be given a dose of 1x10</w:t>
      </w:r>
      <w:r>
        <w:rPr>
          <w:rFonts w:ascii="Arial" w:cs="Arial" w:eastAsia="Arial" w:hAnsi="Arial"/>
          <w:sz w:val="24"/>
          <w:szCs w:val="24"/>
          <w:color w:val="auto"/>
          <w:vertAlign w:val="superscript"/>
        </w:rPr>
        <w:t>15</w:t>
      </w:r>
      <w:r>
        <w:rPr>
          <w:rFonts w:ascii="Arial" w:cs="Arial" w:eastAsia="Arial" w:hAnsi="Arial"/>
          <w:sz w:val="18"/>
          <w:szCs w:val="18"/>
          <w:color w:val="auto"/>
        </w:rPr>
        <w:t xml:space="preserve"> total vg. The maximum tolerated dose or maximum administered dose established will then be administered during dose expansion. Key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assessments will include Rett-specific and global assessments, quality of life, biomarkers, and neurophysiology and imaging assessments as seen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29210</wp:posOffset>
            </wp:positionV>
            <wp:extent cx="6163310" cy="2674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16331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Sainte-Justine Mother and Child University Hospital Center in Montreal, Quebec, Canada has been selected as the initial clinical trial site under the direction of Dr. Elsa Rossignol, Assistant Professor Neuroscience and Pediatrics, and Principal Investigator. We dosed the first adult patient with Rett syndrome in the first half of 2023. The IDMC meeting to review the initial clinical data from the first patient took place in the early third quarter of 2023 at which time the IDMC provided clearance to dose the next patient. We plan on dosing the next patient in the third quarter of 2023, with continued dosing of adult patients in the second half of 2023. TSHA-102 demonstrated a well-tolerated safety profile with no treatment-emergent serious adverse events as of six weeks assessment post treatment. We submitted a CTA to the MHRA in pediatric patients with Rett syndrome and submitted an IND application in pediatric patients with Rett syndrome to the FDA for TSHA-102 early in the third quarter of 2023. In August 2023, we received clearance from the FDA on our IND for TSHA-102 in pediatric patients with Rett syndrome.</w:t>
      </w:r>
    </w:p>
    <w:p>
      <w:pPr>
        <w:spacing w:after="0" w:line="178"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and orphan drug designation from the European Commission for TSHA-102 for the treatment of Rett syndrome.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TSHA-102 REVEAL Clinical Trial Safety and Efficacy Endpoints</w:t>
      </w:r>
    </w:p>
    <w:p>
      <w:pPr>
        <w:spacing w:after="0" w:line="117"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Primary efficacy endpoints are patient assessments by clinicians using the Clinical Global Impressions Scale – Improvement, or CGI-I, Rett Syndrome Hand Function Scale, and Revised Motor Behavior Assessment, or R-MBA. Secondary endpoints include patient assessments by clinicians and caregivers using the Clinical Global Impressions Scale – Severity, or CGI-S, the Rett Syndrome Behavior Questionnaire, or RSBQ and other clinical assessment scales.</w:t>
      </w:r>
    </w:p>
    <w:p>
      <w:pPr>
        <w:spacing w:after="0" w:line="187"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In the first adult patient dosed, TSHA-102 demonstrated a well-tolerated safety profile with no treatment-emergent serious adverse events as of the six-week assessment post-treatment. In addition, the Principal Investigator (PI) observed significant clinical improvement in multiple domains, including autonomic function (sleep and breathing), vocalization, as well as gross motor skills (gained ability to sit unassisted for three minutes for the first time in over a decade) and fine motor skills (gained ability to hold objects), supported by initial clinical data and video evidence.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both"/>
        <w:ind w:right="540" w:firstLine="749"/>
        <w:spacing w:after="0" w:line="342" w:lineRule="auto"/>
        <w:rPr>
          <w:sz w:val="20"/>
          <w:szCs w:val="20"/>
          <w:color w:val="auto"/>
        </w:rPr>
      </w:pPr>
      <w:r>
        <w:rPr>
          <w:rFonts w:ascii="Arial" w:cs="Arial" w:eastAsia="Arial" w:hAnsi="Arial"/>
          <w:sz w:val="16"/>
          <w:szCs w:val="16"/>
          <w:color w:val="auto"/>
        </w:rPr>
        <w:t>In August 2023, we reported initial clinical observations from the first patient dosed in the REVEAL trial. The first patient dosed in the REVEAL trial demonstrated an improvement in key efficacy endpoints four weeks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19050</wp:posOffset>
            </wp:positionV>
            <wp:extent cx="6172200" cy="2443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patient demonstrated a significant clinical improvement in RSBQ Total Score four weeks post-TSHA-102 administration as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48895</wp:posOffset>
            </wp:positionV>
            <wp:extent cx="6172200" cy="2443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7220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35" w:name="page36"/>
    <w:bookmarkEnd w:id="35"/>
    <w:p>
      <w:pPr>
        <w:ind w:firstLine="749"/>
        <w:spacing w:after="0" w:line="277" w:lineRule="auto"/>
        <w:rPr>
          <w:sz w:val="20"/>
          <w:szCs w:val="20"/>
          <w:color w:val="auto"/>
        </w:rPr>
      </w:pPr>
      <w:r>
        <w:rPr>
          <w:rFonts w:ascii="Arial" w:cs="Arial" w:eastAsia="Arial" w:hAnsi="Arial"/>
          <w:sz w:val="18"/>
          <w:szCs w:val="18"/>
          <w:color w:val="auto"/>
        </w:rPr>
        <w:t>The patient demonstrated a significant clinical improvement in most of the RSBQ sub-scale domains assessed four weeks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48895</wp:posOffset>
            </wp:positionV>
            <wp:extent cx="6172200" cy="2186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 marked changes were seen in the R-MBA data at four weeks post-TSHA-102 administration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151765</wp:posOffset>
            </wp:positionV>
            <wp:extent cx="6163310" cy="26574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6331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557" w:right="859" w:bottom="1440" w:gutter="0" w:footer="0" w:header="0"/>
        </w:sectPr>
      </w:pPr>
    </w:p>
    <w:bookmarkStart w:id="36" w:name="page37"/>
    <w:bookmarkEnd w:id="36"/>
    <w:p>
      <w:pPr>
        <w:ind w:left="760"/>
        <w:spacing w:after="0"/>
        <w:rPr>
          <w:sz w:val="20"/>
          <w:szCs w:val="20"/>
          <w:color w:val="auto"/>
        </w:rPr>
      </w:pPr>
      <w:r>
        <w:rPr>
          <w:rFonts w:ascii="Arial" w:cs="Arial" w:eastAsia="Arial" w:hAnsi="Arial"/>
          <w:sz w:val="18"/>
          <w:szCs w:val="18"/>
          <w:color w:val="auto"/>
        </w:rPr>
        <w:t>There were no quantifiable seizure events post-TSHA-102 administration through day 35 as depicted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83185</wp:posOffset>
            </wp:positionV>
            <wp:extent cx="6172200" cy="27000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60" w:firstLine="749"/>
        <w:spacing w:after="0" w:line="342" w:lineRule="auto"/>
        <w:rPr>
          <w:sz w:val="20"/>
          <w:szCs w:val="20"/>
          <w:color w:val="auto"/>
        </w:rPr>
      </w:pPr>
      <w:r>
        <w:rPr>
          <w:rFonts w:ascii="Arial" w:cs="Arial" w:eastAsia="Arial" w:hAnsi="Arial"/>
          <w:sz w:val="16"/>
          <w:szCs w:val="16"/>
          <w:color w:val="auto"/>
        </w:rPr>
        <w:t>Seizure events on days 6 and 7 prior to TSHA-102 infusion are likely a result of the immunosuppression, impacting background anti-seizure medication levels. We plan to dose the next patient in the REVEAL trial in the third quarter. We will provide quarterly clinical updates on Rett patients.</w:t>
      </w:r>
    </w:p>
    <w:p>
      <w:pPr>
        <w:spacing w:after="0" w:line="23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TSHA-120 for Giant Axonal Neuropathy (GAN)</w:t>
      </w:r>
    </w:p>
    <w:p>
      <w:pPr>
        <w:spacing w:after="0" w:line="117"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In March 2021, we acquired the exclusive worldwide rights to a clinical-stage, intrathecally dosed AAV9 gene therapy program, now known as TSHA-120, for the treatment of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spacing w:after="0" w:line="171" w:lineRule="exact"/>
        <w:rPr>
          <w:sz w:val="20"/>
          <w:szCs w:val="20"/>
          <w:color w:val="auto"/>
        </w:rPr>
      </w:pPr>
    </w:p>
    <w:p>
      <w:pPr>
        <w:ind w:right="240" w:firstLine="749"/>
        <w:spacing w:after="0" w:line="286" w:lineRule="auto"/>
        <w:rPr>
          <w:sz w:val="20"/>
          <w:szCs w:val="20"/>
          <w:color w:val="auto"/>
        </w:rPr>
      </w:pPr>
      <w:r>
        <w:rPr>
          <w:rFonts w:ascii="Arial" w:cs="Arial" w:eastAsia="Arial" w:hAnsi="Arial"/>
          <w:sz w:val="17"/>
          <w:szCs w:val="17"/>
          <w:color w:val="auto"/>
        </w:rPr>
        <w:t>GAN is an ultra-rare autosomal recessive, progressive neurodegenerative disease of the central, peripheral and autonomic nervous systems caused by deficiency or complete loss-of-function of gigaxonin and the accumulation of intermediate filaments. Epidemiology studies indicate there are between 1,000 and 1,500 treatable GAN patients in the United States, European Union and United Kingdom.</w:t>
      </w:r>
    </w:p>
    <w:p>
      <w:pPr>
        <w:spacing w:after="0" w:line="165"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There is an early (classical) and late-onset (non-classical) phenotype associated with the disease, with shared pathophysiology due to accumulation of intermediate filaments. Symptoms and features of children with classical GAN usually develop before the age of five years with distal muscle weakness and sensory loss due to axonal sensory motor neuropathy, manifesting as bilateral foot drop and difficulties with fine motor coordination. An abnormal, wide based, unsteady gait due to CNS and cerebellar involvement is also a common initial clinical manifestation. Children with the classical phenotype typically have dull, tightly curled, coarse hair (“kinky” hair), “giant” axons pathognomonic on a nerve biopsy due to accumulation of intermediate filaments, and progressive spinal cord atrophy and white matter abnormalities, initially around the cerebellar dentate nucleus, on MRI images. Symptoms progress and, as the children grow older, they develop progressive proximal muscle weakness, resulting in difficulties raising their arms and standing from the floor or a chair, scoliosis, distal contractures, progressive gait and limb ataxia, leading to loss of ambulation by the second decade. Progressive optic nerve atrophy, seen early in the disease, results in increasing deterioration of visual acuity in later stages and has been more recently described. Indeed, decreased visual acuity was seen at baseline in approximately half of GAN patients aged 3-21 years, enrolled in a natural history study [Brain. 2021 Nov 29;144(10):3239-3250]. Due to increased respiratory muscle weakness and restrictive respiratory failure as a result of severe scoliosis, assisted ventilation is required in adolescents. GAN patients often die during their late teens or early twenties, typically due to respiratory failure.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7" w:name="page38"/>
    <w:bookmarkEnd w:id="37"/>
    <w:p>
      <w:pPr>
        <w:ind w:firstLine="749"/>
        <w:spacing w:after="0" w:line="255" w:lineRule="auto"/>
        <w:rPr>
          <w:sz w:val="20"/>
          <w:szCs w:val="20"/>
          <w:color w:val="auto"/>
        </w:rPr>
      </w:pPr>
      <w:r>
        <w:rPr>
          <w:rFonts w:ascii="Arial" w:cs="Arial" w:eastAsia="Arial" w:hAnsi="Arial"/>
          <w:sz w:val="18"/>
          <w:szCs w:val="18"/>
          <w:color w:val="auto"/>
        </w:rPr>
        <w:t>The late-onset, or non-classical, phenotype is often categorized as Charcot-Marie-Tooth Type 2, or CMT2, as it presents as a typical early onset axonal sensory motor neuropathy without the typical kinky hair and CNS involvement of the classical phenotype and has a relatively slow progression. This phenotype might represent up to 6% of all CMT2 diagnosis. In the late-onset population, patients have poor quality of life and significantly compromised activities of daily living. The disease is life limiting but not as severely as classic GAN. In classic GAN, symptomatic treatments attempt to maximize physical development and minimize the rate of deterioration. Currently, there are no approved disease-modifying therapies available, only palliative treatments.</w:t>
      </w:r>
    </w:p>
    <w:p>
      <w:pPr>
        <w:spacing w:after="0" w:line="192" w:lineRule="exact"/>
        <w:rPr>
          <w:sz w:val="20"/>
          <w:szCs w:val="20"/>
          <w:color w:val="auto"/>
        </w:rPr>
      </w:pPr>
    </w:p>
    <w:p>
      <w:pPr>
        <w:jc w:val="both"/>
        <w:ind w:right="120" w:firstLine="749"/>
        <w:spacing w:after="0" w:line="286" w:lineRule="auto"/>
        <w:rPr>
          <w:sz w:val="20"/>
          <w:szCs w:val="20"/>
          <w:color w:val="auto"/>
        </w:rPr>
      </w:pPr>
      <w:r>
        <w:rPr>
          <w:rFonts w:ascii="Arial" w:cs="Arial" w:eastAsia="Arial" w:hAnsi="Arial"/>
          <w:sz w:val="17"/>
          <w:szCs w:val="17"/>
          <w:color w:val="auto"/>
        </w:rPr>
        <w:t>TSHA-120 is an AAV9 self-complementary viral vector with an engineered transgene encoding the full length human gigaxonin protein. The construct was invented by Dr. Steven Gray and is the first AAV9 gene therapy candidate to deliver a codon optimized, functional copy of the GAN gene with optimal tropism and rapid expression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182880</wp:posOffset>
            </wp:positionV>
            <wp:extent cx="5426075" cy="17487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260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firstLine="749"/>
        <w:spacing w:after="0" w:line="308" w:lineRule="auto"/>
        <w:rPr>
          <w:sz w:val="20"/>
          <w:szCs w:val="20"/>
          <w:color w:val="auto"/>
        </w:rPr>
      </w:pPr>
      <w:r>
        <w:rPr>
          <w:rFonts w:ascii="Arial" w:cs="Arial" w:eastAsia="Arial" w:hAnsi="Arial"/>
          <w:sz w:val="17"/>
          <w:szCs w:val="17"/>
          <w:color w:val="auto"/>
        </w:rPr>
        <w:t>We have received orphan drug designation and rare pediatric disease designation from the FDA for TSHA-120 for the treatment of GAN. In April 2022, we received orphan drug designation from the European Commission for TSHA-120 for the treatment of GAN.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38" w:name="page39"/>
    <w:bookmarkEnd w:id="38"/>
    <w:p>
      <w:pPr>
        <w:ind w:firstLine="749"/>
        <w:spacing w:after="0" w:line="288" w:lineRule="auto"/>
        <w:rPr>
          <w:sz w:val="20"/>
          <w:szCs w:val="20"/>
          <w:color w:val="auto"/>
        </w:rPr>
      </w:pPr>
      <w:r>
        <w:rPr>
          <w:rFonts w:ascii="Arial" w:cs="Arial" w:eastAsia="Arial" w:hAnsi="Arial"/>
          <w:sz w:val="16"/>
          <w:szCs w:val="16"/>
          <w:color w:val="auto"/>
        </w:rPr>
        <w:t>There is an ongoing longitudinal prospective natural history study being led by the NIH, that has already identified and followed a number of patients with GAN for over five years with disease progression characterized by a number of clinical assessments. This is a basket natural history study, where GAN was one of the rare diseases to be included. The baseline characteristics of the first 45 GAN patients, aged 3 to 21 years have been published.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Nocturnal hypoventilation and sleep apnea progressed over time, with sleep apnea worsening as ambulatory function deteriorated. Total MFM32 score also correlated with ambulatory status, where 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46990</wp:posOffset>
            </wp:positionV>
            <wp:extent cx="3077210" cy="3608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7721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ind w:firstLine="749"/>
        <w:spacing w:after="0" w:line="255" w:lineRule="auto"/>
        <w:rPr>
          <w:sz w:val="20"/>
          <w:szCs w:val="20"/>
          <w:color w:val="auto"/>
        </w:rPr>
      </w:pPr>
      <w:r>
        <w:rPr>
          <w:rFonts w:ascii="Arial" w:cs="Arial" w:eastAsia="Arial" w:hAnsi="Arial"/>
          <w:sz w:val="18"/>
          <w:szCs w:val="18"/>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Other composite scores evaluating neuropathy severity, Neuropathy Impairment Score, or NIS, and ataxia, Friedreich’s Ataxia Rating Scale, or FARS, showed a highly significant correlation with age in the classic GAN patients, as well as MFM32, with all three composite scores tracking well with ambulatory status. These three clinically relevant composite scores are therefore relevant markers of function for the classic GAN phenotype.</w:t>
      </w:r>
    </w:p>
    <w:p>
      <w:pPr>
        <w:spacing w:after="0" w:line="19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preliminary data and analysis from longitudinal follow up, ten patients have had at least a second timepoint at different time intervals. The rate of decline in the MFM32 scores demonstrated some consistency across patients of all ages, with most demonstrating a calculated annualized average 8-point decline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194310</wp:posOffset>
            </wp:positionV>
            <wp:extent cx="3043555" cy="2468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04355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firstLine="749"/>
        <w:spacing w:after="0" w:line="342" w:lineRule="auto"/>
        <w:rPr>
          <w:sz w:val="20"/>
          <w:szCs w:val="20"/>
          <w:color w:val="auto"/>
        </w:rPr>
      </w:pPr>
      <w:r>
        <w:rPr>
          <w:rFonts w:ascii="Arial" w:cs="Arial" w:eastAsia="Arial" w:hAnsi="Arial"/>
          <w:sz w:val="16"/>
          <w:szCs w:val="16"/>
          <w:color w:val="auto"/>
        </w:rPr>
        <w:t>A 4-point score change in the MFM32 is considered clinically meaningful in other pediatric neuromuscular disorders, such as Spinal Muscular Atrophy, suggesting that patients with GAN lose significant function annually. To date, we have up to eight years of robust data from this study.</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TSHA-120 performed well across in vitro and in vivo studies, and demonstrated improved motor function and nerve pathology, and long-term safety across several animal models. Of note, improved dorsal root ganglia, or DRG, pathology was demonstrated in TSHA-120-treated GAN knockout, or KO, mice. These preclinical results have been published in a number of peer-reviewed journals.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ind w:firstLine="749"/>
        <w:spacing w:after="0" w:line="301" w:lineRule="auto"/>
        <w:rPr>
          <w:sz w:val="20"/>
          <w:szCs w:val="20"/>
          <w:color w:val="auto"/>
        </w:rPr>
      </w:pPr>
      <w:r>
        <w:rPr>
          <w:rFonts w:ascii="Arial" w:cs="Arial" w:eastAsia="Arial" w:hAnsi="Arial"/>
          <w:sz w:val="16"/>
          <w:szCs w:val="16"/>
          <w:color w:val="auto"/>
        </w:rPr>
        <w:t>Additional preclinical data from a GAN KO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177165</wp:posOffset>
            </wp:positionV>
            <wp:extent cx="4328795" cy="2708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2879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Source: Unpublished rotarod performance data of a rat model of GAN (homozygous A49E variant) from Dr Steven Gray</w:t>
      </w:r>
    </w:p>
    <w:p>
      <w:pPr>
        <w:spacing w:after="0" w:line="343"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57"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KO mice. Shown below is tissue from a GAN KO mouse model with numerous abnormal neuronal inclusions containing aggregates of damaged neurofilament in the DRG as indicated by the yellow arrows. On image C, tissue from the GAN KO mice treated with an intrathecal, or IT,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200025</wp:posOffset>
            </wp:positionV>
            <wp:extent cx="5674995" cy="2143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749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 xml:space="preserve">Source: Variant of Fig 6 A-C from Bailey RM, Armao D, Kalburgi SN, Gray SJ (2018) </w:t>
      </w:r>
      <w:r>
        <w:rPr>
          <w:rFonts w:ascii="Arial" w:cs="Arial" w:eastAsia="Arial" w:hAnsi="Arial"/>
          <w:sz w:val="14"/>
          <w:szCs w:val="14"/>
          <w:b w:val="1"/>
          <w:bCs w:val="1"/>
          <w:color w:val="auto"/>
        </w:rPr>
        <w:t>Development of Intrathecal Aav9 Gene Therapy for Giant Axonal Neuropathy.</w:t>
      </w:r>
      <w:r>
        <w:rPr>
          <w:rFonts w:ascii="Arial" w:cs="Arial" w:eastAsia="Arial" w:hAnsi="Arial"/>
          <w:sz w:val="14"/>
          <w:szCs w:val="14"/>
          <w:color w:val="auto"/>
        </w:rPr>
        <w:t xml:space="preserve"> Molecular Therapy-Methods &amp; Clinical Development 9160-171.</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1" w:name="page42"/>
    <w:bookmarkEnd w:id="41"/>
    <w:p>
      <w:pPr>
        <w:jc w:val="both"/>
        <w:ind w:firstLine="749"/>
        <w:spacing w:after="0" w:line="342" w:lineRule="auto"/>
        <w:rPr>
          <w:sz w:val="20"/>
          <w:szCs w:val="20"/>
          <w:color w:val="auto"/>
        </w:rPr>
      </w:pPr>
      <w:r>
        <w:rPr>
          <w:rFonts w:ascii="Arial" w:cs="Arial" w:eastAsia="Arial" w:hAnsi="Arial"/>
          <w:sz w:val="16"/>
          <w:szCs w:val="16"/>
          <w:color w:val="auto"/>
        </w:rPr>
        <w:t>When a quantitative approach to reduce inclusions in the DRG was applied, it was observed that TSHA-120 treated mice experienced a statistically significant reduction in the average number of neuronal inclusions versus the GAN KO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156210</wp:posOffset>
            </wp:positionV>
            <wp:extent cx="3120390" cy="31375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203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60" w:right="1620"/>
        <w:spacing w:after="0" w:line="290" w:lineRule="auto"/>
        <w:rPr>
          <w:sz w:val="20"/>
          <w:szCs w:val="20"/>
          <w:color w:val="auto"/>
        </w:rPr>
      </w:pPr>
      <w:r>
        <w:rPr>
          <w:rFonts w:ascii="Arial" w:cs="Arial" w:eastAsia="Arial" w:hAnsi="Arial"/>
          <w:sz w:val="13"/>
          <w:szCs w:val="13"/>
          <w:color w:val="auto"/>
        </w:rPr>
        <w:t>Source: Variant of Fig 6 D from Bailey RM, Armao D, Kalburgi SN, Gray SJ (2018) Development of Intrathecal Aav9 Gene Therapy for Giant Axonal Neuropathy. Molecular Therapy-Methods &amp; Clinical Development 9160-171.</w:t>
      </w:r>
    </w:p>
    <w:p>
      <w:pPr>
        <w:spacing w:after="0" w:line="3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733" w:right="1019" w:bottom="1440" w:gutter="0" w:footer="0" w:header="0"/>
        </w:sectPr>
      </w:pPr>
    </w:p>
    <w:bookmarkStart w:id="42" w:name="page43"/>
    <w:bookmarkEnd w:id="42"/>
    <w:p>
      <w:pPr>
        <w:ind w:left="760"/>
        <w:spacing w:after="0"/>
        <w:rPr>
          <w:sz w:val="20"/>
          <w:szCs w:val="20"/>
          <w:color w:val="auto"/>
        </w:rPr>
      </w:pPr>
      <w:r>
        <w:rPr>
          <w:rFonts w:ascii="Arial" w:cs="Arial" w:eastAsia="Arial" w:hAnsi="Arial"/>
          <w:sz w:val="18"/>
          <w:szCs w:val="18"/>
          <w:color w:val="auto"/>
        </w:rPr>
        <w:t>Additionally, TSHA-120 demonstrated improved pathology of the sciatic nerve in the GAN KO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237490</wp:posOffset>
            </wp:positionV>
            <wp:extent cx="6172200" cy="31032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 xml:space="preserve">Source: variant of Fig 7 A and B from Bailey RM, Armao D, Kalburgi SN, Gray SJ (2018) </w:t>
      </w:r>
      <w:r>
        <w:rPr>
          <w:rFonts w:ascii="Arial" w:cs="Arial" w:eastAsia="Arial" w:hAnsi="Arial"/>
          <w:sz w:val="14"/>
          <w:szCs w:val="14"/>
          <w:b w:val="1"/>
          <w:bCs w:val="1"/>
          <w:color w:val="auto"/>
        </w:rPr>
        <w:t>Development of Intrathecal Aav9 Gene Therapy for Giant Axonal Neuropathy</w:t>
      </w:r>
      <w:r>
        <w:rPr>
          <w:rFonts w:ascii="Arial" w:cs="Arial" w:eastAsia="Arial" w:hAnsi="Arial"/>
          <w:sz w:val="14"/>
          <w:szCs w:val="14"/>
          <w:color w:val="auto"/>
        </w:rPr>
        <w:t>. Molecular Therapy-Methods &amp; Clinical Development 9160-171.</w:t>
      </w:r>
    </w:p>
    <w:p>
      <w:pPr>
        <w:spacing w:after="0" w:line="35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Results of Ongoing Phase 1/2 Clinical Trial</w:t>
      </w:r>
    </w:p>
    <w:p>
      <w:pPr>
        <w:spacing w:after="0" w:line="117"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A Phase 1/2 clinical trial of TSHA-120 is being conducted by the NIH under an accepted IND. The ongoing trial is a single-site, open-label, non-randomized, dose-escalation trial, in which patients are intrathecally dosed with one of four dose levels of TSHA-120 – 3.5x10</w:t>
      </w:r>
      <w:r>
        <w:rPr>
          <w:rFonts w:ascii="Arial" w:cs="Arial" w:eastAsia="Arial" w:hAnsi="Arial"/>
          <w:sz w:val="21"/>
          <w:szCs w:val="21"/>
          <w:color w:val="auto"/>
          <w:vertAlign w:val="superscript"/>
        </w:rPr>
        <w:t>13</w:t>
      </w:r>
      <w:r>
        <w:rPr>
          <w:rFonts w:ascii="Arial" w:cs="Arial" w:eastAsia="Arial" w:hAnsi="Arial"/>
          <w:sz w:val="16"/>
          <w:szCs w:val="16"/>
          <w:color w:val="auto"/>
        </w:rPr>
        <w:t xml:space="preserve"> total vg, 1.2x10</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total vg, 1.8x10</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total vg or 3.5x10</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total vg (by dot blot). The primary endpoint is to assess safety, with secondary endpoints measuring efficacy using pathologic, physiologic, functional, and clinical markers. To date, 14 patients have been intrathecally dosed and 12 patients have up to three years’ worth of long-term follow up data. The pre-treatment period interval between visits in these patients ranged from 3.7 to 31.5 months, with patients having at least two visits before being treated. A calculated yearly natural history decline was based on this data and served as a comparison for all post-treatment analysis.</w:t>
      </w:r>
    </w:p>
    <w:p>
      <w:pPr>
        <w:spacing w:after="0" w:line="183" w:lineRule="exact"/>
        <w:rPr>
          <w:sz w:val="20"/>
          <w:szCs w:val="20"/>
          <w:color w:val="auto"/>
        </w:rPr>
      </w:pPr>
    </w:p>
    <w:p>
      <w:pPr>
        <w:ind w:right="100" w:firstLine="749"/>
        <w:spacing w:after="0" w:line="213" w:lineRule="auto"/>
        <w:rPr>
          <w:sz w:val="20"/>
          <w:szCs w:val="20"/>
          <w:color w:val="auto"/>
        </w:rPr>
      </w:pPr>
      <w:r>
        <w:rPr>
          <w:rFonts w:ascii="Arial" w:cs="Arial" w:eastAsia="Arial" w:hAnsi="Arial"/>
          <w:sz w:val="18"/>
          <w:szCs w:val="18"/>
          <w:color w:val="auto"/>
        </w:rPr>
        <w:t>At 1-year post-gene transfer, a clinically meaningful and statistically significant slowing or halting of disease progression was seen with TSHA-120 at the highest dose of 3.5x10</w:t>
      </w:r>
      <w:r>
        <w:rPr>
          <w:rFonts w:ascii="Arial" w:cs="Arial" w:eastAsia="Arial" w:hAnsi="Arial"/>
          <w:sz w:val="24"/>
          <w:szCs w:val="24"/>
          <w:color w:val="auto"/>
          <w:vertAlign w:val="superscript"/>
        </w:rPr>
        <w:t>14</w:t>
      </w:r>
      <w:r>
        <w:rPr>
          <w:rFonts w:ascii="Arial" w:cs="Arial" w:eastAsia="Arial" w:hAnsi="Arial"/>
          <w:sz w:val="18"/>
          <w:szCs w:val="18"/>
          <w:color w:val="auto"/>
        </w:rPr>
        <w:t xml:space="preserve"> total vg (n=3). The change in the rate of decline in the MFM32 score improved by 5 points in the 3.5x10</w:t>
      </w:r>
      <w:r>
        <w:rPr>
          <w:rFonts w:ascii="Arial" w:cs="Arial" w:eastAsia="Arial" w:hAnsi="Arial"/>
          <w:sz w:val="24"/>
          <w:szCs w:val="24"/>
          <w:color w:val="auto"/>
          <w:vertAlign w:val="superscript"/>
        </w:rPr>
        <w:t>14</w:t>
      </w:r>
      <w:r>
        <w:rPr>
          <w:rFonts w:ascii="Arial" w:cs="Arial" w:eastAsia="Arial" w:hAnsi="Arial"/>
          <w:sz w:val="18"/>
          <w:szCs w:val="18"/>
          <w:color w:val="auto"/>
        </w:rPr>
        <w:t xml:space="preserve"> total vg cohort compared to an 8-point decline in natural history.</w:t>
      </w:r>
    </w:p>
    <w:p>
      <w:pPr>
        <w:spacing w:after="0" w:line="204"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The primary Bayesian efficacy analysis for MFM32 was conducted in the per protocol population, by dose group, at Year 1 post-dosing interval. Hierarchical models for repeated measures were used to estimate posterior distributions for change in slope of the total MFM32 percent score compared to pre-treatment decline in trial participants. Frequentist analysis of change from baseline in total MFM32 percent score was also performed, by dose group, using linear mixed models.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220" w:firstLine="749"/>
        <w:spacing w:after="0" w:line="308" w:lineRule="auto"/>
        <w:rPr>
          <w:sz w:val="20"/>
          <w:szCs w:val="20"/>
          <w:color w:val="auto"/>
        </w:rPr>
      </w:pPr>
      <w:r>
        <w:rPr>
          <w:rFonts w:ascii="Arial" w:cs="Arial" w:eastAsia="Arial" w:hAnsi="Arial"/>
          <w:sz w:val="17"/>
          <w:szCs w:val="17"/>
          <w:color w:val="auto"/>
        </w:rPr>
        <w:t>The change in the rate of decline in the MFM32 score of all therapeutic doses combined (n=12) showed the change in the rate of decline in the MFM32 score slowed by 5.20% points (p=0.0022), compared with the annualized pre-gene transfer rate of decline of 7.73%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170815</wp:posOffset>
            </wp:positionV>
            <wp:extent cx="6172200" cy="25114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7220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Source: Preliminary analysis with a data cut as of July 2022</w:t>
      </w:r>
    </w:p>
    <w:p>
      <w:pPr>
        <w:spacing w:after="0" w:line="361"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A Bayesian analysis was conducted on the 1.2x10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total vg, 1.8x10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total vg and 3.5x10</w:t>
      </w:r>
      <w:r>
        <w:rPr>
          <w:rFonts w:ascii="Arial" w:cs="Arial" w:eastAsia="Arial" w:hAnsi="Arial"/>
          <w:sz w:val="23"/>
          <w:szCs w:val="23"/>
          <w:color w:val="auto"/>
          <w:vertAlign w:val="superscript"/>
        </w:rPr>
        <w:t>14</w:t>
      </w:r>
      <w:r>
        <w:rPr>
          <w:rFonts w:ascii="Arial" w:cs="Arial" w:eastAsia="Arial" w:hAnsi="Arial"/>
          <w:sz w:val="17"/>
          <w:szCs w:val="17"/>
          <w:color w:val="auto"/>
        </w:rPr>
        <w:t xml:space="preserve"> 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79.4% probability of clinically meaningful slowing of 50% or more following treatment with TSHA-120 compared to natural history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200025</wp:posOffset>
            </wp:positionV>
            <wp:extent cx="5349240" cy="1405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Source: Variant of Table 12 from Appendix 3 of the Type B End-of-Phase 2 Meeting package submitted to the FDA in Oct-2022 and held Dec2022.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160" w:firstLine="749"/>
        <w:spacing w:after="0" w:line="286" w:lineRule="auto"/>
        <w:rPr>
          <w:sz w:val="20"/>
          <w:szCs w:val="20"/>
          <w:color w:val="auto"/>
        </w:rPr>
      </w:pPr>
      <w:r>
        <w:rPr>
          <w:rFonts w:ascii="Arial" w:cs="Arial" w:eastAsia="Arial" w:hAnsi="Arial"/>
          <w:sz w:val="17"/>
          <w:szCs w:val="17"/>
          <w:color w:val="auto"/>
        </w:rPr>
        <w:t>There remained consistent improvement in TSHA-120’s effect over time on the mean change from baseline in the MFM32 score for patients in the therapeutic dose cohorts compared to their estimated decline over the years in the pre-treatment period. Analysis of long-term MFM total (%) scores showed slowing of disease progression by 2.49% (p=0.0065) points on the MFM% total score, as seen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114300</wp:posOffset>
            </wp:positionV>
            <wp:extent cx="6172200" cy="24174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7220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Source: Preliminary analysis with a data cut as of July 2022</w:t>
      </w:r>
    </w:p>
    <w:p>
      <w:pPr>
        <w:spacing w:after="0" w:line="31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New Comprehensive Data Analysis</w:t>
      </w:r>
    </w:p>
    <w:p>
      <w:pPr>
        <w:spacing w:after="0" w:line="117" w:lineRule="exact"/>
        <w:rPr>
          <w:sz w:val="20"/>
          <w:szCs w:val="20"/>
          <w:color w:val="auto"/>
        </w:rPr>
      </w:pPr>
    </w:p>
    <w:p>
      <w:pPr>
        <w:ind w:right="160" w:firstLine="749"/>
        <w:spacing w:after="0" w:line="311" w:lineRule="auto"/>
        <w:rPr>
          <w:sz w:val="20"/>
          <w:szCs w:val="20"/>
          <w:color w:val="auto"/>
        </w:rPr>
      </w:pPr>
      <w:r>
        <w:rPr>
          <w:rFonts w:ascii="Arial" w:cs="Arial" w:eastAsia="Arial" w:hAnsi="Arial"/>
          <w:sz w:val="16"/>
          <w:szCs w:val="16"/>
          <w:color w:val="auto"/>
        </w:rPr>
        <w:t>Data transfer from NIH has been completed. Since the Type B end-of-Phase 2 meeting with the FDA, we have performed an extensive analysis of the totality of data available from both the natural history and interventional study data to address the FDA’s feedback on the heterogeneity of disease progression in GAN and the effort-dependent nature of MFM32 as a primary endpoint, considering the unblinded study design.</w:t>
      </w:r>
    </w:p>
    <w:p>
      <w:pPr>
        <w:spacing w:after="0" w:line="149"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The analysis of the natural history study data showed that GAN is characterized by rapidly progressive, severe CNS and peripheral nervous system, or PNS, degeneration, leading to weakness and early ataxia in all patients. This rapid and predictable progression significantly impacts GAN patients and their caregivers' quality of life (Bharucha-Goebel, Norato et al., 2021), as confirmed by the primary analysis of MFM32. We have developed a disease progression model, or DPM, and applied to cross-sectional and longitudinal data from all natural history classic GAN patients to quantitatively characterize disease progression, similar to other disease models in ultra-rare diseases (Garbade, Zielonka et al. 2021, Barrett, Nicholas et al. 2022). The DPM established classic GAN as a homogenous disease that follows a progressive, monotonic decline across a range of relevant CNS and PNS endpoints. As such, we believe this DPM provides a suitable methodology to utilize the natural history study patients as an external control for comparison to treated patients to evaluate the treatment effect of TSHA-120, consistent with the FDA draft guidance on externally controlled trials (Considerations for the Design and Conduct of Externally Controlled Trials for Drug and Biologic Products, 2023; (Food and Drug Administration, 2023)).</w:t>
      </w:r>
    </w:p>
    <w:p>
      <w:pPr>
        <w:spacing w:after="0" w:line="166"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This flexible model does not assume linearity and accounts for changes in rate of decline as patients age, which provides greater utility in a progressive disease like GAN that has observed floor and ceiling effects in many endpoints. Use of the DPM also begins to address the FDA’s feedback regarding the possible effort-dependence of some clinical endpoints in the setting of an open-label, non-randomized, interventional study. When compared to the DPM’s predicted disease progression in untreated patients, the positive treatment response observed across multiple clinical performance and objective biological endpoints in GAN patients treated with TSHA-120, is highly unlikely to occur by chance.</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Additional Endpoints</w:t>
      </w:r>
    </w:p>
    <w:p>
      <w:pPr>
        <w:spacing w:after="0" w:line="144"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Many additional endpoints have been collected in this clinical trial pre-and post-treatment, and long-term follow up data is being collected. We have identified functional endpoints including MFM32, mFARS (ataxia scale) and LogMAR (visual acuity), electrophysiological endpoints including sensory nerve action potential, or SNAP, and compound muscle action potential, or CMAP, and biological endpoints including nerve fiber density in skin biopsies. When TSHA-120 treated individuals were compared against the expected rate of disease progression from the DPM, a favorable deviation in the trajectory of the disease course was observed across multiple endpoints. These analyses are supportive of the pre-specified Program Advisory and Oversight Committee analysis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60"/>
        <w:spacing w:after="0" w:line="277" w:lineRule="auto"/>
        <w:rPr>
          <w:sz w:val="20"/>
          <w:szCs w:val="20"/>
          <w:color w:val="auto"/>
        </w:rPr>
      </w:pPr>
      <w:r>
        <w:rPr>
          <w:rFonts w:ascii="Arial" w:cs="Arial" w:eastAsia="Arial" w:hAnsi="Arial"/>
          <w:sz w:val="18"/>
          <w:szCs w:val="18"/>
          <w:color w:val="auto"/>
        </w:rPr>
        <w:t>the primary and secondary endpoints. At the group level, when reviewed as aggregate data, the majority of measured efficacy endpoints show a drug effect with high probability of slowing disease progression.</w:t>
      </w:r>
    </w:p>
    <w:p>
      <w:pPr>
        <w:spacing w:after="0" w:line="170" w:lineRule="exact"/>
        <w:rPr>
          <w:sz w:val="20"/>
          <w:szCs w:val="20"/>
          <w:color w:val="auto"/>
        </w:rPr>
      </w:pPr>
    </w:p>
    <w:p>
      <w:pPr>
        <w:ind w:right="40" w:firstLine="749"/>
        <w:spacing w:after="0" w:line="291" w:lineRule="auto"/>
        <w:rPr>
          <w:sz w:val="20"/>
          <w:szCs w:val="20"/>
          <w:color w:val="auto"/>
        </w:rPr>
      </w:pPr>
      <w:r>
        <w:rPr>
          <w:rFonts w:ascii="Arial" w:cs="Arial" w:eastAsia="Arial" w:hAnsi="Arial"/>
          <w:sz w:val="16"/>
          <w:szCs w:val="16"/>
          <w:color w:val="auto"/>
        </w:rPr>
        <w:t>With analysis against the DPM, the total estimated annualized rate of decline for MFM32 showed a treatment effect size of 7% with an 81% probability of disease slowing. The treatment effect was primarily observed in Domain 2, which captured axial and proximal motor function (13%; 95% CI</w:t>
      </w:r>
    </w:p>
    <w:p>
      <w:pPr>
        <w:ind w:firstLine="8"/>
        <w:spacing w:after="0" w:line="253" w:lineRule="auto"/>
        <w:tabs>
          <w:tab w:leader="none" w:pos="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-5% to 30%) and Domain 3, which captured distal motor function (28%; 95% CI = 7% to 47%) with 99% probability of positive treatment effect on slowing disease progression with an estimated treatment effect of 28%. As anticipated for a patient population with impaired baseline ambulatory, the estimated treatment effect among Domain 1 items assessing standing, transfers, and mobility independence, was minimal (-27%; 95% CI = -54% to -3%) and did not predict disease slowing with confidence (1%). Based on the duration of the disease, GAN patients are susceptible to irreversible muscle fibrosis of the lower-limbs and reinnervation would not be expected to restore motor function.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DPM Estimates of MFM32 Total and Domain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160020</wp:posOffset>
            </wp:positionV>
            <wp:extent cx="5074920" cy="129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7492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Source: Preliminary analysis with a data cut as of May 2023</w:t>
      </w:r>
    </w:p>
    <w:p>
      <w:pPr>
        <w:spacing w:after="0" w:line="338"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Additional analyses utilizing FARS and mFARS demonstrated a meaningful treatment effect of TSHA-120, slowing the expected annualized worsening of ataxia. The mFARS scoring range runs from 0 to 93, with a higher score indicating greater impairment. The DPM estimated treatment effect sizes of 31% (mFARS; 95% CI = 7% to 52%) and 29% (FARS; 95% CI = 8% to 47%) with 99% probability of slowing the expected deterioration in ataxic motor function. These results translate approximately to an annualized relative -1.28 change in mFARS and -2.25 FARS scores.</w:t>
      </w:r>
    </w:p>
    <w:p>
      <w:pPr>
        <w:spacing w:after="0" w:line="157" w:lineRule="exact"/>
        <w:rPr>
          <w:sz w:val="20"/>
          <w:szCs w:val="20"/>
          <w:color w:val="auto"/>
        </w:rPr>
      </w:pPr>
    </w:p>
    <w:p>
      <w:pPr>
        <w:ind w:right="80" w:firstLine="749"/>
        <w:spacing w:after="0" w:line="287" w:lineRule="auto"/>
        <w:rPr>
          <w:sz w:val="20"/>
          <w:szCs w:val="20"/>
          <w:color w:val="auto"/>
        </w:rPr>
      </w:pPr>
      <w:r>
        <w:rPr>
          <w:rFonts w:ascii="Arial" w:cs="Arial" w:eastAsia="Arial" w:hAnsi="Arial"/>
          <w:sz w:val="16"/>
          <w:szCs w:val="16"/>
          <w:color w:val="auto"/>
        </w:rPr>
        <w:t>Clinically, these data need to be interpreted in the context of important functions for patients. In particular, hand and arm function are crucial for activities of daily living for patients; thus, any slowing of decline in hand and arm function is directly and clinically relevant and is expected to improve GAN patients’ daily functioning (Johnson-Kerner, Roth et al. 2014, Bailey, Armao et al. 2018). We assessed the relationship between clinical outcome scores and real-world activities of daily living, or (ADL), utilizing the methodology described by Duong and colleagues in 2021 (Duong, Staunton et al. 2021). ADLs span 9 functional categories (speech, swallowing, cutting food and handling utensils, dressing, personal hygiene, falling, walking, quality of sitting position, and bladder function) and are scored on a 5-point Linkert scale, with higher scores indicating greater caregiver dependency. Most participants having already suffered substantial decline or complete loss of mobility by the time they were treated during the interventional study. The smallest functional impact was observed on activities related to ambulation (e.g., walking). Moderate to robust treatment effects were observed in ADL categories related to personal independence and self-care, including self-feeding, completing personal hygiene tasks (i.e., brushing hair and teeth), visual and physical interaction with technology, interpersonal communication, and engagement with the environment in many other ways. These activities are vital to patients’ independence and to reducing caregiver burden and are particularly dependent upon maintaining use of the upper limbs.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1"/>
          <w:szCs w:val="21"/>
          <w:b w:val="1"/>
          <w:bCs w:val="1"/>
          <w:color w:val="auto"/>
        </w:rPr>
        <w:t>DPM Estimates of Activities of Daily Living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167640</wp:posOffset>
            </wp:positionV>
            <wp:extent cx="4397375" cy="2100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9737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 xml:space="preserve">Source: </w:t>
      </w:r>
      <w:r>
        <w:rPr>
          <w:rFonts w:ascii="Arial" w:cs="Arial" w:eastAsia="Arial" w:hAnsi="Arial"/>
          <w:sz w:val="14"/>
          <w:szCs w:val="14"/>
          <w:color w:val="auto"/>
        </w:rPr>
        <w:t>Preliminary analysis with a data cut as of May 2023. ADLs reported or determined from MFM32 and FARS assessments. Treatment effect</w:t>
      </w:r>
    </w:p>
    <w:p>
      <w:pPr>
        <w:spacing w:after="0" w:line="49" w:lineRule="exact"/>
        <w:rPr>
          <w:sz w:val="20"/>
          <w:szCs w:val="20"/>
          <w:color w:val="auto"/>
        </w:rPr>
      </w:pPr>
    </w:p>
    <w:p>
      <w:pPr>
        <w:ind w:left="1540" w:right="400"/>
        <w:spacing w:after="0" w:line="288" w:lineRule="auto"/>
        <w:rPr>
          <w:sz w:val="20"/>
          <w:szCs w:val="20"/>
          <w:color w:val="auto"/>
        </w:rPr>
      </w:pPr>
      <w:r>
        <w:rPr>
          <w:rFonts w:ascii="Arial" w:cs="Arial" w:eastAsia="Arial" w:hAnsi="Arial"/>
          <w:sz w:val="16"/>
          <w:szCs w:val="16"/>
          <w:color w:val="auto"/>
        </w:rPr>
        <w:t>size: 0 = natural history course of disease, 1 = arrest of disease, &gt;1 = absolute improvement of disease. Negative values indicate acceleration vs predicted natural history disease course.</w:t>
      </w:r>
    </w:p>
    <w:p>
      <w:pPr>
        <w:spacing w:after="0" w:line="171"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GAN patients experience a progressive decrease in visual acuity and a corresponding increase in the visual acuity of participants, measured by the LogMAR score, during the course of disease. In the GAN natural history study, the LogMAR ranged from 0.0 to 1.2 (mean ± SD: 0.4 ± 0.3) (Zein, Bharucha-Goebel et al. 2016). In the interventional study, patients experienced a decline in visual acuity during the pre-treatment interval of up to 36 months, consistent with an expected natural history decline. With treatment, the DPM estimated treatment effect sizes of 51% (left eye; 95% CI = 33% to 68%) and 70% (right eye; 95% CI = 54% to 84%) and approximate 100% probability of positive treatment effect on slowing disease progression. These results translate to an approximate relative annualized change of -0.06 in the left eye and -0.09 in the right eye.</w:t>
      </w:r>
    </w:p>
    <w:p>
      <w:pPr>
        <w:spacing w:after="0" w:line="164"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In addition to the extended analysis of clinical functional endpoints from both the natural history study and the interventional study, we further reviewed objective electrophysiological and biological endpoints. Analysis against the DPM estimated a 100% probability of seeing measurable improvement in nerve response with ulnar SNAP and median SNAP amplitude with an estimated treatment effect of 189% and 152%, respectively. Similarly, aberrant CMAP responses were recorded at baseline, indicating widespread motor unit junction dysfunction among GAN patients, with analysis against the DPM estimating a 94% probability of seeing measurable improvement in the ulnar nerve CMAP amplitude with an estimated treatment effect of 29%.</w:t>
      </w:r>
    </w:p>
    <w:p>
      <w:pPr>
        <w:spacing w:after="0" w:line="192"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Four out of the five patients that had stabilization or recovery in SNAPs had increased regenerative clusters on nerve biopsy. An increase in regenerative clusters score is associated with both new nerve fiber injury or a regenerative process, and typical evaluation of regenerative clusters relies on three consecutive measurements (electrophysiology and biopsy). Considering the restoration of SNAP activity that is dependent of axonal integrity in multiple treated patients, reasonable confidence in favor of the interpretation of an active axonal regenerative response to nerve fiber injury can be made. Skin biopsy specimens from the proximal thigh and distal leg collected from interventional study participants at baseline and the contralateral site one-year post-gene transfer were subject to histological examination. Five patients saw stabilization or increases in nerve fiber density of the skin in at least one location of the proximal or distal leg at month 12, including three out of the three high-dose patients and one medium-high dose patient. The examination of epidermal nerve fibers revealed objective evidence that rescue following gene transfer occurred in a dose dependent manner, and these results therefore suggested a specific relationship with TSHA-120 administration.</w:t>
      </w:r>
    </w:p>
    <w:p>
      <w:pPr>
        <w:spacing w:after="0" w:line="181"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Results indicated that treatment with TSHA-120 lead to improvements in electrophysiological responses and regeneration of nervous tissue – findings that do not occur in the natural history of GAN. The combination of peripheral nerve improvement allows for preserved hand strength and function, as seen in mFARS, MFM32 Domain 3, and ADL scores. The findings for arm function are crucial to preserving daily functioning for GAN patients, especially since lower limb function is often lost early in the course of disease (Bharucha-Goebel, Norato et al. 2021). We believe the evidence from these non-effort dependent functional and biological data supported the improvements observed in clinician reported outcomes, including the mFARS and MFM32.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47" w:name="page48"/>
    <w:bookmarkEnd w:id="47"/>
    <w:p>
      <w:pPr>
        <w:jc w:val="center"/>
        <w:ind w:right="40"/>
        <w:spacing w:after="0" w:line="267" w:lineRule="auto"/>
        <w:rPr>
          <w:sz w:val="20"/>
          <w:szCs w:val="20"/>
          <w:color w:val="auto"/>
        </w:rPr>
      </w:pPr>
      <w:r>
        <w:rPr>
          <w:rFonts w:ascii="Arial" w:cs="Arial" w:eastAsia="Arial" w:hAnsi="Arial"/>
          <w:sz w:val="20"/>
          <w:szCs w:val="20"/>
          <w:b w:val="1"/>
          <w:bCs w:val="1"/>
          <w:color w:val="auto"/>
        </w:rPr>
        <w:t>Treatment effects observed in categories related to personal independence and self-care, particularly activities involving the use of the upper limbs.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118110</wp:posOffset>
            </wp:positionV>
            <wp:extent cx="5511800" cy="28975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118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Source: </w:t>
      </w:r>
      <w:r>
        <w:rPr>
          <w:rFonts w:ascii="Arial" w:cs="Arial" w:eastAsia="Arial" w:hAnsi="Arial"/>
          <w:sz w:val="16"/>
          <w:szCs w:val="16"/>
          <w:color w:val="auto"/>
        </w:rPr>
        <w:t>Preliminary analysis with a data cut as of May 2023</w:t>
      </w:r>
    </w:p>
    <w:p>
      <w:pPr>
        <w:spacing w:after="0" w:line="200" w:lineRule="exact"/>
        <w:rPr>
          <w:sz w:val="20"/>
          <w:szCs w:val="20"/>
          <w:color w:val="auto"/>
        </w:rPr>
      </w:pPr>
    </w:p>
    <w:p>
      <w:pPr>
        <w:spacing w:after="0" w:line="237" w:lineRule="exact"/>
        <w:rPr>
          <w:sz w:val="20"/>
          <w:szCs w:val="20"/>
          <w:color w:val="auto"/>
        </w:rPr>
      </w:pPr>
    </w:p>
    <w:p>
      <w:pPr>
        <w:ind w:right="60" w:firstLine="749"/>
        <w:spacing w:after="0" w:line="273" w:lineRule="auto"/>
        <w:rPr>
          <w:sz w:val="20"/>
          <w:szCs w:val="20"/>
          <w:color w:val="auto"/>
        </w:rPr>
      </w:pPr>
      <w:r>
        <w:rPr>
          <w:rFonts w:ascii="Arial" w:cs="Arial" w:eastAsia="Arial" w:hAnsi="Arial"/>
          <w:sz w:val="17"/>
          <w:szCs w:val="17"/>
          <w:color w:val="auto"/>
        </w:rPr>
        <w:t>Following treatment of TSHA-120, broad drug-effects have been observed in GAN patients, with notable stabilizations apparent across ADLs, functional clinician-reported and performance outcomes, electrophysiological outcomes and in objective biological data. Individually and collectively, TSHA-120 has shown a trend towards efficacy across multiple functional domains and is able to slow the rate of disease progression in ways that are very meaningful for GAN patients. Taken together, we believe these data provide a robust data set from which we can reasonably ascertain the broad efficacy of TSHA-120 in GAN patients. We have submitted a request for a formal meeting with the FDA and anticipate a meeting in the third quarter of 2023 to discuss this new data analysis and inform us on the next steps in the regulatory pathway on GAN.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Safety and Tolerability</w:t>
      </w:r>
    </w:p>
    <w:p>
      <w:pPr>
        <w:spacing w:after="0" w:line="333"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1939925</wp:posOffset>
            </wp:positionH>
            <wp:positionV relativeFrom="page">
              <wp:posOffset>294640</wp:posOffset>
            </wp:positionV>
            <wp:extent cx="3642995" cy="2468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36429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Source: NIH</w:t>
      </w:r>
    </w:p>
    <w:p>
      <w:pPr>
        <w:spacing w:after="0" w:line="208"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currently have over seven years of longitudinal data in individual patients with GAN from our ongoing clinical study. Treatment with TSHA-120 was well-tolerated with no significant safety issues. There was no apparent increase in incidence of adverse events with increased dose, no dose-limiting toxicity, no signs of acute or subacute inflammation, no sudden sensory changes and no drug-related or persistent elevation of transaminases. Adverse events related to immunosuppression or study procedures were similar to what was seen with other gene therapies and transient in nature. The most common non-serious adverse events considered possibly or probably related to TSHA-120 included cerebrospinal fluid, or CSF, pleocytosis, leukocytosis, CSF Ig increased, thrombocytosis, headache, and cardiac disorders (electrocardiogram abnormalities). All serious adverse events were assessed as unlikely or unrelated to TSHA-120 except for one serious adverse event of pyrexia considered possibly related to TSHA-120 occurring in a participant treated at the high-dose.</w:t>
      </w:r>
    </w:p>
    <w:p>
      <w:pPr>
        <w:spacing w:after="0" w:line="19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While safety surveillance is ongoing, most events reported to date began within three months of dosing and based on the pattern of occurrence of overall number and percentage of Treatment-Emergent Adverse Events, or TEAEs, assessed as at least possibly related to TSHA-120, there did not appear to be an increase of events with increasing dose of TSHA-120.</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Treatment-Emergent Adverse Events Reporting Rate Per Patient, Per Interval by Dose – Up to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17145</wp:posOffset>
            </wp:positionV>
            <wp:extent cx="5726430" cy="31457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2643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 = Month; TEAE = treatment emergent adverse event</w:t>
      </w:r>
    </w:p>
    <w:p>
      <w:pPr>
        <w:ind w:left="520"/>
        <w:spacing w:after="0"/>
        <w:rPr>
          <w:sz w:val="20"/>
          <w:szCs w:val="20"/>
          <w:color w:val="auto"/>
        </w:rPr>
      </w:pPr>
      <w:r>
        <w:rPr>
          <w:rFonts w:ascii="Arial" w:cs="Arial" w:eastAsia="Arial" w:hAnsi="Arial"/>
          <w:sz w:val="14"/>
          <w:szCs w:val="14"/>
          <w:b w:val="1"/>
          <w:bCs w:val="1"/>
          <w:color w:val="auto"/>
        </w:rPr>
        <w:t xml:space="preserve">Source: </w:t>
      </w:r>
      <w:r>
        <w:rPr>
          <w:rFonts w:ascii="Arial" w:cs="Arial" w:eastAsia="Arial" w:hAnsi="Arial"/>
          <w:sz w:val="14"/>
          <w:szCs w:val="14"/>
          <w:color w:val="auto"/>
        </w:rPr>
        <w:t>Preliminary analysis with a data cut as of May 2023.</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ind w:right="60" w:firstLine="749"/>
        <w:spacing w:after="0" w:line="293" w:lineRule="auto"/>
        <w:rPr>
          <w:sz w:val="20"/>
          <w:szCs w:val="20"/>
          <w:color w:val="auto"/>
        </w:rPr>
      </w:pPr>
      <w:r>
        <w:rPr>
          <w:rFonts w:ascii="Arial" w:cs="Arial" w:eastAsia="Arial" w:hAnsi="Arial"/>
          <w:sz w:val="16"/>
          <w:szCs w:val="16"/>
          <w:color w:val="auto"/>
        </w:rPr>
        <w:t>In order to deliver a robust CMC data package to support licensure discussions, we have successfully completed six development and GMP lots of TSHA-120 with our contract development and manufacturing organization, or CDMO, partner. We have also completed a comprehensive side-by-side biochemical and biophysical analysis of current and previous clinical lots. Our CDMO utilizes the same Pro10TM manufacturing platform used to produce the original GAN lots, which is intended to reduce comparability risk. Five development lots ranging from 2L to 250L scale and one full-scale 500L GMP lot were analyzed side-by-side with the current TSHA-120 clinical lot using a comprehensive analytical panel that is expected to meet current regulatory requirements including assays for critical attributes such as product and process residuals, empty/full ratio, genetic integrity, potency and strength.</w:t>
      </w:r>
    </w:p>
    <w:p>
      <w:pPr>
        <w:spacing w:after="0" w:line="164"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TSHA-120 pivotal lot, which yielded over 50 patient doses of TSHA-120 at the highest dose cohort of 1.0x1014 vg by ddPCR, was released in November 2022. This material positions us for future BLA-enabling activities and commercial production. These lots were also placed on stability to provide critical shelf-life data.</w:t>
      </w:r>
    </w:p>
    <w:p>
      <w:pPr>
        <w:spacing w:after="0" w:line="184"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In September 2021, we submitted a request for a Scientific Advice meeting for TSHA-120 to the MHRA and were granted a meeting in January 2022. The MHRA agreed on our commercial manufacturing and release assay testing strategy including potency assays. Finally, the MHRA was supportive of our proposal to perform validation work on MFM32 for GAN as a key clinical endpoint and for us to explore the MFM32 items with patients and families as part of this process. In September 2022, we submitted a meeting request to the FDA and were granted a Type B end-of-Phase 2 meeting via teleconference on December 13, 2022. In January 2023, we reported feedback from the Type B end-of-Phase 2 meeting with the FDA following receipt of the formal meeting minutes. The FDA provided additional clarity for TSHA-120 where MFM32 was acknowledged as an acceptable endpoint with a recommendation to dose additional patients in a double-blind, placebo-controlled design to support a BLA. The FDA acknowledged our overall approach to manufacturing of commercial material was deemed appropriate pending review of a planned CMC data package for TSHA-120. Subsequently, we submitted follow-up questions in response to the formal meeting minutes. The FDA clarified MFM32 as a relevant primary endpoint in the setting of a controlled trial and acknowledged our challenge in designing such study due to the ultra-rare nature of GAN. The FDA was open to acceptance of more uncertainty due to difficulty in enrolling a sufficient number of patients and regulatory flexibility in a controlled trial setting. In addition, the FDA indicated it was willing to consider alternative study designs utilizing objective measurements to demonstrate a relatively large treatment effect that is self-evident and clinically meaningful. The FDA acknowledged that the size of the safety database will be a review issue and acceptance of the existing safety data from treated patients will depend on demonstration of product comparability. We have completed the CMC module 3 amendment submission detailing drug comparability data and received feedback in the third quarter of 2023. The FDA concluded that analytical data is sufficient to support the comparability study (comparing early clinical and pivotal lots) and pivotal lot release for use in planned clinical studies.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Programs</w:t>
      </w:r>
    </w:p>
    <w:p>
      <w:pPr>
        <w:spacing w:after="0" w:line="225" w:lineRule="exact"/>
        <w:rPr>
          <w:sz w:val="20"/>
          <w:szCs w:val="20"/>
          <w:color w:val="auto"/>
        </w:rPr>
      </w:pPr>
    </w:p>
    <w:p>
      <w:pPr>
        <w:ind w:right="380" w:firstLine="749"/>
        <w:spacing w:after="0" w:line="311" w:lineRule="auto"/>
        <w:rPr>
          <w:sz w:val="20"/>
          <w:szCs w:val="20"/>
          <w:color w:val="auto"/>
        </w:rPr>
      </w:pPr>
      <w:r>
        <w:rPr>
          <w:rFonts w:ascii="Arial" w:cs="Arial" w:eastAsia="Arial" w:hAnsi="Arial"/>
          <w:sz w:val="16"/>
          <w:szCs w:val="16"/>
          <w:color w:val="auto"/>
        </w:rPr>
        <w:t>We have at this time deprioritized the evaluation of our preclinical product candidates TSHA-105 for SLC13A5, TSHA-118 for CLN1 and TSHA-121 for CLN7. Although we are not currently evaluating the potential of TSHA-105, TSHA-118 and TSHA-121, we may again evaluate any of these in the future as a product candidate as a component of our pipeline expansion plans, or pursue partnerships to advance these programs.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TSHA-118 for CLN1 Disease</w:t>
      </w:r>
    </w:p>
    <w:p>
      <w:pPr>
        <w:spacing w:after="0" w:line="117" w:lineRule="exact"/>
        <w:rPr>
          <w:sz w:val="20"/>
          <w:szCs w:val="20"/>
          <w:color w:val="auto"/>
        </w:rPr>
      </w:pPr>
    </w:p>
    <w:p>
      <w:pPr>
        <w:ind w:right="200" w:firstLine="749"/>
        <w:spacing w:after="0" w:line="255" w:lineRule="auto"/>
        <w:rPr>
          <w:sz w:val="20"/>
          <w:szCs w:val="20"/>
          <w:color w:val="auto"/>
        </w:rPr>
      </w:pPr>
      <w:r>
        <w:rPr>
          <w:rFonts w:ascii="Arial" w:cs="Arial" w:eastAsia="Arial" w:hAnsi="Arial"/>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192" w:lineRule="exact"/>
        <w:rPr>
          <w:sz w:val="20"/>
          <w:szCs w:val="20"/>
          <w:color w:val="auto"/>
        </w:rPr>
      </w:pPr>
    </w:p>
    <w:p>
      <w:pPr>
        <w:ind w:right="100" w:firstLine="749"/>
        <w:spacing w:after="0" w:line="272" w:lineRule="auto"/>
        <w:rPr>
          <w:sz w:val="20"/>
          <w:szCs w:val="20"/>
          <w:color w:val="auto"/>
        </w:rPr>
      </w:pPr>
      <w:r>
        <w:rPr>
          <w:rFonts w:ascii="Arial" w:cs="Arial" w:eastAsia="Arial" w:hAnsi="Arial"/>
          <w:sz w:val="17"/>
          <w:szCs w:val="17"/>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00" w:firstLine="749"/>
        <w:spacing w:after="0" w:line="263" w:lineRule="auto"/>
        <w:rPr>
          <w:sz w:val="20"/>
          <w:szCs w:val="20"/>
          <w:color w:val="auto"/>
        </w:rPr>
      </w:pPr>
      <w:r>
        <w:rPr>
          <w:rFonts w:ascii="Arial" w:cs="Arial" w:eastAsia="Arial" w:hAnsi="Arial"/>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diseases that involve mutations in soluble enzymes, in part, due to cross-correction of neighboring non-transduced cells.</w:t>
      </w:r>
    </w:p>
    <w:p>
      <w:pPr>
        <w:spacing w:after="0" w:line="184" w:lineRule="exact"/>
        <w:rPr>
          <w:sz w:val="20"/>
          <w:szCs w:val="20"/>
          <w:color w:val="auto"/>
        </w:rPr>
      </w:pPr>
    </w:p>
    <w:p>
      <w:pPr>
        <w:ind w:right="340" w:firstLine="749"/>
        <w:spacing w:after="0" w:line="275" w:lineRule="auto"/>
        <w:rPr>
          <w:sz w:val="20"/>
          <w:szCs w:val="20"/>
          <w:color w:val="auto"/>
        </w:rPr>
      </w:pPr>
      <w:r>
        <w:rPr>
          <w:rFonts w:ascii="Arial" w:cs="Arial" w:eastAsia="Arial" w:hAnsi="Arial"/>
          <w:sz w:val="17"/>
          <w:szCs w:val="17"/>
          <w:color w:val="auto"/>
        </w:rPr>
        <w:t xml:space="preserve">We believe that the introduction of a functional </w:t>
      </w:r>
      <w:r>
        <w:rPr>
          <w:rFonts w:ascii="Arial" w:cs="Arial" w:eastAsia="Arial" w:hAnsi="Arial"/>
          <w:sz w:val="17"/>
          <w:szCs w:val="17"/>
          <w:i w:val="1"/>
          <w:iCs w:val="1"/>
          <w:color w:val="auto"/>
        </w:rPr>
        <w:t>CLN1</w:t>
      </w:r>
      <w:r>
        <w:rPr>
          <w:rFonts w:ascii="Arial" w:cs="Arial" w:eastAsia="Arial" w:hAnsi="Arial"/>
          <w:sz w:val="17"/>
          <w:szCs w:val="17"/>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176"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170"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There is currently an open IND for the CLN1 program. We submitted a CTA filing for TSHA-118 which was approved by Health Canada in 2021. Clinical trial material has been manufactured and released and is now ready for use in a clinical trial setting.</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TSHA-105 for SLC13A5 Deficiency</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We are developing TSHA-105 for the treatment of SLC13A5 deficiency, a rare autosomal recessive epileptic encephalopathy characterized by the onset of seizures within the first few days of life. SLC13A5 deficiency is caused by bi-allelic loss-of function mutations in the SLC13A5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166"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are developing TSHA-105 as a gene replacement therapy for SLC13A5 deficiency. TSHA-105 is constructed from a codon-optimized human SLC13A5 gene packaged in a self-complementary AAV9 capsid.</w:t>
      </w:r>
    </w:p>
    <w:p>
      <w:pPr>
        <w:spacing w:after="0" w:line="170"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We have received orphan drug designation and rare pediatric disease designation from the FDA and orphan drug designation from the European Commission for TSHA-105 for the treatment of epilepsy caused by SLC13A5 deficiency. Clinical trial material has been manufactured and released and is now ready for use in a clinical trial setting.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TSHA-113 for Tauopathies</w:t>
      </w:r>
    </w:p>
    <w:p>
      <w:pPr>
        <w:spacing w:after="0" w:line="225" w:lineRule="exact"/>
        <w:rPr>
          <w:sz w:val="20"/>
          <w:szCs w:val="20"/>
          <w:color w:val="auto"/>
        </w:rPr>
      </w:pPr>
    </w:p>
    <w:p>
      <w:pPr>
        <w:jc w:val="both"/>
        <w:ind w:right="60" w:firstLine="749"/>
        <w:spacing w:after="0" w:line="275" w:lineRule="auto"/>
        <w:rPr>
          <w:sz w:val="20"/>
          <w:szCs w:val="20"/>
          <w:color w:val="auto"/>
        </w:rPr>
      </w:pPr>
      <w:r>
        <w:rPr>
          <w:rFonts w:ascii="Arial" w:cs="Arial" w:eastAsia="Arial" w:hAnsi="Arial"/>
          <w:sz w:val="17"/>
          <w:szCs w:val="17"/>
          <w:color w:val="auto"/>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 affected by MAPT mediated FTD and 2,000 to 2,500 are affected with MAPT-mediated PSP. and CD</w:t>
      </w:r>
      <w:r>
        <w:rPr>
          <w:rFonts w:ascii="Arial" w:cs="Arial" w:eastAsia="Arial" w:hAnsi="Arial"/>
          <w:sz w:val="13"/>
          <w:szCs w:val="13"/>
          <w:color w:val="auto"/>
        </w:rPr>
        <w:t>,</w:t>
      </w:r>
      <w:r>
        <w:rPr>
          <w:rFonts w:ascii="Arial" w:cs="Arial" w:eastAsia="Arial" w:hAnsi="Arial"/>
          <w:sz w:val="17"/>
          <w:szCs w:val="17"/>
          <w:color w:val="auto"/>
        </w:rPr>
        <w:t xml:space="preserve"> and Alzheimer’s disease affects an estimated 6.2 million Americans and 7.8 million Europeans.</w:t>
      </w:r>
    </w:p>
    <w:p>
      <w:pPr>
        <w:spacing w:after="0" w:line="176"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p>
    <w:p>
      <w:pPr>
        <w:spacing w:after="0" w:line="15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spacing w:after="0" w:line="18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efficacy of our treatment by delivering TSHA-113 to PS19 mice at three months, six months and nine months of age via intracisterna magna injection. We found that the tau mRNA and protein levels were significantly reduced 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140"/>
        <w:spacing w:after="0" w:line="257" w:lineRule="auto"/>
        <w:rPr>
          <w:sz w:val="20"/>
          <w:szCs w:val="20"/>
          <w:color w:val="auto"/>
        </w:rPr>
      </w:pPr>
      <w:r>
        <w:rPr>
          <w:rFonts w:ascii="Arial" w:cs="Arial" w:eastAsia="Arial" w:hAnsi="Arial"/>
          <w:sz w:val="18"/>
          <w:szCs w:val="18"/>
          <w:color w:val="auto"/>
        </w:rPr>
        <w:t>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TSHA-106 for Angelman syndrome</w:t>
      </w:r>
    </w:p>
    <w:p>
      <w:pPr>
        <w:spacing w:after="0" w:line="225" w:lineRule="exact"/>
        <w:rPr>
          <w:sz w:val="20"/>
          <w:szCs w:val="20"/>
          <w:color w:val="auto"/>
        </w:rPr>
      </w:pPr>
    </w:p>
    <w:p>
      <w:pPr>
        <w:ind w:right="180" w:firstLine="749"/>
        <w:spacing w:after="0" w:line="311" w:lineRule="auto"/>
        <w:rPr>
          <w:sz w:val="20"/>
          <w:szCs w:val="20"/>
          <w:color w:val="auto"/>
        </w:rPr>
      </w:pPr>
      <w:r>
        <w:rPr>
          <w:rFonts w:ascii="Arial" w:cs="Arial" w:eastAsia="Arial" w:hAnsi="Arial"/>
          <w:sz w:val="16"/>
          <w:szCs w:val="16"/>
          <w:color w:val="auto"/>
        </w:rPr>
        <w:t>We are developing TSHA-106 for the treatment of Angelman syndrome, a neurodevelopmental disorder caused by a maternal deficiency of the UBE3A gene. Angelman syndrome is characterized by profound developmental delay, ataxia and gait disturbance, sleep disorder, seizures, heightened anxiety, aggression and severe speech impairments. Angelman syndrome affects approximately one per 12,000 to 20,000 patients worldwide.</w:t>
      </w:r>
    </w:p>
    <w:p>
      <w:pPr>
        <w:spacing w:after="0" w:line="149"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Angelman syndrome is an imprinting disorder in which the maternal gene is deficient and the paternal copy of UBE3A is intact but silenced by a long non-coding RNA, UBE3A antisense transcript, or UBE3A-ATS. Delivery of an ASO targeting UBE3A-ATS showed promising results in ameliorating Angelman syndrome symptoms in a transgenic mouse model.</w:t>
      </w:r>
    </w:p>
    <w:p>
      <w:pPr>
        <w:spacing w:after="0" w:line="184"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We have in-licensed a novel gene replacement therapy from University of North Carolina. This novel construct is designed to express two isoforms of UBE3A mRNA from the same codon optimized transgene cassette and could potentially be a one-time treatment for the disease. The unique design feature allows short and long hUBE3A isoforms expression at a near-endogenous 3:1 (short/long) ratio, a feature that could help to support optimal therapeutic outcomes. Additionally, this construct uses human Synapsin 1 promoter, to limit UBE3A expression primarily in neurons, the primary therapeutic target for treating Angelman syndrome.</w:t>
      </w:r>
    </w:p>
    <w:p>
      <w:pPr>
        <w:spacing w:after="0" w:line="188"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In a published study, this dual isoform expressing cassette was packaged into PHP.B capsids and administered by intracerebroventricular injections in neonatal mice models. This treatment significantly improved motor learning and innate behaviors in Angelman syndrome mice (PMID: 34676830). It rendered Angelman syndrome mice resilient to epileptogenesis and associated hippocampal neuropathologies induced by seizure kindling. These results demonstrated the feasibility, tolerability, and therapeutic potential for dual-isoform hUBE3A gene transfer in the treatment of AS.</w:t>
      </w:r>
    </w:p>
    <w:p>
      <w:pPr>
        <w:spacing w:after="0" w:line="15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To advance these findings into translatable interventions, our collaborators packaged the dual isoform expressing cassette into AAV9 capsids and undertook animal proof of concept studies. Overall, these results are highly consistent with the published data describing neonatal ICV delivery of a similar dose of the PHP.B/hUBE3Aopt vector (PMID: 34676830) and support continued development. Ongoing and future work is focused on optimal dose and route of administration determination for IND enabling studies.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an estimated 55,000 patients with Angelman syndrome in the United States and Europe.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TSHA-114 for Fragile X Syndrome</w:t>
      </w:r>
    </w:p>
    <w:p>
      <w:pPr>
        <w:spacing w:after="0" w:line="22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84"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 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78"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 treated FMRKO showed widespread FMRP expression was observed throughout brain post administration. TSHA-114 treated FMRKO mice showed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drug efficacy.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840" w:firstLine="749"/>
        <w:spacing w:after="0" w:line="277" w:lineRule="auto"/>
        <w:rPr>
          <w:sz w:val="20"/>
          <w:szCs w:val="20"/>
          <w:color w:val="auto"/>
        </w:rPr>
      </w:pPr>
      <w:r>
        <w:rPr>
          <w:rFonts w:ascii="Arial" w:cs="Arial" w:eastAsia="Arial" w:hAnsi="Arial"/>
          <w:sz w:val="18"/>
          <w:szCs w:val="18"/>
          <w:color w:val="auto"/>
        </w:rPr>
        <w:t>The results from the study strongly support continued development. Ongoing and future work is focused on optimal dose and route of administration determination for IND enabling studies.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are an estimated 75,000 patients with Fragile X syndrome in the United States and Europe.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1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170"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78" w:lineRule="exact"/>
        <w:rPr>
          <w:sz w:val="20"/>
          <w:szCs w:val="20"/>
          <w:color w:val="auto"/>
        </w:rPr>
      </w:pPr>
    </w:p>
    <w:p>
      <w:pPr>
        <w:ind w:right="60" w:firstLine="749"/>
        <w:spacing w:after="0" w:line="342" w:lineRule="auto"/>
        <w:rPr>
          <w:sz w:val="20"/>
          <w:szCs w:val="20"/>
          <w:color w:val="auto"/>
        </w:rPr>
      </w:pPr>
      <w:r>
        <w:rPr>
          <w:rFonts w:ascii="Arial" w:cs="Arial" w:eastAsia="Arial" w:hAnsi="Arial"/>
          <w:sz w:val="16"/>
          <w:szCs w:val="16"/>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2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(CLN1 Disease)</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8" w:lineRule="exact"/>
        <w:rPr>
          <w:sz w:val="20"/>
          <w:szCs w:val="20"/>
          <w:color w:val="auto"/>
        </w:rPr>
      </w:pPr>
    </w:p>
    <w:p>
      <w:pPr>
        <w:ind w:right="120" w:firstLine="749"/>
        <w:spacing w:after="0" w:line="253" w:lineRule="auto"/>
        <w:rPr>
          <w:sz w:val="20"/>
          <w:szCs w:val="20"/>
          <w:color w:val="auto"/>
        </w:rPr>
      </w:pPr>
      <w:r>
        <w:rPr>
          <w:rFonts w:ascii="Arial" w:cs="Arial" w:eastAsia="Arial" w:hAnsi="Arial"/>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96" w:lineRule="exact"/>
        <w:rPr>
          <w:sz w:val="20"/>
          <w:szCs w:val="20"/>
          <w:color w:val="auto"/>
        </w:rPr>
      </w:pPr>
    </w:p>
    <w:p>
      <w:pPr>
        <w:ind w:right="100" w:firstLine="749"/>
        <w:spacing w:after="0" w:line="275" w:lineRule="auto"/>
        <w:rPr>
          <w:sz w:val="20"/>
          <w:szCs w:val="20"/>
          <w:color w:val="auto"/>
        </w:rPr>
      </w:pPr>
      <w:r>
        <w:rPr>
          <w:rFonts w:ascii="Arial" w:cs="Arial" w:eastAsia="Arial" w:hAnsi="Arial"/>
          <w:sz w:val="17"/>
          <w:szCs w:val="17"/>
          <w:color w:val="auto"/>
        </w:rPr>
        <w:t>In December 2021 the Company’s CTA filing for TSHA-118 for the treatment of CLN1 disease was approved by Health Canada and therefore triggered a regulatory milestone payment in connection with the Abeona CLN1 Agreement. We 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six months ended June 30, 2022. No additional milestone payments were made or triggered during the six months ended June 30, 2023.</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140" w:firstLine="749"/>
        <w:spacing w:after="0" w:line="286" w:lineRule="auto"/>
        <w:rPr>
          <w:sz w:val="20"/>
          <w:szCs w:val="20"/>
          <w:color w:val="auto"/>
        </w:rPr>
      </w:pPr>
      <w:r>
        <w:rPr>
          <w:rFonts w:ascii="Arial" w:cs="Arial" w:eastAsia="Arial" w:hAnsi="Arial"/>
          <w:sz w:val="17"/>
          <w:szCs w:val="17"/>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(Rett Syndrome)</w:t>
      </w:r>
    </w:p>
    <w:p>
      <w:pPr>
        <w:spacing w:after="0" w:line="117"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71"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70"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64"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six months ended June 30, 2022. This milestone fee was paid in July 2022. In May 2023, we dosed the first patient with TSHA-102 in the Phase 1/2 REVEAL trial evaluating the safety and preliminary efficacy of TSHA-102 in adult patients with Rett syndrome and therefore triggered a milestone payment in connection with this agreement. We recorded $3.5 million within research and development expenses in the condensed consolidated statements of operations for the six months ended June 30, 2023. This milestone fee was not paid as of June 30, 2023 and has been recorded in accrued expenses and other current liabilities in the condensed consolidated balance sheet as of June 30, 2023. No additional milestone payments were made or triggered in connection with this agreement during the six months ended June 30, 2023.</w:t>
      </w:r>
    </w:p>
    <w:p>
      <w:pPr>
        <w:spacing w:after="0" w:line="165"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October 21, 2022, or the Effective Date, we entered into an Option Agreement, or the Option Agreement, with Audentes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(d/b/a Astellas Gene Therapy), or Astellas.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TSHA-120 Giant Axonal Neuropathy</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is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TSHA-102 Rett Syndrome</w:t>
      </w:r>
    </w:p>
    <w:p>
      <w:pPr>
        <w:spacing w:after="0" w:line="117"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spacing w:after="0" w:line="178" w:lineRule="exact"/>
        <w:rPr>
          <w:sz w:val="20"/>
          <w:szCs w:val="20"/>
          <w:color w:val="auto"/>
        </w:rPr>
      </w:pPr>
    </w:p>
    <w:p>
      <w:pPr>
        <w:ind w:right="200" w:firstLine="749"/>
        <w:spacing w:after="0" w:line="311" w:lineRule="auto"/>
        <w:rPr>
          <w:sz w:val="20"/>
          <w:szCs w:val="20"/>
          <w:color w:val="auto"/>
        </w:rPr>
      </w:pPr>
      <w:r>
        <w:rPr>
          <w:rFonts w:ascii="Arial" w:cs="Arial" w:eastAsia="Arial" w:hAnsi="Arial"/>
          <w:sz w:val="16"/>
          <w:szCs w:val="16"/>
          <w:color w:val="auto"/>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firstLine="749"/>
        <w:spacing w:after="0" w:line="270" w:lineRule="auto"/>
        <w:rPr>
          <w:sz w:val="20"/>
          <w:szCs w:val="20"/>
          <w:color w:val="auto"/>
        </w:rPr>
      </w:pPr>
      <w:r>
        <w:rPr>
          <w:rFonts w:ascii="Arial" w:cs="Arial" w:eastAsia="Arial" w:hAnsi="Arial"/>
          <w:sz w:val="17"/>
          <w:szCs w:val="17"/>
          <w:color w:val="auto"/>
        </w:rPr>
        <w:t>Since inception, we have incurred operating losses and expect to continue to incur significant operating losses for the foreseeable future and may never become profitable. Losses are expected to continue as we continue to invest in our research and development activities. The assessment of our ability to meet our future obligations is inherently judgmental, subjective and susceptible to change. Based on our current forecast, we believe that we will have sufficient cash, including the anticipated net proceeds from the private placement expected to close in August 2023 (See Note 15 of the financial statements included in this Quarterly Report on Form 10-Q and “—Liquidity and Capital Resources” below), to maintain our planned operations for the next twelve months following the issuance of these condensed consolidated financial statements. However given the inherent uncertainties in the forecast, we have considered both quantitative and qualitative factors that are known or reasonably knowable as of the date that these condensed consolidated financial statements are issued and concluded that there are conditions present in the aggregate that raise substantial doubt about our ability to continue as a going concern.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Notices</w:t>
      </w:r>
    </w:p>
    <w:p>
      <w:pPr>
        <w:spacing w:after="0" w:line="117"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On April 25, 2023, we received a letter from The Nasdaq Stock Market, or Nasdaq, notifying us that, for the previous 30 consecutive business day periods prior to the date of the letter, the closing bid price for our common stock was below $1.00. In accordance with Nasdaq Listing Rule 5810(c)(3)</w:t>
      </w:r>
    </w:p>
    <w:p>
      <w:pPr>
        <w:ind w:firstLine="8"/>
        <w:spacing w:after="0" w:line="267" w:lineRule="auto"/>
        <w:tabs>
          <w:tab w:leader="none" w:pos="29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were provided an initial period of 180 calendar days, or until October 23, 2023, to regain compliance with Nasdaq’s bid price requirement. If, at any time before October 23, 2023, the bid price for our common stock closed at $1.00 or more for a minimum of 10 consecutive business days, we would regain compliance with the bid price requirement, unless Nasdaq staff exercised its discretion to extend this 10-day period pursuant to Nasdaq rules. In the event we do not regain compliance with the minimum bid price requirement by October 23, 2023, we may be eligible for an additional 180-calendar day compliance period if we elect to transfer to The Nasdaq Capital Market to take advantage of the additional compliance period offered on that market.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bid price deficiency during the second compliance period. Our failure to regain compliance during this period could result in delisting. During the six months ended June 30, 2023, our board of directors and stockholders approved a series of alternate amendments to our Amended and Restated Certificate of Incorporation to effect a reverse stock split of our common stock, where the board of directors will have the discretion to select the reverse stock split ratio from within a range between and including one-for-five and one-for-twenty. Such reverse stock split, and the reverse stock split ratio, will be at the sole discretion of the board of directors at any time prior to our 2024 Annual Meeting of Stockholders.</w:t>
      </w:r>
    </w:p>
    <w:p>
      <w:pPr>
        <w:spacing w:after="0" w:line="184"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On August 3, 2023, we received a further written notice, or the MVLS Notice, from Nasdaq indicating that we are no longer in compliance with the minimum Market Value of Listed Securities, or MVLS, of $50,000,000 required for continued listing on The Nasdaq Global Select Market, as set forth in Nasdaq Listing Rule 5450(b)(2)(A), or the MVLS Requirement. In accordance with Nasdaq Listing Rule 5810(c)(3)(C), we have a period of 180 calendar days, or until January 30, 2024, or the MVLS Compliance Date, to regain compliance with the MVLS Requirement. To regain compliance, our MVLS must close at $50,000,000 or more for a minimum of 10 consecutive business days prior to the MVLS Compliance Date. In the event we do not regain compliance with the MVLS Requirement prior to the Compliance Date, Nasdaq will notify us that our securities are subject to delisting, at which we may appeal the delisting determination to a Nasdaq hearings panel.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Revenue for the six months ended June 30, 2023 was derived from the Astellas Transactions. We recognize revenue as research and development activities related to our Rett program are performed and will recognize revenue related to the Rett and GAN Options at a point in time when the options are exercised or the option period expires.</w:t>
      </w:r>
    </w:p>
    <w:p>
      <w:pPr>
        <w:spacing w:after="0" w:line="184"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84" w:lineRule="exact"/>
        <w:rPr>
          <w:sz w:val="20"/>
          <w:szCs w:val="20"/>
          <w:color w:val="auto"/>
        </w:rPr>
      </w:pPr>
    </w:p>
    <w:p>
      <w:pPr>
        <w:ind w:left="1140" w:right="38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severance costs and other related costs for those employees involved in research and development efforts;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1140" w:right="64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62" w:lineRule="exact"/>
        <w:rPr>
          <w:rFonts w:ascii="Arial" w:cs="Arial" w:eastAsia="Arial" w:hAnsi="Arial"/>
          <w:sz w:val="18"/>
          <w:szCs w:val="18"/>
          <w:color w:val="auto"/>
        </w:rPr>
      </w:pPr>
    </w:p>
    <w:p>
      <w:pPr>
        <w:ind w:left="1140" w:right="76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140" w:right="660" w:hanging="383"/>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170" w:lineRule="exact"/>
        <w:rPr>
          <w:sz w:val="20"/>
          <w:szCs w:val="20"/>
          <w:color w:val="auto"/>
        </w:rPr>
      </w:pPr>
    </w:p>
    <w:p>
      <w:pPr>
        <w:ind w:right="100" w:firstLine="749"/>
        <w:spacing w:after="0" w:line="26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reduced our research and development and general and administrative spend from 2021 to 2022 but plan to increase our research and development expenses, particularly with respect to the Rett clinical trials,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71"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manufacture of our product candidates;</w:t>
      </w:r>
    </w:p>
    <w:p>
      <w:pPr>
        <w:spacing w:after="0" w:line="117" w:lineRule="exact"/>
        <w:rPr>
          <w:rFonts w:ascii="Arial" w:cs="Arial" w:eastAsia="Arial" w:hAnsi="Arial"/>
          <w:sz w:val="18"/>
          <w:szCs w:val="18"/>
          <w:color w:val="auto"/>
        </w:rPr>
      </w:pPr>
    </w:p>
    <w:p>
      <w:pPr>
        <w:ind w:left="1140" w:right="140" w:hanging="383"/>
        <w:spacing w:after="0" w:line="263"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75"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60" w:firstLine="749"/>
        <w:spacing w:after="0" w:line="286" w:lineRule="auto"/>
        <w:rPr>
          <w:sz w:val="20"/>
          <w:szCs w:val="20"/>
          <w:color w:val="auto"/>
        </w:rPr>
      </w:pPr>
      <w:r>
        <w:rPr>
          <w:rFonts w:ascii="Arial" w:cs="Arial" w:eastAsia="Arial" w:hAnsi="Arial"/>
          <w:sz w:val="17"/>
          <w:szCs w:val="17"/>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165"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We anticipate that certain of our general and administrative expenses will decrease in the future as a result of the reductions in our headcount in 2022 and 2023 to support our infrastructure and focus on a more prioritized set of programs in Rett and GAN.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will stay constant for the near future but may increase over time.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Impairment of long-lived assets are the result of an asset group's carrying value exceeding the fair value. In November 2022, we decided not to continue building out our manufacturing facility in North Carolina. We recorded a non-cash, non-recurring impairment charge related to the construction in progress and right-of-use lease assets at the manufacturing facility.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June 30, 2023 and 2022</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50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For the Three Months Ended June 30,</w:t>
            </w:r>
          </w:p>
        </w:tc>
      </w:tr>
      <w:tr>
        <w:trPr>
          <w:trHeight w:val="185"/>
        </w:trPr>
        <w:tc>
          <w:tcPr>
            <w:tcW w:w="7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9"/>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19,791</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(23,384 )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(33,373 )</w:t>
            </w: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(1,440 )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(743 )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(24,598 )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(34,092 )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-1139825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Revenue related to the Astellas Transactions was $2.4 million for the three months ended June 30, 2023, which was executed in November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recorded is the result of Rett research and development activities performed during the second quarter of 2023.</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Research and development expenses were $19.8 million for the three months ended June 30, 2023, compared to $23.5 million for the three months ended June 30, 2022. The $3.7 million decrease was due to lower compensation expense as a result of reduced headcount and fewer manufacturing batches and other raw material purchases.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General and administrative expenses were $6.0 million for the three months ended June 30, 2023, compared to $9.9 million for the three months ended June 30, 2022. The decrease of $3.9 million was due to reduced compensation from lower headcount, consulting and professional fees.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749"/>
        <w:spacing w:after="0" w:line="286" w:lineRule="auto"/>
        <w:rPr>
          <w:sz w:val="20"/>
          <w:szCs w:val="20"/>
          <w:color w:val="auto"/>
        </w:rPr>
      </w:pPr>
      <w:r>
        <w:rPr>
          <w:rFonts w:ascii="Arial" w:cs="Arial" w:eastAsia="Arial" w:hAnsi="Arial"/>
          <w:sz w:val="17"/>
          <w:szCs w:val="17"/>
          <w:color w:val="auto"/>
        </w:rPr>
        <w:t>Interest expense was $1.4 million for the three months ended June 30, 2023, compared to $0.7 million for the three months ended June 30, 2022. The increase of approximately $0.7 million was primarily attributable to higher interest expense incurred under the Term Loan Agreement due to higher interest rates on our Term Loan during the three months ended June 30, 2023 compared to the comparative period in the prior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2023 and 2022</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 (in thousands):</w:t>
      </w:r>
    </w:p>
    <w:p>
      <w:pPr>
        <w:spacing w:after="0" w:line="338"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61,688</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14,739</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21,336</w:t>
            </w:r>
          </w:p>
        </w:tc>
        <w:tc>
          <w:tcPr>
            <w:tcW w:w="100" w:type="dxa"/>
            <w:vAlign w:val="bottom"/>
          </w:tcPr>
          <w:p>
            <w:pPr>
              <w:spacing w:after="0"/>
              <w:rPr>
                <w:sz w:val="20"/>
                <w:szCs w:val="20"/>
                <w:color w:val="auto"/>
              </w:rPr>
            </w:pPr>
          </w:p>
        </w:tc>
      </w:tr>
      <w:tr>
        <w:trPr>
          <w:trHeight w:val="237"/>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(39,943 )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(83,024 )</w:t>
            </w:r>
          </w:p>
        </w:tc>
      </w:tr>
      <w:tr>
        <w:trPr>
          <w:trHeight w:val="241"/>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49"/>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(2,814 )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(1,415 )</w:t>
            </w:r>
          </w:p>
        </w:tc>
      </w:tr>
      <w:tr>
        <w:trPr>
          <w:trHeight w:val="237"/>
        </w:trPr>
        <w:tc>
          <w:tcPr>
            <w:tcW w:w="7760" w:type="dxa"/>
            <w:vAlign w:val="bottom"/>
          </w:tcPr>
          <w:p>
            <w:pPr>
              <w:ind w:left="200"/>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20"/>
                <w:szCs w:val="20"/>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(5 )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6"/>
        </w:trPr>
        <w:tc>
          <w:tcPr>
            <w:tcW w:w="7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(42,220 )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(84,409 )</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-1139825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Revenue related to the Astellas Transactions was $7.1 million for the six months ended June 30, 2023, which was executed in November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recorded is the result of Rett research and development activities performed during the first half of 2023.</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were $32.3 million for the six months ended June 30, 2023, compared to $61.7 million for the six months ended June 30, 2022. The $29.4 million decrease was driven by the effects of the strategic reprioritization efforts taken in March 2022, which resulted in a reduction of $9.2 million in research and development manufacturing and other raw material purchases and $9.0 million in lower compensation expense as a result of headcount reductions. We also incurred $8.7 million in lower expenses in third-party research and development consulting fees, mainly related to pre-clinical studies, and IND-enabling toxicology studies. This was partially offset by an increase in activity surrounding ongoing clinical trial efforts in the Rett REVEAL study.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200" w:firstLine="749"/>
        <w:spacing w:after="0" w:line="263" w:lineRule="auto"/>
        <w:rPr>
          <w:sz w:val="20"/>
          <w:szCs w:val="20"/>
          <w:color w:val="auto"/>
        </w:rPr>
      </w:pPr>
      <w:r>
        <w:rPr>
          <w:rFonts w:ascii="Arial" w:cs="Arial" w:eastAsia="Arial" w:hAnsi="Arial"/>
          <w:sz w:val="18"/>
          <w:szCs w:val="18"/>
          <w:color w:val="auto"/>
        </w:rPr>
        <w:t>General and administrative expenses were $14.7 million for the six months ended June 30, 2023, compared to $21.3 million for the six months ended June 30, 2022. The decrease of approximately $6.6 million was primarily due to a reduction in consulting expense and lower general and administrative compensation costs.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40" w:firstLine="749"/>
        <w:spacing w:after="0" w:line="286" w:lineRule="auto"/>
        <w:rPr>
          <w:sz w:val="20"/>
          <w:szCs w:val="20"/>
          <w:color w:val="auto"/>
        </w:rPr>
      </w:pPr>
      <w:r>
        <w:rPr>
          <w:rFonts w:ascii="Arial" w:cs="Arial" w:eastAsia="Arial" w:hAnsi="Arial"/>
          <w:sz w:val="17"/>
          <w:szCs w:val="17"/>
          <w:color w:val="auto"/>
        </w:rPr>
        <w:t>Interest expense was $2.8 million for the six months ended June 30, 2023, compared to $1.4 million for the six months ended June 30, 2022. The increase of approximately $1.4 million was primarily attributable to higher interest expense incurred under the Term Loan Agreement due to higher interest rates on our Term Loan during the six months ended June 30, 2023 compared to the comparative period in the prior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As of June 30, 2023, we had cash and cash equivalents of $45.1 million. We have funded our operations primarily through equity financings, raising an aggregate of $439.0 million in gross proceeds from equity financings, including from our IPO, the sale of common stock pursuant to the Sales Agreement, our October 2022 Follow-on Offering, private placements of common stock and convertible preferred stock, from our loan agreement with Silicon Valley Bank and from the Astellas Transactions. Specifically, between March and July 2020, we closed on the sale of an aggregate of 10,000,000 shares of Series A convertible preferred stock for gross proceeds of $30.0 million. In July and August 2020, we closed on the sale of an aggregate of 5,647,048 shares of Series B</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640"/>
        <w:spacing w:after="0" w:line="277" w:lineRule="auto"/>
        <w:rPr>
          <w:sz w:val="20"/>
          <w:szCs w:val="20"/>
          <w:color w:val="auto"/>
        </w:rPr>
      </w:pPr>
      <w:r>
        <w:rPr>
          <w:rFonts w:ascii="Arial" w:cs="Arial" w:eastAsia="Arial" w:hAnsi="Arial"/>
          <w:sz w:val="18"/>
          <w:szCs w:val="18"/>
          <w:color w:val="auto"/>
        </w:rPr>
        <w:t>convertible preferred stock for gross proceeds of $96.0 million. In September 2020, we raised gross proceeds of $181.0 million in our initial public offering.</w:t>
      </w:r>
    </w:p>
    <w:p>
      <w:pPr>
        <w:spacing w:after="0" w:line="170"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We did not draw on any of the additional $20.0 million tranches prior to their expiration on September 30, 2022 and March 31, 2023.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179" w:lineRule="exact"/>
        <w:rPr>
          <w:sz w:val="20"/>
          <w:szCs w:val="20"/>
          <w:color w:val="auto"/>
        </w:rPr>
      </w:pPr>
    </w:p>
    <w:p>
      <w:pPr>
        <w:ind w:right="140" w:firstLine="749"/>
        <w:spacing w:after="0" w:line="288" w:lineRule="auto"/>
        <w:rPr>
          <w:sz w:val="20"/>
          <w:szCs w:val="20"/>
          <w:color w:val="auto"/>
        </w:rPr>
      </w:pPr>
      <w:r>
        <w:rPr>
          <w:rFonts w:ascii="Arial" w:cs="Arial" w:eastAsia="Arial" w:hAnsi="Arial"/>
          <w:sz w:val="16"/>
          <w:szCs w:val="16"/>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Any shares of our common stock will be issued pursuant to our shelf registration statement on Form S-3 (File No. 333-260069), or the Shelf Registration Statement, which the SEC declared effective on October 14, 2021; however our use of the Shelf Registration Statement will be limited for so long as we are subject to General Instruction I.B.6 of Form S-3, which limits the amounts that the Company may sell under the Shelf Registration Statement and in accordance with the Sales Agreement. In April 2022, we sold 2,000,000 shares of common stock pursuant to the Sales Agreement and received net proceeds of $11.6 million. No other shares of common stock have been issued and sold pursuant to the Sales Agreement as of June 30, 2023.</w:t>
      </w:r>
    </w:p>
    <w:p>
      <w:pPr>
        <w:spacing w:after="0" w:line="168" w:lineRule="exact"/>
        <w:rPr>
          <w:sz w:val="20"/>
          <w:szCs w:val="20"/>
          <w:color w:val="auto"/>
        </w:rPr>
      </w:pPr>
    </w:p>
    <w:p>
      <w:pPr>
        <w:jc w:val="both"/>
        <w:ind w:right="80" w:firstLine="749"/>
        <w:spacing w:after="0" w:line="311" w:lineRule="auto"/>
        <w:rPr>
          <w:sz w:val="20"/>
          <w:szCs w:val="20"/>
          <w:color w:val="auto"/>
        </w:rPr>
      </w:pPr>
      <w:r>
        <w:rPr>
          <w:rFonts w:ascii="Arial" w:cs="Arial" w:eastAsia="Arial" w:hAnsi="Arial"/>
          <w:sz w:val="16"/>
          <w:szCs w:val="16"/>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49"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Also on October 21, 2022, we entered into the Securities Purchase Agreement with Astellas, pursuant to which we agreed to issue and sell to Astellas in a private placement, or the Private Placement, an aggregate of 7,266,342 shares of our common stock, or the Private Placement Shares, for aggregate proceeds of approximately $30.0 million. The Private Placement closed on October 24, 2022.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spacing w:after="0" w:line="176"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On October 26, 2022, we entered into the Underwriting Agreement, to issue and sell 14,000,000 shares of our common stock, par value $0.00001 per share, in an underwritten public offering pursuant to an effective registration statement on Form S-3 and a related prospectus and prospectus supplement.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spacing w:after="0" w:line="166"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the Company.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220"/>
        <w:spacing w:after="0" w:line="277" w:lineRule="auto"/>
        <w:rPr>
          <w:sz w:val="20"/>
          <w:szCs w:val="20"/>
          <w:color w:val="auto"/>
        </w:rPr>
      </w:pPr>
      <w:r>
        <w:rPr>
          <w:rFonts w:ascii="Arial" w:cs="Arial" w:eastAsia="Arial" w:hAnsi="Arial"/>
          <w:sz w:val="18"/>
          <w:szCs w:val="18"/>
          <w:color w:val="auto"/>
        </w:rPr>
        <w:t>certain clinical and regulatory milestones related to our clinical programs. The SSI Private Placement closed on April 5, 2023. Gross proceeds of the SSI Private Placement were $0.5 million.</w:t>
      </w:r>
    </w:p>
    <w:p>
      <w:pPr>
        <w:spacing w:after="0" w:line="170"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color w:val="auto"/>
        </w:rPr>
        <w:t>In August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(i) 122,412,376 shares, or the Shares, of common stock and (ii) with respect to certain Purchasers, pre-funded warrants to purchase 44,250,978 shares of common stock, or the Pre-Funded Warrants, in lieu of Shares. The purchase price is $0.90 per share, or the Purchase Price and the purchase price for the Pre-Funded Warrants is the Purchase Price minus $0.001 per Pre-Funded Warrant. The closing of the Private Placement is expected to occur on or before August 16, 2023, subject to customary closing conditions. The total gross proceeds are expected to be approximately $150 million, before deducting placement agent commissions and offering expenses payable by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Our expenses decreased from 2021 to 2022 as a result of our program prioritization efforts and reduced headcount. We anticipate further reductions in spending in 2023 compared to 2022 levels due to the strategic pipeline prioritization initiatives focused on developing Rett and GAN.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85" w:lineRule="exact"/>
        <w:rPr>
          <w:sz w:val="20"/>
          <w:szCs w:val="20"/>
          <w:color w:val="auto"/>
        </w:rPr>
      </w:pPr>
    </w:p>
    <w:p>
      <w:pPr>
        <w:ind w:right="120" w:firstLine="749"/>
        <w:spacing w:after="0" w:line="301" w:lineRule="auto"/>
        <w:rPr>
          <w:sz w:val="20"/>
          <w:szCs w:val="20"/>
          <w:color w:val="auto"/>
        </w:rPr>
      </w:pPr>
      <w:r>
        <w:rPr>
          <w:rFonts w:ascii="Arial" w:cs="Arial" w:eastAsia="Arial" w:hAnsi="Arial"/>
          <w:sz w:val="16"/>
          <w:szCs w:val="16"/>
          <w:color w:val="auto"/>
        </w:rPr>
        <w:t>As of June 30, 2023, our material cash requirements consisted of $33.7 million in total lease payments under our noncancelable leases for equipment, laboratory space and office space. These leases are described in further detail in Note 4 to our unaudited condensed consolidated financial statements located in “Part I – Financial Information, Item 1. Financial Statements” in this Quarterly Report on Form 10-Q. Our most significant purchase commitments consist of approximately $15.6 million in cancellable purchase obligations to our CROs and other clinical trial vendors.</w:t>
      </w:r>
    </w:p>
    <w:p>
      <w:pPr>
        <w:spacing w:after="0" w:line="157"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We believe that our existing cash and cash equivalents, including the anticipated net proceeds from the August 2023 Private Placement, will enable us to fund our operating expenses and capital requirements into the third quarter of 2025.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 Based on our current forecast, we believe that we will have sufficient cash to maintain our planned operations for the next twelve months following the issuance of these condensed consolidated financial statements. However, given the inherent uncertainties in the forecast, we have considered both quantitative and qualitative factors that are known or reasonably knowable as of the date that these condensed consolidated financial statements are issued and concluded that there are conditions present in the aggregate that raise substantial doubt about our ability to continue as a going concern.</w:t>
      </w:r>
    </w:p>
    <w:p>
      <w:pPr>
        <w:spacing w:after="0" w:line="16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1140" w:right="60" w:hanging="383"/>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TSHA-102, TSHA-120 and any current and future product candidates that we advance;</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additional capital on a timely basis and on favorable terms;</w:t>
      </w:r>
    </w:p>
    <w:p>
      <w:pPr>
        <w:spacing w:after="0" w:line="117" w:lineRule="exact"/>
        <w:rPr>
          <w:rFonts w:ascii="Arial" w:cs="Arial" w:eastAsia="Arial" w:hAnsi="Arial"/>
          <w:sz w:val="18"/>
          <w:szCs w:val="18"/>
          <w:color w:val="auto"/>
        </w:rPr>
      </w:pPr>
    </w:p>
    <w:p>
      <w:pPr>
        <w:ind w:left="1140" w:right="440" w:hanging="383"/>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62" w:lineRule="exact"/>
        <w:rPr>
          <w:rFonts w:ascii="Arial" w:cs="Arial" w:eastAsia="Arial" w:hAnsi="Arial"/>
          <w:sz w:val="18"/>
          <w:szCs w:val="18"/>
          <w:color w:val="auto"/>
        </w:rPr>
      </w:pPr>
    </w:p>
    <w:p>
      <w:pPr>
        <w:ind w:left="1140" w:right="600" w:hanging="383"/>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left="1140" w:right="960" w:hanging="383"/>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rFonts w:ascii="Arial" w:cs="Arial" w:eastAsia="Arial" w:hAnsi="Arial"/>
          <w:sz w:val="18"/>
          <w:szCs w:val="18"/>
          <w:color w:val="auto"/>
        </w:rPr>
      </w:pPr>
    </w:p>
    <w:p>
      <w:pPr>
        <w:ind w:left="1140" w:right="180" w:hanging="383"/>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40" w:right="140" w:hanging="383"/>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333"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six months ended June 30, 2023 and 2022 (in thousands):</w:t>
      </w:r>
    </w:p>
    <w:p>
      <w:pPr>
        <w:spacing w:after="0" w:line="257"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(38,952</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(74,292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(3,852 )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(19,540 )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w w:val="88"/>
              </w:rPr>
              <w:t>(42,797 )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(82,864 )</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1" w:lineRule="exact"/>
        <w:rPr>
          <w:sz w:val="20"/>
          <w:szCs w:val="20"/>
          <w:color w:val="auto"/>
        </w:rPr>
      </w:pPr>
    </w:p>
    <w:p>
      <w:pPr>
        <w:ind w:right="180" w:firstLine="749"/>
        <w:spacing w:after="0" w:line="257" w:lineRule="auto"/>
        <w:rPr>
          <w:sz w:val="20"/>
          <w:szCs w:val="20"/>
          <w:color w:val="auto"/>
        </w:rPr>
      </w:pPr>
      <w:r>
        <w:rPr>
          <w:rFonts w:ascii="Arial" w:cs="Arial" w:eastAsia="Arial" w:hAnsi="Arial"/>
          <w:sz w:val="18"/>
          <w:szCs w:val="18"/>
          <w:color w:val="auto"/>
        </w:rPr>
        <w:t>For the six months ended June 30, 2023, our net cash used in operating activities of $39.0 million primarily consisted of a net loss of $42.2 million, primarily attributable to our spending on research and development expenses. The net loss of $42.2 million was offset by $9.0 million of adjustments for non-cash items, primarily stock-based compensation expense of $3.9 million and the $3.5 million milestone license fee to Abeona related to the dosing of the first adult patient in the TSHA-102 Phase 1/2 REVEAL trial. Additional cash used in operating activities of $7.1 million was due to a decrease in deferred revenue.</w:t>
      </w:r>
    </w:p>
    <w:p>
      <w:pPr>
        <w:spacing w:after="0" w:line="188"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For the six months ended June 30, 2022, our net cash used in operating activities of $74.3 million primarily consisted of a net loss of $84.4 million, primarily attributable to our spending on research and development expenses. The net loss of $84.4 million was partially offset by adjustments for non-cash items, primarily stock-based compensation and depreciation expense of $10.0 million.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During the six months ended June 30, 2023, investing activities used $3.9 million of cash primarily attributable to capital expenditures related to the close out of our in-house manufacturing facility project. During the six months ended June 30, 2022, investing activities used $19.5 million of cash primarily attributable to the regulatory milestone payment of $3.0 million paid to Abeona pursuant to the CLN1 Agreement, and $16.3 million in capital expenditures related to our in-house manufacturing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left="7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During the six months ended June 30, 2023, financing activities provided less than $0.1 million of cash, which is primarily attributable to the proceeds from the SSI Strategy Private Placement, partially offset by the payment of shelf registration costs and other financing transactions. During the six months ended June 30, 2022, financing activities provided $11.0 million of cash, which is primarily attributable to $11.6 million net proceeds from the sale of 2,000,000 shares of common stock pursuant to the Sales Agreement and $0.3 million of ESPP contributions. The proceeds were partially offset by the payment of shelf registration costs, and other financing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consolidated financial statements for the year ended December 31, 2022 filed with the SEC on March 28,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749"/>
        <w:spacing w:after="0" w:line="263" w:lineRule="auto"/>
        <w:rPr>
          <w:sz w:val="20"/>
          <w:szCs w:val="20"/>
          <w:color w:val="auto"/>
        </w:rPr>
      </w:pPr>
      <w:r>
        <w:rPr>
          <w:rFonts w:ascii="Arial" w:cs="Arial" w:eastAsia="Arial" w:hAnsi="Arial"/>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7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exception from compliance with the auditor attestation requirements of Section 404 of the Sarbanes-Oxley Act of 2002, as amended;</w:t>
      </w:r>
    </w:p>
    <w:p>
      <w:pPr>
        <w:spacing w:after="0" w:line="140" w:lineRule="exact"/>
        <w:rPr>
          <w:rFonts w:ascii="Arial" w:cs="Arial" w:eastAsia="Arial" w:hAnsi="Arial"/>
          <w:sz w:val="16"/>
          <w:szCs w:val="16"/>
          <w:color w:val="auto"/>
        </w:rPr>
      </w:pPr>
    </w:p>
    <w:p>
      <w:pPr>
        <w:ind w:left="1140" w:hanging="383"/>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40" w:lineRule="exact"/>
        <w:rPr>
          <w:rFonts w:ascii="Arial" w:cs="Arial" w:eastAsia="Arial" w:hAnsi="Arial"/>
          <w:sz w:val="16"/>
          <w:szCs w:val="16"/>
          <w:color w:val="auto"/>
        </w:rPr>
      </w:pPr>
    </w:p>
    <w:p>
      <w:pPr>
        <w:ind w:left="1140" w:right="30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or golden parachute arrangements; and</w:t>
      </w:r>
    </w:p>
    <w:p>
      <w:pPr>
        <w:spacing w:after="0" w:line="62" w:lineRule="exact"/>
        <w:rPr>
          <w:rFonts w:ascii="Arial" w:cs="Arial" w:eastAsia="Arial" w:hAnsi="Arial"/>
          <w:sz w:val="18"/>
          <w:szCs w:val="18"/>
          <w:color w:val="auto"/>
        </w:rPr>
      </w:pPr>
    </w:p>
    <w:p>
      <w:pPr>
        <w:ind w:left="1140" w:right="60" w:hanging="383"/>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70"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20" w:firstLine="74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2023,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2022, filed with the Securities and Exchange Commission on March 28, 2023. Other than as described below, there have been no material changes to the risk factors described in that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August 2023 we announced initial clinical observations from the first adult patient treated in the Phase 1/2 REVEAL trial of TSHA-102. However, those observations may not endure or be repeated in subsequently dosed patients or any age or disease severity, including patients receiving higher doses of TSHA-102. Initial clinical observations also may not translate into success on primary endpoints of the REVEAL trial through week 52. Differences between preliminary or interim data and final data could significantly harm our business prospects and may cause the trading price of our common stock to fluctuate significantly.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62"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We are heavily reliant upon licenses to certain patent rights and proprietary technology for the development of our product candidates, in particular the UT Southwestern Agreement and our license agreements with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 For example, in July 2023 we received a notice from Hannah's Hope Foundation that alleges we are in breach of our license agreement relating to TSHA-120 for the treatment of GAN. We believe we are not in breach of such agreement and intend to pursue all avenues with Hannah's Hope Foundation to resolve this dispute; however, there is no guarantee that we will be successful in such effort.</w:t>
      </w:r>
    </w:p>
    <w:p>
      <w:pPr>
        <w:spacing w:after="0" w:line="178"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Licenses to additional third-party technology and materials that may be required for our development programs may not be available in the future or may not be available on commercially reasonable terms, or at all, which could have a material adverse effect 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right="60" w:firstLine="749"/>
        <w:spacing w:after="0" w:line="259" w:lineRule="auto"/>
        <w:rPr>
          <w:sz w:val="20"/>
          <w:szCs w:val="20"/>
          <w:color w:val="auto"/>
        </w:rPr>
      </w:pPr>
      <w:r>
        <w:rPr>
          <w:rFonts w:ascii="Arial" w:cs="Arial" w:eastAsia="Arial" w:hAnsi="Arial"/>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87"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meet all applicable requirements of Nasdaq and Nasdaq determines to delist our common stock, the delisting could adversely affect the market liquidity of our common stock and the market price of our common stock could decrease.</w:t>
      </w:r>
    </w:p>
    <w:p>
      <w:pPr>
        <w:spacing w:after="0" w:line="62"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On April 25, 2023, we received a letter from Nasdaq, notifying us that, for the previous 30 consecutive business day periods prior to the date of the letter, the closing bid price for our common stock was below $1.00. In accordance with Nasdaq Listing Rule 5810(c)(3)(A) we have been provided an initial period of 180 calendar days, or until October 23, 2023, to regain compliance with Nasdaq’s bid price requirement. If, at any time before October 23, 2023, the bid price for our common stock closes at $1.00 or more for a minimum of 10 consecutive business days, we will regain compliance with the bid price requirement, unless Nasdaq staff exercised its discretion to extend this 10-day period pursuant to Nasdaq rules. During the six months ended June 30, 2023, our board of directors and stockholders approved a series of alternate amendments to our Amended and Restated Certificate of Incorporation to effect a reverse stock split of our common stock, where the board of directors will have the discretion to select the reverse stock split ratio from within a range between and including one-for-five and one-for-twenty. Such reverse stock split, and the reverse stock split ratio, will be at the sole discretion of the board of directors at any time prior to our 2024 Annual Meeting of Stockholders. The continuing effect of a reverse stock split, if effected, cannot be predicted with any certainty. It is possible that the per share price of our common stock after the reverse stock split will not rise in proportion to the reduction in the number of shares outstanding resulting from the reverse stock split, effectively reducing our market capitalization, and there can be no assurance that the market price per post-reverse split share will either exceed or remain in excess of the $1.00 minimum bid price for a sustained period of time.</w:t>
      </w:r>
    </w:p>
    <w:p>
      <w:pPr>
        <w:spacing w:after="0" w:line="60"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On August 3, 2023, we received a further written notice, or the MVLS Notice, from Nasdaq indicating that we are no longer in compliance with the minimum Market Value of Listed Securities, or MVLS, of $50,000,000 required for continued listing on The Nasdaq Global Select Market, as set forth in Nasdaq Listing Rule 5450(b)(2)(A), or the MVLS Requirement. In accordance with Nasdaq Listing Rule 5810(c)(3)(C), we have a period of 180 calendar days, or until January 30, 2024, or the MVLS Compliance Date, to regain compliance with the MVLS Requirement. To regain compliance, our MVLS must close at $50,000,000 or more for a minimum of 10 consecutive business days prior to the MVLS Compliance Date. In the event we do not regain compliance with the MVLS Requirement prior to the Compliance Date, Nasdaq will notify us that our securities are subject to delisting, at which we may appeal the delisting determination to a Nasdaq hearings panel.</w:t>
      </w:r>
    </w:p>
    <w:p>
      <w:pPr>
        <w:spacing w:after="0" w:line="17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On April 5, 2023, we entered into the SSI Securities Purchase Agreement with the SSI Investors, pursuant to which we agreed to issue and sell to the SSI Investors in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 The shares of common stock issued by us pursuant to the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Purchase Agreement were not initially registered under the Securities Act. We relied on the exemption from the registration requirements of the Securities Act under Section 4(a)(2) thereof.</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80" w:type="dxa"/>
            <w:vAlign w:val="bottom"/>
            <w:tcBorders>
              <w:bottom w:val="single" w:sz="8" w:color="auto"/>
            </w:tcBorders>
            <w:gridSpan w:val="12"/>
          </w:tcPr>
          <w:p>
            <w:pPr>
              <w:ind w:left="372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40" w:type="dxa"/>
            <w:vAlign w:val="bottom"/>
            <w:tcBorders>
              <w:bottom w:val="single" w:sz="8" w:color="0000FF"/>
            </w:tcBorders>
            <w:gridSpan w:val="13"/>
          </w:tcPr>
          <w:p>
            <w:pPr>
              <w:spacing w:after="0" w:line="176" w:lineRule="exact"/>
              <w:rPr>
                <w:rFonts w:ascii="Arial" w:cs="Arial" w:eastAsia="Arial" w:hAnsi="Arial"/>
                <w:sz w:val="18"/>
                <w:szCs w:val="18"/>
                <w:color w:val="0000FF"/>
                <w:w w:val="91"/>
              </w:rPr>
            </w:pPr>
            <w:hyperlink r:id="rId258">
              <w:r>
                <w:rPr>
                  <w:rFonts w:ascii="Arial" w:cs="Arial" w:eastAsia="Arial" w:hAnsi="Arial"/>
                  <w:sz w:val="18"/>
                  <w:szCs w:val="18"/>
                  <w:color w:val="0000FF"/>
                  <w:w w:val="91"/>
                </w:rPr>
                <w:t>Amended and Restated Certificate of Incorporation (incorporated by reference to Exhibit 3.1 to the Company’s Current Report on Form 8-K</w:t>
              </w:r>
            </w:hyperlink>
          </w:p>
        </w:tc>
        <w:tc>
          <w:tcPr>
            <w:tcW w:w="6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4"/>
          </w:tcPr>
          <w:p>
            <w:pPr>
              <w:spacing w:after="0" w:line="196" w:lineRule="exact"/>
              <w:rPr>
                <w:rFonts w:ascii="Arial" w:cs="Arial" w:eastAsia="Arial" w:hAnsi="Arial"/>
                <w:sz w:val="18"/>
                <w:szCs w:val="18"/>
                <w:color w:val="0000FF"/>
              </w:rPr>
            </w:pPr>
            <w:hyperlink r:id="rId258">
              <w:r>
                <w:rPr>
                  <w:rFonts w:ascii="Arial" w:cs="Arial" w:eastAsia="Arial" w:hAnsi="Arial"/>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4"/>
          </w:tcPr>
          <w:p>
            <w:pPr>
              <w:spacing w:after="0"/>
              <w:rPr>
                <w:rFonts w:ascii="Arial" w:cs="Arial" w:eastAsia="Arial" w:hAnsi="Arial"/>
                <w:sz w:val="18"/>
                <w:szCs w:val="18"/>
                <w:color w:val="0000FF"/>
                <w:w w:val="95"/>
              </w:rPr>
            </w:pPr>
            <w:hyperlink r:id="rId259">
              <w:r>
                <w:rPr>
                  <w:rFonts w:ascii="Arial" w:cs="Arial" w:eastAsia="Arial" w:hAnsi="Arial"/>
                  <w:sz w:val="18"/>
                  <w:szCs w:val="18"/>
                  <w:color w:val="0000FF"/>
                  <w:w w:val="95"/>
                </w:rPr>
                <w:t>Amended and Restated Bylaws (incorporated by reference to Exhibit 3.4 to the Company’s Current Report on Form 8-K (File No. 001-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59">
              <w:r>
                <w:rPr>
                  <w:rFonts w:ascii="Arial" w:cs="Arial" w:eastAsia="Arial" w:hAnsi="Arial"/>
                  <w:sz w:val="18"/>
                  <w:szCs w:val="18"/>
                  <w:color w:val="0000FF"/>
                </w:rPr>
                <w:t>39536)</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Securities and Exchange Commission on September 29, 2020).</w:t>
              </w:r>
            </w:hyperlink>
          </w:p>
        </w:tc>
        <w:tc>
          <w:tcPr>
            <w:tcW w:w="480" w:type="dxa"/>
            <w:vAlign w:val="bottom"/>
            <w:gridSpan w:val="4"/>
          </w:tcPr>
          <w:p>
            <w:pPr>
              <w:spacing w:after="0"/>
              <w:rPr>
                <w:sz w:val="17"/>
                <w:szCs w:val="17"/>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Amended and Restated Non-employee director compensation policy</w:t>
            </w:r>
            <w:r>
              <w:rPr>
                <w:rFonts w:ascii="Arial" w:cs="Arial" w:eastAsia="Arial" w:hAnsi="Arial"/>
                <w:sz w:val="18"/>
                <w:szCs w:val="18"/>
                <w:color w:val="000000"/>
              </w:rPr>
              <w:t>.</w:t>
            </w:r>
          </w:p>
        </w:tc>
        <w:tc>
          <w:tcPr>
            <w:tcW w:w="4060" w:type="dxa"/>
            <w:vAlign w:val="bottom"/>
            <w:gridSpan w:val="8"/>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540" w:type="dxa"/>
            <w:vAlign w:val="bottom"/>
            <w:gridSpan w:val="5"/>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9"/>
          </w:tcPr>
          <w:p>
            <w:pPr>
              <w:spacing w:after="0"/>
              <w:rPr>
                <w:sz w:val="17"/>
                <w:szCs w:val="17"/>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600" w:type="dxa"/>
            <w:vAlign w:val="bottom"/>
            <w:gridSpan w:val="6"/>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9"/>
          </w:tcPr>
          <w:p>
            <w:pPr>
              <w:spacing w:after="0"/>
              <w:rPr>
                <w:sz w:val="17"/>
                <w:szCs w:val="17"/>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88"/>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120" w:type="dxa"/>
            <w:vAlign w:val="bottom"/>
            <w:gridSpan w:val="2"/>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2"/>
          </w:tcPr>
          <w:p>
            <w:pPr>
              <w:spacing w:after="0"/>
              <w:rPr>
                <w:sz w:val="17"/>
                <w:szCs w:val="17"/>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88"/>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160" w:type="dxa"/>
            <w:vAlign w:val="bottom"/>
            <w:gridSpan w:val="3"/>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12"/>
          </w:tcPr>
          <w:p>
            <w:pPr>
              <w:spacing w:after="0"/>
              <w:rPr>
                <w:sz w:val="17"/>
                <w:szCs w:val="17"/>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 within</w:t>
            </w:r>
          </w:p>
        </w:tc>
      </w:tr>
      <w:tr>
        <w:trPr>
          <w:trHeight w:val="23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the Inline XBRL document</w:t>
            </w: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right="3640" w:firstLine="326"/>
        <w:spacing w:after="0" w:line="429" w:lineRule="auto"/>
        <w:tabs>
          <w:tab w:leader="none" w:pos="10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5855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firstLine="8"/>
        <w:spacing w:after="0" w:line="263"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Taysha Gene Therapies, Inc.</w:t>
      </w:r>
    </w:p>
    <w:p>
      <w:pPr>
        <w:spacing w:after="0" w:line="252" w:lineRule="exact"/>
        <w:rPr>
          <w:sz w:val="20"/>
          <w:szCs w:val="20"/>
          <w:color w:val="auto"/>
        </w:rPr>
      </w:pPr>
    </w:p>
    <w:p>
      <w:pPr>
        <w:ind w:left="20"/>
        <w:spacing w:after="0"/>
        <w:tabs>
          <w:tab w:leader="none" w:pos="5180" w:val="left"/>
          <w:tab w:leader="none" w:pos="78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Sean Nolan</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left="20"/>
        <w:spacing w:after="0"/>
        <w:tabs>
          <w:tab w:leader="none" w:pos="5180" w:val="left"/>
          <w:tab w:leader="none" w:pos="780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Kamran Alam</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aysha</w:t>
      </w:r>
      <w:r>
        <w:rPr>
          <w:rFonts w:ascii="Arial" w:cs="Arial" w:eastAsia="Arial" w:hAnsi="Arial"/>
          <w:sz w:val="20"/>
          <w:szCs w:val="20"/>
          <w:b w:val="1"/>
          <w:bCs w:val="1"/>
          <w:color w:val="auto"/>
        </w:rPr>
        <w:t xml:space="preserve"> G</w:t>
      </w:r>
      <w:r>
        <w:rPr>
          <w:rFonts w:ascii="Arial" w:cs="Arial" w:eastAsia="Arial" w:hAnsi="Arial"/>
          <w:sz w:val="13"/>
          <w:szCs w:val="13"/>
          <w:b w:val="1"/>
          <w:bCs w:val="1"/>
          <w:color w:val="auto"/>
        </w:rPr>
        <w:t>ene</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herapies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on</w:t>
      </w:r>
      <w:r>
        <w:rPr>
          <w:rFonts w:ascii="Arial" w:cs="Arial" w:eastAsia="Arial" w:hAnsi="Arial"/>
          <w:sz w:val="20"/>
          <w:szCs w:val="20"/>
          <w:b w:val="1"/>
          <w:bCs w:val="1"/>
          <w:color w:val="auto"/>
        </w:rPr>
        <w:t>-E</w:t>
      </w:r>
      <w:r>
        <w:rPr>
          <w:rFonts w:ascii="Arial" w:cs="Arial" w:eastAsia="Arial" w:hAnsi="Arial"/>
          <w:sz w:val="13"/>
          <w:szCs w:val="13"/>
          <w:b w:val="1"/>
          <w:bCs w:val="1"/>
          <w:color w:val="auto"/>
        </w:rPr>
        <w:t>mployee</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3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Each member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who is not also serving as an employee of or consultant to Taysha Gene Therapies,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or any of its subsidiaries (each such member, an “</w:t>
      </w:r>
      <w:r>
        <w:rPr>
          <w:rFonts w:ascii="Arial" w:cs="Arial" w:eastAsia="Arial" w:hAnsi="Arial"/>
          <w:sz w:val="19"/>
          <w:szCs w:val="19"/>
          <w:b w:val="1"/>
          <w:bCs w:val="1"/>
          <w:i w:val="1"/>
          <w:iCs w:val="1"/>
          <w:color w:val="auto"/>
        </w:rPr>
        <w:t>Eligible Director</w:t>
      </w:r>
      <w:r>
        <w:rPr>
          <w:rFonts w:ascii="Arial" w:cs="Arial" w:eastAsia="Arial" w:hAnsi="Arial"/>
          <w:sz w:val="19"/>
          <w:szCs w:val="19"/>
          <w:color w:val="auto"/>
        </w:rPr>
        <w:t>”) will receive the compensation described in this Non-Employee Director Compensation Policy for his or her Board service upon and following the date of the underwriting agreement between the Company and the underwriters managing the initial public offering of the Company’s common stock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pursuant to which the Common Stock is priced in such initial public offering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 Eligible Director may decline all or any portion of his or her compensation by giving notice to the Company prior to the date cash may be paid or equity awards are to be granted, as the case may be. This policy is effective as of the Effective Date and may be amended at any time in the sole discretion of the Board or the Compensation Committee of the Board.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Cash Compensation</w:t>
      </w:r>
    </w:p>
    <w:p>
      <w:pPr>
        <w:spacing w:after="0" w:line="23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quarter, with the pro-rated amount paid on the last day of the first fiscal quarter in which the Eligible Director provides the service and regular full quarterly payments thereafter. All annual cash fees are vested upon payment.</w:t>
      </w:r>
    </w:p>
    <w:p>
      <w:pPr>
        <w:spacing w:after="0" w:line="178"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Annual Board Service Retainer</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All Eligible Directors: $35,000</w:t>
      </w:r>
    </w:p>
    <w:p>
      <w:pPr>
        <w:ind w:left="820"/>
        <w:spacing w:after="0"/>
        <w:rPr>
          <w:rFonts w:ascii="Arial" w:cs="Arial" w:eastAsia="Arial" w:hAnsi="Arial"/>
          <w:sz w:val="20"/>
          <w:szCs w:val="20"/>
          <w:color w:val="auto"/>
        </w:rPr>
      </w:pPr>
      <w:r>
        <w:rPr>
          <w:rFonts w:ascii="Arial" w:cs="Arial" w:eastAsia="Arial" w:hAnsi="Arial"/>
          <w:sz w:val="20"/>
          <w:szCs w:val="20"/>
          <w:color w:val="auto"/>
        </w:rPr>
        <w:t>b.   Independent Chair of the Board Service Retainer (in addition to Eligible Director Service Retainer): $30,000</w:t>
      </w:r>
    </w:p>
    <w:p>
      <w:pPr>
        <w:spacing w:after="0" w:line="213" w:lineRule="exact"/>
        <w:rPr>
          <w:rFonts w:ascii="Arial" w:cs="Arial" w:eastAsia="Arial" w:hAnsi="Arial"/>
          <w:sz w:val="20"/>
          <w:szCs w:val="20"/>
          <w:color w:val="auto"/>
        </w:rPr>
      </w:pPr>
    </w:p>
    <w:p>
      <w:pPr>
        <w:ind w:left="400" w:hanging="392"/>
        <w:spacing w:after="0"/>
        <w:tabs>
          <w:tab w:leader="none" w:pos="4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Annual Committee Chair Service Retainer</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Chair of the Audit Committee: $15,000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Chair of the Clinical and Science Committee: $15,000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Chair of the Compensation Committee: $10,000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Chair of the Nominating and Corporate Governance Committee: $8,000</w:t>
      </w:r>
    </w:p>
    <w:p>
      <w:pPr>
        <w:spacing w:after="0" w:line="213" w:lineRule="exact"/>
        <w:rPr>
          <w:rFonts w:ascii="Arial" w:cs="Arial" w:eastAsia="Arial" w:hAnsi="Arial"/>
          <w:sz w:val="20"/>
          <w:szCs w:val="20"/>
          <w:color w:val="auto"/>
        </w:rPr>
      </w:pPr>
    </w:p>
    <w:p>
      <w:pPr>
        <w:ind w:left="400" w:hanging="392"/>
        <w:spacing w:after="0"/>
        <w:tabs>
          <w:tab w:leader="none" w:pos="4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Annual Committee Member Service Retainer (not applicable to Committee Chairs)</w:t>
      </w: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Member of the Audit Committee: $7,500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Member of the Clinical and Science Committee: $7,500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Member of the Compensation Committee: $5,000</w:t>
      </w:r>
    </w:p>
    <w:p>
      <w:pPr>
        <w:ind w:left="1160" w:hanging="403"/>
        <w:spacing w:after="0"/>
        <w:tabs>
          <w:tab w:leader="none" w:pos="11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Member of the Nominating and Corporate Governance Committee: $4,000</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equity compensation set forth below will be granted under the Company’s 2020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subject to the approval of the Plan by the Company’s stockholders.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right="20" w:firstLine="8"/>
        <w:spacing w:after="0" w:line="243" w:lineRule="auto"/>
        <w:tabs>
          <w:tab w:leader="none" w:pos="3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Initial Grant</w:t>
      </w:r>
      <w:r>
        <w:rPr>
          <w:rFonts w:ascii="Arial" w:cs="Arial" w:eastAsia="Arial" w:hAnsi="Arial"/>
          <w:sz w:val="20"/>
          <w:szCs w:val="20"/>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the Compensation Committee of the Board, granted a stock option to purchase 43,800 shares of Common Stock (the “</w:t>
      </w:r>
      <w:r>
        <w:rPr>
          <w:rFonts w:ascii="Arial" w:cs="Arial" w:eastAsia="Arial" w:hAnsi="Arial"/>
          <w:sz w:val="20"/>
          <w:szCs w:val="20"/>
          <w:b w:val="1"/>
          <w:bCs w:val="1"/>
          <w:i w:val="1"/>
          <w:iCs w:val="1"/>
          <w:color w:val="auto"/>
        </w:rPr>
        <w:t>Initial Grant</w:t>
      </w:r>
      <w:r>
        <w:rPr>
          <w:rFonts w:ascii="Arial" w:cs="Arial" w:eastAsia="Arial" w:hAnsi="Arial"/>
          <w:sz w:val="20"/>
          <w:szCs w:val="20"/>
          <w:color w:val="auto"/>
        </w:rPr>
        <w:t>”). The shares subject to each Initial Grant will vest in equal monthly installments over a three year period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206" w:lineRule="exact"/>
        <w:rPr>
          <w:rFonts w:ascii="Arial" w:cs="Arial" w:eastAsia="Arial" w:hAnsi="Arial"/>
          <w:sz w:val="20"/>
          <w:szCs w:val="20"/>
          <w:color w:val="auto"/>
        </w:rPr>
      </w:pPr>
    </w:p>
    <w:p>
      <w:pPr>
        <w:ind w:firstLine="8"/>
        <w:spacing w:after="0" w:line="243" w:lineRule="auto"/>
        <w:tabs>
          <w:tab w:leader="none" w:pos="3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Annual Grant</w:t>
      </w:r>
      <w:r>
        <w:rPr>
          <w:rFonts w:ascii="Arial" w:cs="Arial" w:eastAsia="Arial" w:hAnsi="Arial"/>
          <w:sz w:val="20"/>
          <w:szCs w:val="20"/>
          <w:color w:val="auto"/>
        </w:rPr>
        <w:t>: On the date of each annual stockholder meeting of the Company held after the Effective Date, each Eligible Director who continues to serve as a non-employee member of the Board following such stockholder meeting will be automatically, and without further action by the Board or the Compensation Committee of the Board, granted a stock option to purchase 36,200 shares of Common Stock (the “</w:t>
      </w:r>
      <w:r>
        <w:rPr>
          <w:rFonts w:ascii="Arial" w:cs="Arial" w:eastAsia="Arial" w:hAnsi="Arial"/>
          <w:sz w:val="20"/>
          <w:szCs w:val="20"/>
          <w:b w:val="1"/>
          <w:bCs w:val="1"/>
          <w:i w:val="1"/>
          <w:iCs w:val="1"/>
          <w:color w:val="auto"/>
        </w:rPr>
        <w:t>Annual Grant</w:t>
      </w:r>
      <w:r>
        <w:rPr>
          <w:rFonts w:ascii="Arial" w:cs="Arial" w:eastAsia="Arial" w:hAnsi="Arial"/>
          <w:sz w:val="20"/>
          <w:szCs w:val="20"/>
          <w:color w:val="auto"/>
        </w:rPr>
        <w:t>”). The shares subject to the Annual Grant will vest in full on the first anniversary of the date of grant; provided, that the Annual Grant will in any case be fully vested on the date of Company’s next annual stockholder meeting, subject to the Eligible Director’s Continuous Service (as defined in the Plan) through such vesting date; provided, further, that the Annual Grant will vest in full upon a Change in Control (as defined in the Plan).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Limit</w:t>
      </w:r>
    </w:p>
    <w:p>
      <w:pPr>
        <w:spacing w:after="0" w:line="22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As provided in the Plan and notwithstanding the foregoing, the aggregate value of all compensation granted or paid, as applicable, to any individual for service as a Non-Employee Director (as defined in the Plan)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Arial" w:cs="Arial" w:eastAsia="Arial" w:hAnsi="Arial"/>
          <w:sz w:val="19"/>
          <w:szCs w:val="19"/>
          <w:b w:val="1"/>
          <w:bCs w:val="1"/>
          <w:i w:val="1"/>
          <w:iCs w:val="1"/>
          <w:color w:val="auto"/>
        </w:rPr>
        <w:t>Annual Period</w:t>
      </w:r>
      <w:r>
        <w:rPr>
          <w:rFonts w:ascii="Arial" w:cs="Arial" w:eastAsia="Arial" w:hAnsi="Arial"/>
          <w:sz w:val="19"/>
          <w:szCs w:val="19"/>
          <w:color w:val="auto"/>
        </w:rPr>
        <w:t>”), including awards granted under the Plan and cash fees paid by the Company to such Non-Employee Director, will not exceed (1) $750,000 in total value or (2) in the event such Non-Employee Director is first appointed or elected to the Board during such Annual Period, $1,000,000 in total value, in each case calculating the value of any equity awards based on the grant date fair value of such equity awards for financial reporting purposes. As provided in the Plan, this limitation will apply commencing with the Annual Period that begins on the Company’s first Annual Meeting of Stockholders following the effective date of the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40" w:val="left"/>
          <w:tab w:leader="none" w:pos="81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Sean Nolan</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Kamran Alam</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84" w:lineRule="exact"/>
        <w:rPr>
          <w:sz w:val="20"/>
          <w:szCs w:val="20"/>
          <w:color w:val="auto"/>
        </w:rPr>
      </w:pPr>
    </w:p>
    <w:p>
      <w:pPr>
        <w:ind w:left="1020" w:right="260" w:hanging="503"/>
        <w:spacing w:after="0" w:line="308"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2023,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1020" w:right="1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81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Sean Nolan</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84" w:lineRule="exact"/>
        <w:rPr>
          <w:sz w:val="20"/>
          <w:szCs w:val="20"/>
          <w:color w:val="auto"/>
        </w:rPr>
      </w:pPr>
    </w:p>
    <w:p>
      <w:pPr>
        <w:ind w:left="1020" w:right="260" w:hanging="503"/>
        <w:spacing w:after="0" w:line="30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2023, to which this Certification is attached as Exhibit 32.2 (the “Periodic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1020" w:right="18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7"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2404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7"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Kamran Alam</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upp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2"/>
      <w:numFmt w:val="decimal"/>
      <w:start w:val="10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58" Type="http://schemas.openxmlformats.org/officeDocument/2006/relationships/hyperlink" Target="https://www.sec.gov/Archives/edgar/data/1806310/000119312520257858/d78879dex31.htm" TargetMode="External"/><Relationship Id="rId259" Type="http://schemas.openxmlformats.org/officeDocument/2006/relationships/hyperlink" Target="https://www.sec.gov/Archives/edgar/data/1806310/000119312520247565/d9389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2023-08-14T07:46:17Z</dcterms:created>
  <dcterms:modified xsi:type="dcterms:W3CDTF">2023-08-14T07:46:17Z</dcterms:modified>
</cp:coreProperties>
</file>