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TAYSHA GENE THERAPIES,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20,689,084.00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20,689,084.00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20,689,084.00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20,689,084.00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20,689,084.00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20,689,084.00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6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TAYSHA GENE THERAPIES,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3000 PEGASUS PARK DRIVE, SUITE 1430, DALLAS, TX, 75247.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$0.00001</w:t>
      </w:r>
    </w:p>
    <w:p>
      <w:pPr>
        <w:spacing w:after="0" w:line="1" w:lineRule="exact"/>
        <w:rPr>
          <w:sz w:val="20"/>
          <w:szCs w:val="20"/>
          <w:color w:val="auto"/>
        </w:rPr>
      </w:pPr>
    </w:p>
    <w:p>
      <w:pPr>
        <w:ind w:left="920" w:right="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Taysha Gene Therapies,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ectPr>
          <w:pgSz w:w="11900" w:h="16838" w:orient="portrait"/>
          <w:cols w:equalWidth="0" w:num="1">
            <w:col w:w="11080"/>
          </w:cols>
          <w:pgMar w:left="360" w:top="111" w:right="459" w:bottom="208"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 10th Avenue, Floor 7, New York, New York 10014.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60"/>
          </w:cols>
          <w:pgMar w:left="360" w:top="111" w:right="459" w:bottom="208"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11" w:right="459" w:bottom="208" w:gutter="0" w:footer="0" w:header="0"/>
          <w:type w:val="continuous"/>
        </w:sectPr>
      </w:pPr>
    </w:p>
    <w:bookmarkStart w:id="3" w:name="page4"/>
    <w:bookmarkEnd w:id="3"/>
    <w:p>
      <w:pPr>
        <w:ind w:left="920" w:right="160"/>
        <w:spacing w:after="0" w:line="249" w:lineRule="auto"/>
        <w:rPr>
          <w:sz w:val="20"/>
          <w:szCs w:val="20"/>
          <w:color w:val="auto"/>
        </w:rPr>
      </w:pPr>
      <w:r>
        <w:rPr>
          <w:rFonts w:ascii="Times New Roman" w:cs="Times New Roman" w:eastAsia="Times New Roman" w:hAnsi="Times New Roman"/>
          <w:sz w:val="21"/>
          <w:szCs w:val="21"/>
          <w:color w:val="auto"/>
        </w:rPr>
        <w:t>The information required by Item 4(a) is set forth in Rows 5 - 9 of the cover page for each of the Reporting Persons and is incorporated herein by reference. The amounts reported herein assume the exercise of warrants held by the Reporting Persons to purchase 7,008,836 Shares (the "Warrants"). The percentages set forth in Row 11 of the cover pages are calculated based upon 287,269,885 Shares outstanding as of March 19, 2026 as reported in the Company's Annual Report on Form 10-K filed with the Securities and Exchange Commission (the "SEC") on March 19, 2026, and assume the exercise of Warrants held by the Reporting Persons to purchase 7,008,836 Shares.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7.0% Dr. Wong: 7.0%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20,689,084 Shares Dr. Wong: 20,689,084 Shares</w:t>
      </w:r>
    </w:p>
    <w:p>
      <w:pPr>
        <w:spacing w:after="0" w:line="287" w:lineRule="exact"/>
        <w:rPr>
          <w:sz w:val="20"/>
          <w:szCs w:val="20"/>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20,689,084 Shares Dr. Wong: 20,689,084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3"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13G filed with the SEC on February 14, 2024).</w:t>
      </w:r>
    </w:p>
    <w:sectPr>
      <w:pgSz w:w="11900" w:h="16838" w:orient="portrait"/>
      <w:cols w:equalWidth="0" w:num="1">
        <w:col w:w="10760"/>
      </w:cols>
      <w:pgMar w:left="360" w:top="112"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2026-05-15T07:37:36Z</dcterms:created>
  <dcterms:modified xsi:type="dcterms:W3CDTF">2026-05-15T07:37:36Z</dcterms:modified>
</cp:coreProperties>
</file>