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TAYSHA GENE THERAPIES,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Management,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32,886,242.00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32,886,242.00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32,886,242.00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Peter Kolchinsky </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32,886,242.00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32,886,242.00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32,886,242.00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Rajeev Shah</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32,886,242.00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32,886,242.00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32,886,242.00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Healthcare Fund,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32,886,242.00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32,886,242.00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32,886,242.00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65"/>
        <w:gridCol w:w="8885"/>
        <w:gridCol w:w="155"/>
      </w:tblGrid>
      <w:tr>
        <w:trPr/>
        <w:tc>
          <w:tcPr>
            <w:tcW w:w="1165" w:type="dxa"/>
            <w:tcBorders/>
            <w:vAlign w:val="center"/>
          </w:tcPr>
          <w:p>
            <w:pPr>
              <w:pStyle w:val="TableContents"/>
              <w:bidi w:val="0"/>
              <w:spacing w:before="0" w:after="283"/>
              <w:jc w:val="left"/>
              <w:rPr/>
            </w:pPr>
            <w:r>
              <w:rPr/>
              <w:t>Item 1.</w:t>
            </w:r>
          </w:p>
        </w:tc>
        <w:tc>
          <w:tcPr>
            <w:tcW w:w="88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Name of issuer: </w:t>
            </w:r>
          </w:p>
          <w:p>
            <w:pPr>
              <w:pStyle w:val="TableContents"/>
              <w:bidi w:val="0"/>
              <w:spacing w:before="0" w:after="0"/>
              <w:jc w:val="left"/>
              <w:rPr/>
            </w:pPr>
            <w:r>
              <w:rPr/>
              <w:t>TAYSHA GENE THERAPIES, INC.</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3000 PEGASUS PARK DRIVE, SUITE 1430, DALLAS, TX, 75247.</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2.</w:t>
            </w:r>
          </w:p>
        </w:tc>
        <w:tc>
          <w:tcPr>
            <w:tcW w:w="88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are: RA Capital Management, L.P. ("RA Capital") Peter Kolchinsky Rajeev Shah RA Capital Healthcare Fund, L.P. (the "Fund") The Reporting Persons expressly disclaim status as a "group" for purposes of this Schedule 13G/A.</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RA Capital Management, L.P., 200 Berkeley Street, 18th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RA Capital and the Fund are Delaware limited partnerships. Dr. Kolchinsky and Mr. Shah are United States citizens.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3.</w:t>
            </w:r>
          </w:p>
        </w:tc>
        <w:tc>
          <w:tcPr>
            <w:tcW w:w="888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(f)</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(g)</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(h)</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(j)</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(k)</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9040" w:type="dxa"/>
            <w:gridSpan w:val="2"/>
            <w:tcBorders/>
            <w:vAlign w:val="center"/>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4.</w:t>
            </w:r>
          </w:p>
        </w:tc>
        <w:tc>
          <w:tcPr>
            <w:tcW w:w="888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13G/A sets forth the aggregate number of shares of common stock of the Issuer beneficially owned by such Reporting Person as of June 30, 2026 and is incorporated by reference. The Fund directly holds 23,555,648 shares of common stock and pre-funded warrants ("Pre-Funded Warrants") exercisable for up to 52,134,718 shares of common stock. The Pre-Funded Warrants contain a provision (the "Beneficial Ownership Blocker"), which precludes the exercise of the Pre-Funded Warrants to the extent that, following exercise, the Fund, together with its affiliates and other attribution parties, would own more than 9.99% of the common stock outstanding. The Fund is currently prohibited from exercising a portion of the Pre-Funded Warrants to the extent that such exercise would result in beneficial ownership of more than 32,886,242 shares of common stock.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 other than for the purpose of determining their obligations under Section 13(d) of the Act, and the filing of this Schedule 13G shall not be deemed an admission that either RA Capital, Dr. Kolchinsky, or Mr. Shah is the beneficial owner of such securities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Due to the Beneficial Ownership Blocker listed in the Pre-Funded Warrants, each Reporting Person's beneficial ownership percentage was 9.99% as of June 30, 2026. Such percentage is based upon the sum of (i) 287,361,020 shares of the Issuer's common stock outstanding as of May 6, 2026, as reported in the Issuer's Quarterly Report on Form 10-Q filed with the Securities and Exchange Commission (the "SEC") on May 6, 2026, (ii) 32,500,001 shares of common stock issued by the Issuer on June 5, 2026, as reported in the Issuer's Prospectus Supplement filed with the SEC on June 25, 2026, and (iii) 9,330,594 shares of Common Stock issuable upon the exercise of the Pre-Funded Warrants. Due to field limitations of the EDGAR filing system, the percentages listed in row 11 of the Reporting Persons' cover pages have been rounded down to 9.9%.  %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13G/A sets forth the sole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13G/A sets forth the shared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13G/A sets forth the sole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13G/A sets forth the shared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5.</w:t>
            </w:r>
          </w:p>
        </w:tc>
        <w:tc>
          <w:tcPr>
            <w:tcW w:w="888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6.</w:t>
            </w:r>
          </w:p>
        </w:tc>
        <w:tc>
          <w:tcPr>
            <w:tcW w:w="888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7.</w:t>
            </w:r>
          </w:p>
        </w:tc>
        <w:tc>
          <w:tcPr>
            <w:tcW w:w="888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8.</w:t>
            </w:r>
          </w:p>
        </w:tc>
        <w:tc>
          <w:tcPr>
            <w:tcW w:w="888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9.</w:t>
            </w:r>
          </w:p>
        </w:tc>
        <w:tc>
          <w:tcPr>
            <w:tcW w:w="888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RA Capital Management, L.P.</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Peter Kolchinsky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Peter Kolchinsky,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 xml:space="preserve">Peter Kolchinsky </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Peter Kolchinsky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Peter Kolchinsky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Rajeev Shah</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Rajeev Shah</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Rajeev Shah</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RA Capital Healthcare Fund,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Peter Kolchinsky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RA Capital Healthcare Fund GP, LLC, its General Partner, By Peter Kolchinsky,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99.1 Joint Filing Agreement (incorporated by reference to Exhibit 1 to Schedule 13G/A filed on November 14, 2024)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1920</Words>
  <Characters>9847</Characters>
  <CharactersWithSpaces>11701</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