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3820" w:right="1620" w:hanging="3812"/>
        <w:spacing w:after="0" w:line="238" w:lineRule="auto"/>
        <w:tabs>
          <w:tab w:leader="none" w:pos="475"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00" w:lineRule="exact"/>
        <w:rPr>
          <w:sz w:val="24"/>
          <w:szCs w:val="24"/>
          <w:color w:val="auto"/>
        </w:rPr>
      </w:pPr>
    </w:p>
    <w:p>
      <w:pPr>
        <w:spacing w:after="0" w:line="250" w:lineRule="exact"/>
        <w:rPr>
          <w:sz w:val="24"/>
          <w:szCs w:val="24"/>
          <w:color w:val="auto"/>
        </w:rPr>
      </w:pPr>
    </w:p>
    <w:p>
      <w:pPr>
        <w:ind w:left="3320" w:right="1620" w:hanging="3312"/>
        <w:spacing w:after="0" w:line="238" w:lineRule="auto"/>
        <w:tabs>
          <w:tab w:leader="none" w:pos="458"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 to ___________</w:t>
      </w:r>
    </w:p>
    <w:p>
      <w:pPr>
        <w:spacing w:after="0" w:line="85"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Taysha Gene Therapies,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84-3199512</w:t>
            </w:r>
          </w:p>
        </w:tc>
      </w:tr>
      <w:tr>
        <w:trPr>
          <w:trHeight w:val="135"/>
        </w:trPr>
        <w:tc>
          <w:tcPr>
            <w:tcW w:w="4500" w:type="dxa"/>
            <w:vAlign w:val="bottom"/>
          </w:tcPr>
          <w:p>
            <w:pPr>
              <w:jc w:val="center"/>
              <w:ind w:right="1824"/>
              <w:spacing w:after="0" w:line="135" w:lineRule="exact"/>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2900" w:type="dxa"/>
            <w:vAlign w:val="bottom"/>
          </w:tcPr>
          <w:p>
            <w:pPr>
              <w:jc w:val="center"/>
              <w:ind w:left="184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33"/>
        </w:trPr>
        <w:tc>
          <w:tcPr>
            <w:tcW w:w="4500" w:type="dxa"/>
            <w:vAlign w:val="bottom"/>
          </w:tcPr>
          <w:p>
            <w:pPr>
              <w:jc w:val="center"/>
              <w:ind w:right="1824"/>
              <w:spacing w:after="0" w:line="133"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2900" w:type="dxa"/>
            <w:vAlign w:val="bottom"/>
          </w:tcPr>
          <w:p>
            <w:pPr>
              <w:jc w:val="center"/>
              <w:ind w:left="1846"/>
              <w:spacing w:after="0" w:line="133"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1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9"/>
              </w:rPr>
              <w:t>3000 Pegasus Park Drive Ste 1430</w:t>
            </w:r>
          </w:p>
        </w:tc>
        <w:tc>
          <w:tcPr>
            <w:tcW w:w="2900" w:type="dxa"/>
            <w:vAlign w:val="bottom"/>
          </w:tcPr>
          <w:p>
            <w:pPr>
              <w:spacing w:after="0"/>
              <w:rPr>
                <w:sz w:val="18"/>
                <w:szCs w:val="18"/>
                <w:color w:val="auto"/>
              </w:rPr>
            </w:pPr>
          </w:p>
        </w:tc>
      </w:tr>
      <w:tr>
        <w:trPr>
          <w:trHeight w:val="218"/>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9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75247</w:t>
            </w:r>
          </w:p>
        </w:tc>
      </w:tr>
      <w:tr>
        <w:trPr>
          <w:trHeight w:val="166"/>
        </w:trPr>
        <w:tc>
          <w:tcPr>
            <w:tcW w:w="4500" w:type="dxa"/>
            <w:vAlign w:val="bottom"/>
          </w:tcPr>
          <w:p>
            <w:pPr>
              <w:jc w:val="center"/>
              <w:ind w:right="18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900" w:type="dxa"/>
            <w:vAlign w:val="bottom"/>
          </w:tcPr>
          <w:p>
            <w:pPr>
              <w:jc w:val="center"/>
              <w:ind w:left="18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TSHA</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99"/>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60"/>
        <w:spacing w:after="0" w:line="184" w:lineRule="exact"/>
        <w:tabs>
          <w:tab w:leader="none" w:pos="78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9" w:lineRule="exact"/>
        <w:rPr>
          <w:sz w:val="24"/>
          <w:szCs w:val="24"/>
          <w:color w:val="auto"/>
        </w:rPr>
      </w:pPr>
    </w:p>
    <w:p>
      <w:pPr>
        <w:ind w:right="1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96" w:lineRule="exact"/>
        <w:rPr>
          <w:sz w:val="24"/>
          <w:szCs w:val="24"/>
          <w:color w:val="auto"/>
        </w:rPr>
      </w:pPr>
    </w:p>
    <w:p>
      <w:pPr>
        <w:ind w:right="500" w:firstLine="599"/>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600" w:right="202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16, 2022, the registrant had 40,546,392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50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Statements of Operations</w:t>
            </w:r>
          </w:p>
        </w:tc>
        <w:tc>
          <w:tcPr>
            <w:tcW w:w="74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Statements of Cash Flows</w:t>
            </w:r>
          </w:p>
        </w:tc>
        <w:tc>
          <w:tcPr>
            <w:tcW w:w="67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8"/>
                <w:szCs w:val="18"/>
                <w:color w:val="auto"/>
              </w:rPr>
            </w:pPr>
          </w:p>
        </w:tc>
        <w:tc>
          <w:tcPr>
            <w:tcW w:w="496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106,891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159,602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lease asset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165,976</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213,956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21,997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Build-to-suit lease liability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37,192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115,251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118,573</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 Note 9</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$0.00001 par value per share; 10,000,000 shares authorized and no shares issued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2022 and December 31, 2021</w:t>
            </w:r>
          </w:p>
        </w:tc>
        <w:tc>
          <w:tcPr>
            <w:tcW w:w="280" w:type="dxa"/>
            <w:vAlign w:val="bottom"/>
          </w:tcPr>
          <w:p>
            <w:pPr>
              <w:spacing w:after="0"/>
              <w:rPr>
                <w:sz w:val="20"/>
                <w:szCs w:val="20"/>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$0.00001 par value per share; 200,000,000 shares authorized and 38,473,945 issued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2022 and December 31, 2021</w:t>
            </w: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331,032</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(285,760)</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(235,649)</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50,725</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165,976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213,956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jc w:val="center"/>
        <w:ind w:left="756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0" w:type="dxa"/>
        <w:tblCellMar>
          <w:top w:w="0" w:type="dxa"/>
          <w:left w:w="0" w:type="dxa"/>
          <w:bottom w:w="0" w:type="dxa"/>
          <w:right w:w="0" w:type="dxa"/>
        </w:tblCellMar>
      </w:tblPr>
      <w:tr>
        <w:trPr>
          <w:trHeight w:val="155"/>
        </w:trPr>
        <w:tc>
          <w:tcPr>
            <w:tcW w:w="61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37,799</w:t>
            </w:r>
          </w:p>
        </w:tc>
        <w:tc>
          <w:tcPr>
            <w:tcW w:w="180" w:type="dxa"/>
            <w:vAlign w:val="bottom"/>
          </w:tcPr>
          <w:p>
            <w:pPr>
              <w:spacing w:after="0"/>
              <w:rPr>
                <w:sz w:val="19"/>
                <w:szCs w:val="19"/>
                <w:color w:val="auto"/>
              </w:rPr>
            </w:pP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23,854</w:t>
            </w:r>
          </w:p>
        </w:tc>
        <w:tc>
          <w:tcPr>
            <w:tcW w:w="120" w:type="dxa"/>
            <w:vAlign w:val="bottom"/>
          </w:tcPr>
          <w:p>
            <w:pPr>
              <w:spacing w:after="0"/>
              <w:rPr>
                <w:sz w:val="19"/>
                <w:szCs w:val="19"/>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20" w:type="dxa"/>
            <w:vAlign w:val="bottom"/>
            <w:shd w:val="clear" w:color="auto" w:fill="CFF0FC"/>
          </w:tcPr>
          <w:p>
            <w:pPr>
              <w:spacing w:after="0"/>
              <w:rPr>
                <w:sz w:val="19"/>
                <w:szCs w:val="19"/>
                <w:color w:val="auto"/>
              </w:rPr>
            </w:pPr>
          </w:p>
        </w:tc>
      </w:tr>
      <w:tr>
        <w:trPr>
          <w:trHeight w:val="223"/>
        </w:trPr>
        <w:tc>
          <w:tcPr>
            <w:tcW w:w="6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32,090</w:t>
            </w:r>
          </w:p>
        </w:tc>
        <w:tc>
          <w:tcPr>
            <w:tcW w:w="120" w:type="dxa"/>
            <w:vAlign w:val="bottom"/>
            <w:tcBorders>
              <w:bottom w:val="single" w:sz="8" w:color="CFF0FC"/>
            </w:tcBorders>
          </w:tcPr>
          <w:p>
            <w:pPr>
              <w:spacing w:after="0"/>
              <w:rPr>
                <w:sz w:val="19"/>
                <w:szCs w:val="19"/>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(32,090)</w:t>
            </w:r>
          </w:p>
        </w:tc>
        <w:tc>
          <w:tcPr>
            <w:tcW w:w="120" w:type="dxa"/>
            <w:vAlign w:val="bottom"/>
            <w:shd w:val="clear" w:color="auto" w:fill="CFF0FC"/>
          </w:tcPr>
          <w:p>
            <w:pPr>
              <w:spacing w:after="0"/>
              <w:rPr>
                <w:sz w:val="19"/>
                <w:szCs w:val="19"/>
                <w:color w:val="auto"/>
              </w:rPr>
            </w:pPr>
          </w:p>
        </w:tc>
      </w:tr>
      <w:tr>
        <w:trPr>
          <w:trHeight w:val="223"/>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r>
      <w:tr>
        <w:trPr>
          <w:trHeight w:val="230"/>
        </w:trPr>
        <w:tc>
          <w:tcPr>
            <w:tcW w:w="6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5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FF0FC"/>
            </w:tcBorders>
          </w:tcPr>
          <w:p>
            <w:pPr>
              <w:spacing w:after="0"/>
              <w:rPr>
                <w:sz w:val="19"/>
                <w:szCs w:val="19"/>
                <w:color w:val="auto"/>
              </w:rPr>
            </w:pPr>
          </w:p>
        </w:tc>
      </w:tr>
      <w:tr>
        <w:trPr>
          <w:trHeight w:val="223"/>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(50,111)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(32,024)</w:t>
            </w:r>
          </w:p>
        </w:tc>
        <w:tc>
          <w:tcPr>
            <w:tcW w:w="120" w:type="dxa"/>
            <w:vAlign w:val="bottom"/>
            <w:shd w:val="clear" w:color="auto" w:fill="CFF0FC"/>
          </w:tcPr>
          <w:p>
            <w:pPr>
              <w:spacing w:after="0"/>
              <w:rPr>
                <w:sz w:val="19"/>
                <w:szCs w:val="19"/>
                <w:color w:val="auto"/>
              </w:rPr>
            </w:pPr>
          </w:p>
        </w:tc>
      </w:tr>
      <w:tr>
        <w:trPr>
          <w:trHeight w:val="223"/>
        </w:trPr>
        <w:tc>
          <w:tcPr>
            <w:tcW w:w="6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Borders>
              <w:bottom w:val="single" w:sz="8" w:color="CFF0FC"/>
            </w:tcBorders>
          </w:tcPr>
          <w:p>
            <w:pPr>
              <w:spacing w:after="0"/>
              <w:rPr>
                <w:sz w:val="19"/>
                <w:szCs w:val="19"/>
                <w:color w:val="auto"/>
              </w:rPr>
            </w:pPr>
          </w:p>
        </w:tc>
      </w:tr>
      <w:tr>
        <w:trPr>
          <w:trHeight w:val="22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38,174,717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36,992,377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480" w:type="dxa"/>
            <w:vAlign w:val="bottom"/>
          </w:tcPr>
          <w:p>
            <w:pPr>
              <w:spacing w:after="0"/>
              <w:rPr>
                <w:sz w:val="14"/>
                <w:szCs w:val="14"/>
                <w:color w:val="auto"/>
              </w:rPr>
            </w:pPr>
          </w:p>
        </w:tc>
        <w:tc>
          <w:tcPr>
            <w:tcW w:w="19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6"/>
        </w:trPr>
        <w:tc>
          <w:tcPr>
            <w:tcW w:w="5480" w:type="dxa"/>
            <w:vAlign w:val="bottom"/>
          </w:tcPr>
          <w:p>
            <w:pPr>
              <w:spacing w:after="0"/>
              <w:rPr>
                <w:sz w:val="13"/>
                <w:szCs w:val="13"/>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5"/>
        </w:trPr>
        <w:tc>
          <w:tcPr>
            <w:tcW w:w="54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38,473,945</w:t>
            </w: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1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tcBorders>
            <w:shd w:val="clear" w:color="auto" w:fill="CFF0FC"/>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331,032</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(235,649)</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95,383</w:t>
            </w: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w:t>
            </w:r>
          </w:p>
        </w:tc>
        <w:tc>
          <w:tcPr>
            <w:tcW w:w="120" w:type="dxa"/>
            <w:vAlign w:val="bottom"/>
          </w:tcPr>
          <w:p>
            <w:pPr>
              <w:spacing w:after="0"/>
              <w:rPr>
                <w:sz w:val="14"/>
                <w:szCs w:val="14"/>
                <w:color w:val="auto"/>
              </w:rPr>
            </w:pPr>
          </w:p>
        </w:tc>
      </w:tr>
      <w:tr>
        <w:trPr>
          <w:trHeight w:val="162"/>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(50,111)</w:t>
            </w: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(50,111)</w:t>
            </w:r>
          </w:p>
        </w:tc>
      </w:tr>
      <w:tr>
        <w:trPr>
          <w:trHeight w:val="156"/>
        </w:trPr>
        <w:tc>
          <w:tcPr>
            <w:tcW w:w="54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38,473,945</w:t>
            </w:r>
          </w:p>
        </w:tc>
        <w:tc>
          <w:tcPr>
            <w:tcW w:w="2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1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336,485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(285,760)</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50,725</w:t>
            </w:r>
          </w:p>
        </w:tc>
        <w:tc>
          <w:tcPr>
            <w:tcW w:w="120" w:type="dxa"/>
            <w:vAlign w:val="bottom"/>
          </w:tcPr>
          <w:p>
            <w:pPr>
              <w:spacing w:after="0"/>
              <w:rPr>
                <w:sz w:val="13"/>
                <w:szCs w:val="13"/>
                <w:color w:val="auto"/>
              </w:rPr>
            </w:pPr>
          </w:p>
        </w:tc>
      </w:tr>
      <w:tr>
        <w:trPr>
          <w:trHeight w:val="20"/>
        </w:trPr>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2021</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5"/>
        </w:trPr>
        <w:tc>
          <w:tcPr>
            <w:tcW w:w="5460" w:type="dxa"/>
            <w:vAlign w:val="bottom"/>
          </w:tcPr>
          <w:p>
            <w:pPr>
              <w:spacing w:after="0"/>
              <w:rPr>
                <w:sz w:val="14"/>
                <w:szCs w:val="14"/>
                <w:color w:val="auto"/>
              </w:rPr>
            </w:pPr>
          </w:p>
        </w:tc>
        <w:tc>
          <w:tcPr>
            <w:tcW w:w="198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8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55"/>
        </w:trPr>
        <w:tc>
          <w:tcPr>
            <w:tcW w:w="5460" w:type="dxa"/>
            <w:vAlign w:val="bottom"/>
          </w:tcPr>
          <w:p>
            <w:pPr>
              <w:spacing w:after="0"/>
              <w:rPr>
                <w:sz w:val="13"/>
                <w:szCs w:val="13"/>
                <w:color w:val="auto"/>
              </w:rPr>
            </w:pP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Pr>
          <w:p>
            <w:pPr>
              <w:spacing w:after="0"/>
              <w:rPr>
                <w:sz w:val="13"/>
                <w:szCs w:val="13"/>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54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37,761,435</w:t>
            </w:r>
          </w:p>
        </w:tc>
        <w:tc>
          <w:tcPr>
            <w:tcW w:w="24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tcBorders>
            <w:shd w:val="clear" w:color="auto" w:fill="CFF0FC"/>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312,428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(61,126)</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251,302</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46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3,594</w:t>
            </w:r>
          </w:p>
        </w:tc>
        <w:tc>
          <w:tcPr>
            <w:tcW w:w="100" w:type="dxa"/>
            <w:vAlign w:val="bottom"/>
          </w:tcPr>
          <w:p>
            <w:pPr>
              <w:spacing w:after="0"/>
              <w:rPr>
                <w:sz w:val="14"/>
                <w:szCs w:val="14"/>
                <w:color w:val="auto"/>
              </w:rPr>
            </w:pPr>
          </w:p>
        </w:tc>
      </w:tr>
      <w:tr>
        <w:trPr>
          <w:trHeight w:val="162"/>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(32,024)</w:t>
            </w: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(32,024)</w:t>
            </w:r>
          </w:p>
        </w:tc>
      </w:tr>
      <w:tr>
        <w:trPr>
          <w:trHeight w:val="155"/>
        </w:trPr>
        <w:tc>
          <w:tcPr>
            <w:tcW w:w="54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37,761,435</w:t>
            </w:r>
          </w:p>
        </w:tc>
        <w:tc>
          <w:tcPr>
            <w:tcW w:w="2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bottom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316,022</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(93,150)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222,872</w:t>
            </w:r>
          </w:p>
        </w:tc>
        <w:tc>
          <w:tcPr>
            <w:tcW w:w="100" w:type="dxa"/>
            <w:vAlign w:val="bottom"/>
          </w:tcPr>
          <w:p>
            <w:pPr>
              <w:spacing w:after="0"/>
              <w:rPr>
                <w:sz w:val="13"/>
                <w:szCs w:val="13"/>
                <w:color w:val="auto"/>
              </w:rPr>
            </w:pPr>
          </w:p>
        </w:tc>
      </w:tr>
      <w:tr>
        <w:trPr>
          <w:trHeight w:val="20"/>
        </w:trPr>
        <w:tc>
          <w:tcPr>
            <w:tcW w:w="5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Taysha Gene Therapies,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340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3"/>
        </w:trPr>
        <w:tc>
          <w:tcPr>
            <w:tcW w:w="784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(50,111)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(32,024)</w:t>
            </w: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license expense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(4,184)</w:t>
            </w:r>
          </w:p>
        </w:tc>
        <w:tc>
          <w:tcPr>
            <w:tcW w:w="0" w:type="dxa"/>
            <w:vAlign w:val="bottom"/>
          </w:tcPr>
          <w:p>
            <w:pPr>
              <w:spacing w:after="0"/>
              <w:rPr>
                <w:sz w:val="1"/>
                <w:szCs w:val="1"/>
                <w:color w:val="auto"/>
              </w:rPr>
            </w:pPr>
          </w:p>
        </w:tc>
      </w:tr>
      <w:tr>
        <w:trPr>
          <w:trHeight w:val="230"/>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Due to related party</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(40,804)</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(8,427)</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23"/>
        </w:trPr>
        <w:tc>
          <w:tcPr>
            <w:tcW w:w="7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(11,427)</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shelf registration costs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ESPP contributions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(52,473)</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151,740</w:t>
            </w:r>
          </w:p>
        </w:tc>
        <w:tc>
          <w:tcPr>
            <w:tcW w:w="2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251,253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94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99,267</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228,684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Restricted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period</w:t>
            </w:r>
          </w:p>
        </w:tc>
        <w:tc>
          <w:tcPr>
            <w:tcW w:w="940" w:type="dxa"/>
            <w:vAlign w:val="bottom"/>
            <w:tcBorders>
              <w:top w:val="single" w:sz="8" w:color="auto"/>
              <w:bottom w:val="single" w:sz="8" w:color="auto"/>
            </w:tcBorders>
          </w:tcPr>
          <w:p>
            <w:pPr>
              <w:jc w:val="right"/>
              <w:ind w:right="7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99,267</w:t>
            </w:r>
          </w:p>
        </w:tc>
        <w:tc>
          <w:tcPr>
            <w:tcW w:w="28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228,684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tcPr>
          <w:p>
            <w:pPr>
              <w:jc w:val="right"/>
              <w:ind w:right="7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tcPr>
          <w:p>
            <w:pPr>
              <w:spacing w:after="0"/>
              <w:rPr>
                <w:sz w:val="19"/>
                <w:szCs w:val="19"/>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in accounts payable and accrued expenses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 funded by landlord</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not yet paid</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research and development license not yet paid</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Note 1—Organization and Description of Business Operations</w:t>
      </w:r>
    </w:p>
    <w:p>
      <w:pPr>
        <w:spacing w:after="0" w:line="121"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284"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Agreement</w:t>
      </w:r>
    </w:p>
    <w:p>
      <w:pPr>
        <w:spacing w:after="0" w:line="12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October 5, 2021, the Company entered into a Sales Agreement (the “Sales Agreement”) with SVB Securities LLC (f/k/a SVB Leerink LLC) and Wells Fargo Securities, LLC (collectively, the “Sales Agents”), pursuant to which the Company may issue and sell, from time to time in its sole discretion, shares of its common stock having an aggregate offering price of up to $150.0 million through the Sales Agents. In March 2022, the Company amended the Sales Agreement to, among other things, include Goldman Sachs &amp; Co. LLC as an additional Sales Agent. The Sales Agents may sell common stock by any method permitted by law deemed to be an “at-the-market offering” as defined in Rule 415(a)(4) of the Securities Act, including sales made directly on or through the Nasdaq Global Select Market or any other existing trade market for the common stock, in negotiated transactions at market prices prevailing at the time of sale or at prices related to prevailing market prices, or any other method permitted by law. The Sales Agents will be entitled to receive 3.0% of the gross sales price per share of common stock sold under the Sales Agreement. As of March 31, 2022, no shares of common stock had been issued and sold pursuant to the Sales Agreement. The Company sold 2.0 million shares under the Sales Agreement in April 2022 (see Note 12).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As of March 31, 2022, the Company had an accumulated deficit of $285.8 million.</w:t>
      </w:r>
    </w:p>
    <w:p>
      <w:pPr>
        <w:spacing w:after="0" w:line="31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March 31, 2022, the Company had cash and cash equivalents of $96.6 million which the Company believes will be sufficient to fund its planned operations for a period of at least twelve months from the date of issuance of these condensed consolidated financial statements.</w:t>
      </w:r>
    </w:p>
    <w:p>
      <w:pPr>
        <w:spacing w:after="0" w:line="29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December 2019, the novel coronavirus that causes the disease COVID-19 emerged and has subsequently spread worldwide. The Company has been actively monitoring COVID-19 and its impact globally. Management believes the financial results for the three months ended March 31, 2022 were not significantly impacted by the COVID-19 pandemic. In addition, management believes the Company’s remote and hybrid working arrangements have had limited impact on the Company’s ability to maintain internal operations during the three months ended March 31, 2022. The full extent to which the COVID-19 pandemic will directly or indirectly impact the Company’s business, results of operations and financial condition will depend on future developments that are highly uncertain, including new information that may emerge concerning COVID-19 and the actions taken to contain or treat COVID-19.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2021, filed with the Securities and Exchange Commission ("SEC") on March 31, 2022 (the “2021 Annual Report”). In the opinion of management, the unaudited condensed consolidated financial statements reflect all adjustments, which include only normal recurring adjustments necessary for the fair statement of the balances and results for the periods presented. The consolidated balance sheet as of December 31, 2021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2021 Annual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Taysha and its inactive wholly owned U.S. subsidiaries that were incorporated during 2020, and two foreign subsidiaries incorporated during 2021. All intercompany transactions and balances have been eliminated in consolidation.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Company’s initial public offering (“IPO”) in September 2020 (as an input into stock-based compensation), and estimating preclinical manufacturing accruals and accrued or prepaid research and development expenses.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 In response to the ongoing and rapidly evolving COVID-19 pandemic, management considered the impact of the estimated economic implications on the Company’s critical and significant accounting estimates, including assessment of impairment of long-lived assets.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as disclosed in Note 2 to the audited consolidated financial statements included in the 2021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Comprehensive loss is equal to net loss as presented in the accompanying condensed consolidated statements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337"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new standard requires the use of one of the following two approaches, either (1) retrospectively to each prior reporting period presented in the financial statements with the cumulative effect recognized at the beginning of the earliest comparative period presented, or (2) retrospectively at the beginning of the period of adoption through a cumulative-effect adjustment. The Company has not yet concluded</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8" w:right="379" w:bottom="1440" w:gutter="0" w:footer="0" w:header="0"/>
        </w:sectPr>
      </w:pPr>
    </w:p>
    <w:bookmarkStart w:id="8" w:name="page9"/>
    <w:bookmarkEnd w:id="8"/>
    <w:p>
      <w:pPr>
        <w:ind w:right="280"/>
        <w:spacing w:after="0" w:line="282" w:lineRule="auto"/>
        <w:rPr>
          <w:sz w:val="20"/>
          <w:szCs w:val="20"/>
          <w:color w:val="auto"/>
        </w:rPr>
      </w:pPr>
      <w:r>
        <w:rPr>
          <w:rFonts w:ascii="Times New Roman" w:cs="Times New Roman" w:eastAsia="Times New Roman" w:hAnsi="Times New Roman"/>
          <w:sz w:val="18"/>
          <w:szCs w:val="18"/>
          <w:color w:val="auto"/>
        </w:rPr>
        <w:t>which approach will be utilized to adopt the new standard and is currently evaluating the impact of this standard on its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5,793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Prepaid clinical trial</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2,705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Prepaid bonus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10,261</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FF0FC"/>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(754)</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Included in construction in progress at March 31, 2022 was $50.4 million of costs associated with the Build-to-Suit lease (see Note 9), which includes $3.0 million of capitalized payroll and payroll-related costs.</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$0.3 million for the three months ended March 31, 2022 and less than $0.1 million for the three months ended March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31, 2021.</w:t>
      </w:r>
    </w:p>
    <w:p>
      <w:pPr>
        <w:spacing w:after="0" w:line="3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license fees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plant and equipment</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consulting fees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clinical trial</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26,620</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4—Loan with Silicon Valley Bank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August 12, 2021 (the “Closing Date”), the Company entered into a Loan and Security Agreement (the “Term Loan Agreement”), by and among the Company, the lenders party thereto from time to time (the “Lenders”) and Silicon Valley Bank, as administrative agent and collateral agent for the Lenders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the Company’s option upon having three distinct and active clinical stage programs, determined at the discretion of the Agent, at the time of draw and (iv) from April 1, 2023 until December 31, 2023, an additional $20.0 million term loan facility available upon approval by the Agent and the Lenders (collectively, the “Term Loans”). The Company drew $30.0 million in term loans on the Closing Date and $10.0 million in term loans in December 2021.</w:t>
      </w:r>
    </w:p>
    <w:p>
      <w:pPr>
        <w:spacing w:after="0" w:line="323"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interest rate applicable to the Term Loans is the greater of (a) the WSJ Prime Rate plus 3.75% or (b) 7.00% per annum. The Term Loans are interest only from the Closing Date through August 31, 2024, after which the Company is required to pay equal monthly installments of principal through August 1, 2026, the maturity date.</w:t>
      </w:r>
    </w:p>
    <w:p>
      <w:pPr>
        <w:spacing w:after="0" w:line="311" w:lineRule="exact"/>
        <w:rPr>
          <w:sz w:val="20"/>
          <w:szCs w:val="20"/>
          <w:color w:val="auto"/>
        </w:rPr>
      </w:pPr>
    </w:p>
    <w:p>
      <w:pPr>
        <w:ind w:right="380" w:firstLine="749"/>
        <w:spacing w:after="0" w:line="256" w:lineRule="auto"/>
        <w:rPr>
          <w:sz w:val="20"/>
          <w:szCs w:val="20"/>
          <w:color w:val="auto"/>
        </w:rPr>
      </w:pPr>
      <w:r>
        <w:rPr>
          <w:rFonts w:ascii="Times New Roman" w:cs="Times New Roman" w:eastAsia="Times New Roman" w:hAnsi="Times New Roman"/>
          <w:sz w:val="18"/>
          <w:szCs w:val="18"/>
          <w:color w:val="auto"/>
        </w:rPr>
        <w:t>The Term Loans may be prepaid in full through August 12, 2022 with payment of a 2.00% prepayment premium, after which they may be prepaid in full through August 12, 2023 with payment of a 1.00% prepayment premium, after which they may be prepaid in full with no prepayment premium. An additional final payment of 7.5% of the amount of Terms Loans advanced by the Lenders (“Exit Fee”) will be due upon prepayment or repayment of the Term Loans in full. The Exit Fee of $3.0 million was recorded as debt discount and has also been fully accrued within non-current liabilities as of March 31, 2022. The debt discount is being accreted using the effective interest method over the term of the Term Loans within interest expense in the condensed consolidated statements of operations.</w:t>
      </w:r>
    </w:p>
    <w:p>
      <w:pPr>
        <w:spacing w:after="0" w:line="29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obligations under the Term Loan Agreement are secured by a perfected security interest in all of the Company’s assets except for intellectual property and certain other customarily excluded property pursuant to the terms of the Term Loan Agreement. There are no financial covenants and no warrants associated with the Term Loan Agreement. The Term Loan Agreement contains various covenants that limit the Company’s ability to engage in specified types of transactions without the consent of the Lenders which include, among others, incurring or assuming certain debt; merging, consolidating or acquiring all or substantially all of the capital stock or property of another entity; changing the nature of the Company’s business; changing the Company’s organizational structure or type; licensing, transferring or disposing of certain assets; granting certain types of liens on the Company’s assets; making certain investments; and paying cash dividends.</w:t>
      </w:r>
    </w:p>
    <w:p>
      <w:pPr>
        <w:spacing w:after="0" w:line="29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Term Loan Agreement also contains customary representations and warranties, and also includes customary events of default, including payment default, breach of covenants, change of control, and material adverse effects. The Company was in compliance with all covenants under the Term Loan Agreement as of March 31, 2022. Upon the occurrence of an event of default, a default interest rate of an additional 5% per annum may be applied to the outstanding loan balances, and the Lenders may declare all outstanding obligations immediately due and payable and exercise all of its rights and remedies as set forth in the Term Loan Agreement and under applicable law.</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three months ended March 31, 2022, the Company recognized interest expense related to the Term Loan of $0.9 million.</w:t>
      </w:r>
    </w:p>
    <w:p>
      <w:pPr>
        <w:spacing w:after="0" w:line="3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principal debt payments on the loan payable as of March 31, 2022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w:t>
            </w:r>
          </w:p>
        </w:tc>
        <w:tc>
          <w:tcPr>
            <w:tcW w:w="6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6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6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6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6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(2,614)</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61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18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8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6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5—Research, Collaboration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UT Southwestern Agreement</w:t>
      </w:r>
    </w:p>
    <w:p>
      <w:pPr>
        <w:spacing w:after="0" w:line="121"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29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8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 In March 2022, the Company and UT Southwestern mutually agreed to revise the payment schedules and current performance expectations of the current sponsored research agreements under the UT Southwestern Agreement and defer payments by fifteen months.</w:t>
      </w:r>
    </w:p>
    <w:p>
      <w:pPr>
        <w:spacing w:after="0" w:line="288"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November 2019, as partial consideration for the license rights granted under the UT Southwestern Agreement, the Company</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is aware that UT Southwestern no longer owns such shares of common stock as of January 2022. The Company does not have any future milestone or royalty obligations to UT Southwestern under the UT Southwestern Agreement other than costs related to maintenance of patents.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Queen’s Agreement</w:t>
      </w:r>
    </w:p>
    <w:p>
      <w:pPr>
        <w:spacing w:after="0" w:line="121"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was recorded within research and development expenses in the consolidated statements of operations for the year ended December 31, 2020 since the acquired license does not have an alternative future use.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 w:name="page12"/>
    <w:bookmarkEnd w:id="11"/>
    <w:p>
      <w:pPr>
        <w:ind w:right="20"/>
        <w:spacing w:after="0" w:line="261" w:lineRule="auto"/>
        <w:rPr>
          <w:sz w:val="20"/>
          <w:szCs w:val="20"/>
          <w:color w:val="auto"/>
        </w:rPr>
      </w:pPr>
      <w:r>
        <w:rPr>
          <w:rFonts w:ascii="Times New Roman" w:cs="Times New Roman" w:eastAsia="Times New Roman" w:hAnsi="Times New Roman"/>
          <w:sz w:val="18"/>
          <w:szCs w:val="18"/>
          <w:color w:val="auto"/>
        </w:rPr>
        <w:t>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additional milestone payments were made in connection with the Queen’s Agreement during the three months ended March 31, 2022.</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CLN1 Agreements</w:t>
      </w:r>
    </w:p>
    <w:p>
      <w:pPr>
        <w:spacing w:after="0" w:line="121"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August 2020, the Company entered into license and inventory purchase agreements (collectively, the “Abeona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Abeona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with Abeona (the “Abeona License Agreement”) expires on a country-by-country and licensed product-by-licensed product basis upon the expiration of the last royalty term of a licensed product. Either party may terminate the Abeona License Agreement upon an uncured material breach of the agreement or insolvency of the other party. The Company may terminate the Abeona License Agreement for convenience upon specified prior written notice to Abeona.</w:t>
      </w:r>
    </w:p>
    <w:p>
      <w:pPr>
        <w:spacing w:after="0" w:line="29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December 2021 the Company’s CTA filing for TSHA-118 for the treatment of CLN1 disease was approved by Health Canada and therefore triggered a regulatory milestone payment in connection with this agreement. The Company recorded $3.0 million within research and development expenses in the consolidated statements of operations for the year ended December 31, 2021. The milestone fee was paid in January 2022 and classified as an investing cash outflow in the condensed consolidated statements of cash flows for the three months ended March 31,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Abeona Rett Agreement</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Abeona Rett Agreement, the Company paid Abeona a one-time upfront license fee of $3.0 million which was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 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30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ind w:right="36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Company’s CTA filing for TSHA-102 for the treatment of Rett Syndrome was approved by Health Canada and therefore triggered a regulatory milestone payment in connection with this agreement. The Company recorded $1.0 million within research and development expenses in the condensed consolidated statements of operations for the three months ended March 31, 2022.</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Worldwide Rights for TSHA-120 for the treatment of GAN</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March 2021, the Company acquired the exclusive worldwide rights to a clinical-stage AAV9 gene therapy program, now known as TSHA-120, for the treatment of Giant Axonal Neuropathy (“GAN”). TSHA-120 is an intrathecally dosed AAV9 gene therapy currently being evaluated in a clinical trial for the treatment of GAN. The trial is being conducted by the National Institutes of Health in close collaboration with a leading patient advocacy group focused on finding treatments and cures for GAN. TSHA-120 has received rare pediatric disease and orphan drug designations from the U.S. Food and Drug Administration for the treatment of GAN. The worldwide rights were acquired through a license agreement, effective March 29, 2021, between Hannah’s Hope Fund for Giant Axonal Neuropathy, Inc. (“HHF”) and the Company (the “GAN Agreement”).</w:t>
      </w:r>
    </w:p>
    <w:p>
      <w:pPr>
        <w:spacing w:after="0" w:line="295"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Under the terms of the GAN Agreement, in exchange for granting the Company the exclusive worldwide rights to TSHA-120, HHF received an upfront payment of $5.5 million and will be eligible to receive clinical, regulatory and commercial milestones totaling up to $19.3 million, as well as a low, single-digit royalty on net sales upon commercialization of the product.</w:t>
      </w:r>
    </w:p>
    <w:p>
      <w:pPr>
        <w:spacing w:after="0" w:line="284"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exchange for the license rights, the Company recorded an aggregate of $5.5 million within research and development expenses in the condensed consolidated statements of operations for the three months ended March 31, 2021, since the acquired license does not have an alternative future use. No additional milestone payments were made in connection with the GAN Agreement during the three months ended March 31, 2022.</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for CLN7</w:t>
      </w:r>
    </w:p>
    <w:p>
      <w:pPr>
        <w:spacing w:after="0" w:line="13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March 2022, the Company entered into a license agreement with UT Southwestern (the “CLN7 Agreement”) pursuant to which the Company obtained an exclusive worldwide, royalty-bearing license with right to grant sublicenses to develop, manufacture, use, and commercialize licensed products for gene therapy for CLN7, a form of Batten Disease In connection with the CLN7 Agreement, the Company will pay a one-time up-front license fee of $0.3 million. The Company recorded the up-front license fee in research and development expense in the condensed consolidated statements of operations since the acquired license does not have an alternative future use. The Company is obligated to pay UT Southwestern up to $7.7 million in regulatory-related milestones and up to $7.5 million in sales-related milestones, as well as a low, single-digit royalty on net sales upon commercialization of the product.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6—Stock-Based Compensation</w:t>
      </w:r>
    </w:p>
    <w:p>
      <w:pPr>
        <w:spacing w:after="0" w:line="12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On July 1, 2020, the Company’s board of directors approved the Existing Plan which permits the granting of incentive stock options, non-statutory stock options, stock appreciation rights, RSAs, RSUs and other stock-based awards to employees, directors, officers and consultants. On July 1, 2020, 3,529,412 shares of common stock were authorized for issuance under the Existing Plan. On September 16, 2020, the Company increased the number of shares of common stock authorized for issuance under the Existing Plan to 3,845,294.</w:t>
      </w:r>
    </w:p>
    <w:p>
      <w:pPr>
        <w:spacing w:after="0" w:line="288" w:lineRule="exact"/>
        <w:rPr>
          <w:sz w:val="20"/>
          <w:szCs w:val="20"/>
          <w:color w:val="auto"/>
        </w:rPr>
      </w:pPr>
    </w:p>
    <w:p>
      <w:pPr>
        <w:ind w:right="20" w:firstLine="749"/>
        <w:spacing w:after="0" w:line="270" w:lineRule="auto"/>
        <w:rPr>
          <w:sz w:val="20"/>
          <w:szCs w:val="20"/>
          <w:color w:val="auto"/>
        </w:rPr>
      </w:pPr>
      <w:r>
        <w:rPr>
          <w:rFonts w:ascii="Times New Roman" w:cs="Times New Roman" w:eastAsia="Times New Roman" w:hAnsi="Times New Roman"/>
          <w:sz w:val="17"/>
          <w:szCs w:val="17"/>
          <w:color w:val="auto"/>
        </w:rPr>
        <w:t>On September 16, 2020, the Company’s stockholders approved the New Plan, which became effective upon the execution of the underwriting agreement in connection with the IPO. The number of shares available for future issuance under the New Plan is the sum of (1) 3,390,168 new shares of common stock, (2) 209,841 remaining shares of common stock reserved under the Existing Plan that became available for issuance upon the effectiveness of the New Plan and (3) the number of shares of common stock subject to outstanding awards under the Existing Plan when the New Plan became effective that thereafter expire or are forfeited, canceled, withheld to satisfy tax withholding or to purchase or exercise an award, repurchased by the Company or are otherwise terminated. The number of shares of common stock reserved for issuance under the New Plan will automatically increase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On January 1, 2021 the Company’s board of directors increased the number of common stock reserved for issuance under the New Plan by 1,434,934 shares. On January 1, 2022 the Company’s board of directors increased the number of common stock reserved for issuance under the New Plan by 1,923,697 shares.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3" w:name="page14"/>
    <w:bookmarkEnd w:id="13"/>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and ending on (and including) January 1, 2030, in an amount equal to the lesser of (i) one percent (1.0%) of the total number of shares of capital stock outstanding on December 31st of the preceding calendar year, and (ii) 724,000 shares of common stock. No shares were added to the ESPP in 2021, and no issuances have been made under the ESPP as of December 31, 2021. On January 1, 2022, the Company’s board of directors increased the number of common stock reserved for issuance under the ESPP by 384,739. No issuances have been made under the ESPP as of March 31,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July 1, 2020, options to purchase 2,896,782 shares of common stock under the Existing Plan were awarded to certain employees and consultants of the Company with an exercise price per share of $0.80, which were expected to vest over a four-year period, all of which were subsequently cancelled (the “Cancelled Options”). The grant date fair value of the Cancelled Options was $13.8 million at the original grant date. In exchange, the Company awarded 2,518,932 RSUs on September 2, 2020, which are expected to vest over a four-year term. The Company accounted for the changes in award terms as a modification in accordance with ASC 718 Compensation – Stock Compensation. The modification was accounted for as an exchange of the original award for a new award with total compensation cost equal to the grant-date fair value of the original award plus any incremental value measured on the modification date. The Company determined that there was no incremental value as the fair value of the original award immediately before the modification was greater than the fair value of the new award immediately after the modification. Accordingly, the Company continues to recognize the remaining compensation cost of the Cancelled Options over the vesting period of the RSUs.</w:t>
      </w:r>
    </w:p>
    <w:p>
      <w:pPr>
        <w:spacing w:after="0" w:line="33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1,902,100 shares of common stock under the New Plan were awarded with a weighted-average grant date fair value per share of $4.24. The stock options vest over one to four years and have a ten-year contractual term.</w:t>
      </w:r>
    </w:p>
    <w:p>
      <w:pPr>
        <w:spacing w:after="0" w:line="27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stock options that were granted during the three months ended March 31, 2022 and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80" w:type="dxa"/>
            <w:vAlign w:val="bottom"/>
            <w:gridSpan w:val="10"/>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584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46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0.64%</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454"/>
        </w:trPr>
        <w:tc>
          <w:tcPr>
            <w:tcW w:w="836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1"/>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4"/>
                <w:szCs w:val="14"/>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4"/>
                <w:szCs w:val="14"/>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4"/>
                <w:szCs w:val="14"/>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73"/>
        </w:trPr>
        <w:tc>
          <w:tcPr>
            <w:tcW w:w="5840" w:type="dxa"/>
            <w:vAlign w:val="bottom"/>
          </w:tcPr>
          <w:p>
            <w:pPr>
              <w:spacing w:after="0"/>
              <w:rPr>
                <w:sz w:val="15"/>
                <w:szCs w:val="15"/>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5"/>
                <w:szCs w:val="15"/>
                <w:color w:val="auto"/>
              </w:rPr>
            </w:pPr>
          </w:p>
        </w:tc>
        <w:tc>
          <w:tcPr>
            <w:tcW w:w="13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3,649,962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24.13</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1,902,100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(109,405)</w:t>
            </w: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expired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(4,820)</w:t>
            </w: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19.96</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5,437,837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18.02</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to be forfeited due to severance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(713,540)</w:t>
            </w:r>
          </w:p>
        </w:tc>
        <w:tc>
          <w:tcPr>
            <w:tcW w:w="24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 and expected to vest at March 31,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4,724,297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March 31, 2022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725,824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25.42</w:t>
            </w:r>
          </w:p>
        </w:tc>
        <w:tc>
          <w:tcPr>
            <w:tcW w:w="240" w:type="dxa"/>
            <w:vAlign w:val="bottom"/>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fair value of the Company’s common stock as of March 31, 2022 and the exercise price of the stock options. As of March 31, 2022, the total unrecognized compensation related to unvested stock option awards granted was $47.4 million, which the Company expects to recognize over a weighted-average period of approximately 3.3 years. No stock options were exercised during the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announced a strategic reprioritization. As part of the reprioritization, the Company reduced its workforce by approximately 35% (see Note 10). All outstanding unvested awards were forfeited upon each employee’s termination date, resulting in a forfeit of 713,540 awards in April 2022 and reversal of $0.8 million in stock-based compensation expense in April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On September 2, 2020, the Company issued 331,121 RSUs to an employee under the Existing Plan; 25% of the shares of common stock underlying the RSUs vest at each anniversary over a four-year period. The RSUs are subject to a service-based vesting condition. The RSUs were also subject to a liquidity-based performance vesting condition that was met upon the closing of the IPO. The Company at any time may accelerate the vesting of the RSUs. Such shares are not accounted for as outstanding until they vest. As of March 31, 2022, the total unrecognized compensation related to unvested RSUs granted, including the remaining compensation cost associated with the RSUs granted on September 2, 2020 in exchange for the Cancelled Options, was $9.6 million which is expected to be amortized on a straight-line basis over the weighted-average remaining vesting period of approximately 1.2 years.</w:t>
      </w:r>
    </w:p>
    <w:p>
      <w:pPr>
        <w:spacing w:after="0" w:line="324"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3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RSU activity for the three months ended March 31, 2022 was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73"/>
        </w:trPr>
        <w:tc>
          <w:tcPr>
            <w:tcW w:w="772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1,886,765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units granted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Cancelled or forfeited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RA Session II, the Company’s President and Chief Executive Officer, was awarded 769,058 RSAs under the Existing Plan on July 1, 2020, which are expected to vest over a three-year term, subject to continuous employment. As of March 31, 2022, the total unrecognized compensation related to unvested RSAs granted was $1.5 million which is expected to be amortized on a straight-line basis over the weighted-average remaining vesting period of approximately 0.4 years. The fair value of these RSAs at the grant date of July 1, 2020 was $5.28 per share.</w:t>
      </w:r>
    </w:p>
    <w:p>
      <w:pPr>
        <w:spacing w:after="0" w:line="2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RSA activity for the three months ended March 31, 2022 was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8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5"/>
                <w:szCs w:val="15"/>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374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341,975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stock granted</w:t>
            </w:r>
          </w:p>
        </w:tc>
        <w:tc>
          <w:tcPr>
            <w:tcW w:w="3740" w:type="dxa"/>
            <w:vAlign w:val="bottom"/>
          </w:tcPr>
          <w:p>
            <w:pPr>
              <w:spacing w:after="0"/>
              <w:rPr>
                <w:sz w:val="19"/>
                <w:szCs w:val="19"/>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55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(64,120)</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March 31, 2022</w:t>
            </w:r>
          </w:p>
        </w:tc>
        <w:tc>
          <w:tcPr>
            <w:tcW w:w="37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277,855</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740" w:type="dxa"/>
            <w:vAlign w:val="bottom"/>
            <w:vMerge w:val="restart"/>
          </w:tcPr>
          <w:p>
            <w:pPr>
              <w:jc w:val="right"/>
              <w:ind w:right="1910"/>
              <w:spacing w:after="0"/>
              <w:rPr>
                <w:sz w:val="20"/>
                <w:szCs w:val="20"/>
                <w:color w:val="auto"/>
              </w:rPr>
            </w:pPr>
            <w:r>
              <w:rPr>
                <w:rFonts w:ascii="Times New Roman" w:cs="Times New Roman" w:eastAsia="Times New Roman" w:hAnsi="Times New Roman"/>
                <w:sz w:val="18"/>
                <w:szCs w:val="18"/>
                <w:color w:val="auto"/>
              </w:rPr>
              <w:t>13</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February 2022, the Company’s board of directors authorized the first offering under the ESPP. Under the ESPP, eligible employees may purchase shares of Taysha common stock through payroll deductions at a price equal to 85% of the lower of the fair market values of the stock as of the beginning or the end of six-month offering periods. An employee’s payroll deductions under the ESPP are limited to 15% of the employee’s compensation and employees may not purchase more than 1,800 of shares of Taysha common stock during any offering period. During the three months ended March 31, 2022, stock-based compensation expense related to the ESPP was not material.</w:t>
      </w:r>
    </w:p>
    <w:p>
      <w:pPr>
        <w:spacing w:after="0" w:line="31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$0.1 million of stock-based compensation expense was capitalized as part of construction in process (see Note 3). The following table summarizes the total stock-based compensation expense for the stock options, ESPP, RSAs and RSUs recorded in the condensed consolidated statements of operations for the three months ended March 31, 2022 and 2021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160" w:type="dxa"/>
            <w:vAlign w:val="bottom"/>
          </w:tcPr>
          <w:p>
            <w:pPr>
              <w:spacing w:after="0"/>
              <w:rPr>
                <w:sz w:val="15"/>
                <w:szCs w:val="15"/>
                <w:color w:val="auto"/>
              </w:rPr>
            </w:pPr>
          </w:p>
        </w:tc>
        <w:tc>
          <w:tcPr>
            <w:tcW w:w="360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5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5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1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5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28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2,015</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2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3,594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7—Net Loss Per Common Share</w:t>
      </w:r>
    </w:p>
    <w:p>
      <w:pPr>
        <w:spacing w:after="0" w:line="121"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the calculation of basic and diluted net loss per common share (in thousands, except share and per share data):</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used to compute net loss per common share,</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38,174,717</w:t>
            </w:r>
          </w:p>
        </w:tc>
        <w:tc>
          <w:tcPr>
            <w:tcW w:w="28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36,992,377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749"/>
        <w:spacing w:after="0" w:line="235" w:lineRule="exact"/>
        <w:rPr>
          <w:sz w:val="20"/>
          <w:szCs w:val="20"/>
          <w:color w:val="auto"/>
        </w:rPr>
      </w:pPr>
      <w:r>
        <w:rPr>
          <w:rFonts w:ascii="Times New Roman" w:cs="Times New Roman" w:eastAsia="Times New Roman" w:hAnsi="Times New Roman"/>
          <w:sz w:val="18"/>
          <w:szCs w:val="18"/>
          <w:color w:val="auto"/>
        </w:rPr>
        <w:t>The following common stock equivalents outstanding as of March 31, 2022 and 2021 were excluded from the computation of diluted net loss per share attributable to common stockholders for the periods presented because including them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7860" w:type="dxa"/>
            <w:vAlign w:val="bottom"/>
            <w:tcBorders>
              <w:bottom w:val="single" w:sz="8" w:color="CFF0FC"/>
            </w:tcBorders>
          </w:tcPr>
          <w:p>
            <w:pPr>
              <w:spacing w:after="0"/>
              <w:rPr>
                <w:sz w:val="15"/>
                <w:szCs w:val="15"/>
                <w:color w:val="auto"/>
              </w:rPr>
            </w:pPr>
          </w:p>
        </w:tc>
        <w:tc>
          <w:tcPr>
            <w:tcW w:w="15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5"/>
                <w:szCs w:val="15"/>
                <w:color w:val="auto"/>
              </w:rPr>
            </w:pPr>
          </w:p>
        </w:tc>
        <w:tc>
          <w:tcPr>
            <w:tcW w:w="14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1,886,765</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2,850,053</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Unvested RSAs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277,855</w:t>
            </w: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769,058</w:t>
            </w:r>
          </w:p>
        </w:tc>
        <w:tc>
          <w:tcPr>
            <w:tcW w:w="120" w:type="dxa"/>
            <w:vAlign w:val="bottom"/>
          </w:tcPr>
          <w:p>
            <w:pPr>
              <w:spacing w:after="0"/>
              <w:rPr>
                <w:sz w:val="19"/>
                <w:szCs w:val="19"/>
                <w:color w:val="auto"/>
              </w:rPr>
            </w:pPr>
          </w:p>
        </w:tc>
      </w:tr>
      <w:tr>
        <w:trPr>
          <w:trHeight w:val="22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5,437,837</w:t>
            </w:r>
          </w:p>
        </w:tc>
        <w:tc>
          <w:tcPr>
            <w:tcW w:w="28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2,286,142</w:t>
            </w:r>
          </w:p>
        </w:tc>
        <w:tc>
          <w:tcPr>
            <w:tcW w:w="120" w:type="dxa"/>
            <w:vAlign w:val="bottom"/>
            <w:shd w:val="clear" w:color="auto" w:fill="CFF0FC"/>
          </w:tcPr>
          <w:p>
            <w:pPr>
              <w:spacing w:after="0"/>
              <w:rPr>
                <w:sz w:val="19"/>
                <w:szCs w:val="19"/>
                <w:color w:val="auto"/>
              </w:rPr>
            </w:pPr>
          </w:p>
        </w:tc>
      </w:tr>
      <w:tr>
        <w:trPr>
          <w:trHeight w:val="223"/>
        </w:trPr>
        <w:tc>
          <w:tcPr>
            <w:tcW w:w="7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7,602,457</w:t>
            </w:r>
          </w:p>
        </w:tc>
        <w:tc>
          <w:tcPr>
            <w:tcW w:w="2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5,905,253</w:t>
            </w:r>
          </w:p>
        </w:tc>
        <w:tc>
          <w:tcPr>
            <w:tcW w:w="12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8—Income Taxes</w:t>
      </w:r>
    </w:p>
    <w:p>
      <w:pPr>
        <w:spacing w:after="0" w:line="121"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6" w:name="page17"/>
    <w:bookmarkEnd w:id="16"/>
    <w:p>
      <w:pPr>
        <w:ind w:right="420"/>
        <w:spacing w:after="0" w:line="282" w:lineRule="auto"/>
        <w:rPr>
          <w:sz w:val="20"/>
          <w:szCs w:val="20"/>
          <w:color w:val="auto"/>
        </w:rPr>
      </w:pPr>
      <w:r>
        <w:rPr>
          <w:rFonts w:ascii="Times New Roman" w:cs="Times New Roman" w:eastAsia="Times New Roman" w:hAnsi="Times New Roman"/>
          <w:sz w:val="18"/>
          <w:szCs w:val="18"/>
          <w:color w:val="auto"/>
        </w:rPr>
        <w:t>reported amount of income tax expense for the period differs from the amount that would result from applying the federal statutory tax rate to net loss before taxes primarily because of the change in valuation allowance.</w:t>
      </w:r>
    </w:p>
    <w:p>
      <w:pPr>
        <w:spacing w:after="0" w:line="27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of March 31, 2022, there were no material changes to either the nature or the amounts of the uncertain tax positions previously determined for the year ended December 31, 2021.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jc w:val="both"/>
        <w:ind w:right="380"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March 31, 2022. The Company does not anticipate recognizing any significant losses relating to these arrangements.</w:t>
      </w:r>
    </w:p>
    <w:p>
      <w:pPr>
        <w:spacing w:after="0" w:line="68"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Total lease expense, inclusive of lease incentives, under all operating lease agreements amounted to $0.3 million and $0.1 million for the three months ended March 31, 2022 and 2021, respectively.</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Durham Lease</w:t>
      </w:r>
    </w:p>
    <w:p>
      <w:pPr>
        <w:spacing w:after="0" w:line="121"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29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was not required to provide a security deposit in connection with its entry into the Durham Lease. The Company will be responsible for constructing interior improvements within the Facility. The Company was required to place $2.6 million in an escrow account which will be released when the improvements are substantially complete. The escrow funds are recorded as restricted cash on the condensed consolidated balance sheet as of March 31, 2022. The Durham Landlord has the right to terminate the Durham Lease upon specified events of default, including the Company’s failure to pay rent in a timely manner and upon the occurrence of certain events of insolvency with respect to the Company.</w:t>
      </w:r>
    </w:p>
    <w:p>
      <w:pPr>
        <w:spacing w:after="0" w:line="291"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Company incurred initial direct costs to enter into the Durham Lease of approximately $0.8 million. The costs have been recorded on the condensed consolidated balance sheets as a deferred lease asset and are being amortized into earnings over the term of the Durham Lease.</w:t>
      </w:r>
    </w:p>
    <w:p>
      <w:pPr>
        <w:spacing w:after="0" w:line="268"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is deemed, for accounting purposes only, to be the owner of the entire leased Facility, including the building shell, during the construction period because of the Company’s expected level of direct financial and operational involvement in the substantial tenant improvements, including structural improvements, required to build out the Facility. As a result, the Company capitalized approximately $26.3 million as a build-to-suit asset within property, plant and equipment, net and recognized a corresponding build-to-suit lease financing obligation as a liability on its condensed consolidated balance sheets equal to the fair value of the existing building shell using comparable market prices per square foot for similar space for public real estate transactions in the surrounding area at commencement of construction in April 2020. Additionally, construction costs incurred as part of the build-out and tenant improvements are also capitalized within property, plant and equipment, net. Costs of approximately $4.6 million have been capitalized during the three months ended March 31, 2022, related to both equipment purchases and the build-out of the leased Facility, as well as capitalization of interest and certain payroll and payroll-related costs. The Company will assess and determine if the build-to-suit asset and corresponding liability should be de-recognized upon completion of construction.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Strategic Reprioritization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7" w:name="page18"/>
    <w:bookmarkEnd w:id="17"/>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March 2022, the Company implemented changes to the Company’s organizational structure as well as a broader operational cost reduction plan to enable the Company to focus on specific clinical-stage programs for GAN and Rett syndrome. The Company will conduct small proof-of-concept studies in CLN1 disease and SLC13A5 deficiency. Development of the CLN7 program will continue in collaboration with existing partners with future clinical development to focus on the first-generation construct. All other research and development activities have been paused to increase operational efficiency.</w:t>
      </w:r>
    </w:p>
    <w:p>
      <w:pPr>
        <w:spacing w:after="0" w:line="332"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prioritization of programs, the Company reduced headcount by approximately 35% across all functions. In accordance with ASC 420, </w:t>
      </w:r>
      <w:r>
        <w:rPr>
          <w:rFonts w:ascii="Times New Roman" w:cs="Times New Roman" w:eastAsia="Times New Roman" w:hAnsi="Times New Roman"/>
          <w:sz w:val="18"/>
          <w:szCs w:val="18"/>
          <w:i w:val="1"/>
          <w:iCs w:val="1"/>
          <w:color w:val="auto"/>
        </w:rPr>
        <w:t>Exit and Disposal Activities,</w:t>
      </w:r>
      <w:r>
        <w:rPr>
          <w:rFonts w:ascii="Times New Roman" w:cs="Times New Roman" w:eastAsia="Times New Roman" w:hAnsi="Times New Roman"/>
          <w:sz w:val="18"/>
          <w:szCs w:val="18"/>
          <w:color w:val="auto"/>
        </w:rPr>
        <w:t xml:space="preserve"> the Company recorded one-time severance and termination-related costs of $2.6 million in the condensed consolidated statements of operations for the three months ended March 31, 2022, primarily within research and development expenses. The Company expects the payment of all accrued severance termination-related costs to be substantially complete by June 30, 2022.</w:t>
      </w:r>
    </w:p>
    <w:p>
      <w:pPr>
        <w:spacing w:after="0" w:line="315"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accrued severance activity recorded in connection with the reduction in workforce for the three months ended March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56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As of March 31, 2022</w:t>
            </w: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severance recorded</w:t>
            </w: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3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Severance paid</w:t>
            </w:r>
          </w:p>
        </w:tc>
        <w:tc>
          <w:tcPr>
            <w:tcW w:w="660" w:type="dxa"/>
            <w:vAlign w:val="bottom"/>
          </w:tcPr>
          <w:p>
            <w:pPr>
              <w:spacing w:after="0"/>
              <w:rPr>
                <w:sz w:val="19"/>
                <w:szCs w:val="19"/>
                <w:color w:val="auto"/>
              </w:rPr>
            </w:pPr>
          </w:p>
        </w:tc>
        <w:tc>
          <w:tcPr>
            <w:tcW w:w="3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70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severance balance</w:t>
            </w: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3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Retirement Plan</w:t>
      </w:r>
    </w:p>
    <w:p>
      <w:pPr>
        <w:spacing w:after="0" w:line="121"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July 2021, the Company adopted a 401(k) retirement savings plan that provides retirement benefits to all full-time employees. Eligible employees may contribute a percentage of their annual compensation, subject to Internal Revenue Service limitations. The Company contributed $0.4 million to the 401(k) retirement savings plan for the three months ended March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Sales Agreement</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April 2022, the Company issued 2,000,000 shares under the Sales Agreement and received gross proceeds of $12.0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2021 and the related Management’s Discussion and Analysis of Financial Condition and Results of Operations, included in our Annual Report on Form 10-K for the year ended December 31, 2021, or Annual Report, filed with the Securities and Exchange Commission, or the SEC, on March 31, 2022. Unless the context requires otherwise, references in this Quarterly Report on Form 10-Q to “we,” “us,” and “our” refer to Taysha Gene Therapies, Inc. together with its consolidated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our Annual Report. The forward-looking statements are applicable only as of the date on which they are made, and we do not assume any obligation to update any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35"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We are a patient-centric gene therapy company focused on developing and commercializing AAV-based gene therapies for the treatment of monogenic diseases of the central nervous system, or CNS,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gene therapy product candidates, with exclusive options to acquire several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In March 2022, we announced strategic pipeline prioritization initiatives focused on GAN and Rett syndrome. We will conduct small proof-of-concept studies in CLN1 disease and SLC13A5 deficiency. Development of the CLN7 program will continue in collaboration with existing partners with future clinical development to focus on the first-generation construct. All other research and development activities have been paused to increase operational efficiency.</w:t>
      </w:r>
    </w:p>
    <w:p>
      <w:pPr>
        <w:spacing w:after="0" w:line="8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April 2021, we acquired exclusive worldwide rights to TSHA-120, a clinical-stage, intrathecally dosed AAV9 gene therapy program for the treatment of giant axonal neuropathy, or GAN. A Phase 1/2 clinical trial of TSHA-120 is being conducted by the National Institutes of Health, or NIH, under an accepted investigational new drug application, or IND. We reported clinical safety and functional MFM32 data from this trial for the highest dose cohort of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in January 2022, where we saw continued clinically meaningful slowing of disease progression similar to that achieved with the lower dose cohorts, which we considered confirmatory of disease modification. For Rett syndrome, we submitted a Clinical Trial Application, or CTA, filing to Health Canada in November 2021 and announced initiation of clinical development of TSHA-102 under the approved CTA in March 2022. We recently completed a commercially representative GMP batch of TSHA-120 and release testing for this batch is currently underway. We expect to report preliminary clinical data for TSHA-102 in Rett syndrome by year-end 2022. We recently executed an exclusive option from UT Southwestern to license worldwide rights to a clinical-stage CLN7 program. The CLN7 program is currently in a Phase 1 clinical proof-of-concept trial run by UT Southwestern, and we reported preliminary clinical safety data for the first patient in history to be intrathecally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with the first-generation construct in December 2021. Development of the CLN7 program will continue in collaboration with existing partners with future clinical development to focus on the first-generation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construct. We will conduct small proof-of-concept studies in CLN1 disease and SLC13A5 deficiency that we believe can further validate our platform.</w:t>
      </w:r>
    </w:p>
    <w:p>
      <w:pPr>
        <w:spacing w:after="0" w:line="374"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clinical or preclinical development stage. We do not have any product candidates approved for sale and have not generated any revenue from product sales. We have funded our operations primarily through the sale of equity, raising an aggregate of $307.0 million of gross proceeds from our initial public offering and private placements of our convertible preferred stock. In addition, we drew down $30.0 million and $10.0 million in term loans on August 12, 2021 and December 29, 2021, respectively.</w:t>
      </w:r>
    </w:p>
    <w:p>
      <w:pPr>
        <w:spacing w:after="0" w:line="29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drew an additional $10.0 million term loan on December 29, 2021.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30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$50.1 million for the three months ended March 31, 2022 and $32.0 million for the three months ended March 31, 2021. As of March 31, 2022, we had an accumulated deficit of $285.8 million. We expect to continue to incur significant expenses and operating losses for the foreseeable future. We anticipate that our expenses will increase significantly in connection with our ongoing activities, as we:</w:t>
      </w:r>
    </w:p>
    <w:p>
      <w:pPr>
        <w:spacing w:after="0" w:line="72" w:lineRule="exact"/>
        <w:rPr>
          <w:sz w:val="20"/>
          <w:szCs w:val="20"/>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 and preclinical and discovery programs;</w:t>
      </w:r>
    </w:p>
    <w:p>
      <w:pPr>
        <w:spacing w:after="0" w:line="14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clinical trials of TSHA-102, TSHA-118, TSHA-120 and TSHA-121, as well as initiate and complete additional clinical trials of TSHA-105 and any other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our gene therapy product candidate pipeline and next-generation platforms;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 or cGMP material for clinical trials or potential commercial sales;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validate a commercial-scale cGMP manufacturing facility;</w:t>
      </w:r>
    </w:p>
    <w:p>
      <w:pPr>
        <w:spacing w:after="0" w:line="144" w:lineRule="exact"/>
        <w:rPr>
          <w:rFonts w:ascii="Times New Roman" w:cs="Times New Roman" w:eastAsia="Times New Roman" w:hAnsi="Times New Roman"/>
          <w:sz w:val="18"/>
          <w:szCs w:val="18"/>
          <w:color w:val="auto"/>
        </w:rPr>
      </w:pPr>
    </w:p>
    <w:p>
      <w:pPr>
        <w:ind w:left="1120" w:right="6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manufacturing quality control, regulatory, manufacturing and scientific and administrative personnel;</w:t>
      </w:r>
    </w:p>
    <w:p>
      <w:pPr>
        <w:spacing w:after="0" w:line="144" w:lineRule="exact"/>
        <w:rPr>
          <w:rFonts w:ascii="Times New Roman" w:cs="Times New Roman" w:eastAsia="Times New Roman" w:hAnsi="Times New Roman"/>
          <w:sz w:val="18"/>
          <w:szCs w:val="18"/>
          <w:color w:val="auto"/>
        </w:rPr>
      </w:pPr>
    </w:p>
    <w:p>
      <w:pPr>
        <w:ind w:left="1120" w:hanging="370"/>
        <w:spacing w:after="0" w:line="282" w:lineRule="auto"/>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are advancing a deep and sustainable product portfolio of gene therapy product candidates for monogenic diseases of the CNS in both rare and large patient populations, with exclusive options to acquire several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194310</wp:posOffset>
            </wp:positionV>
            <wp:extent cx="6172200" cy="15176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151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TSHA-120 for Giant Axonal Neuropathy (GAN)</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March 2021, we acquired the exclusive worldwide rights to a clinical-stage, intrathecally dosed AAV9 gene therapy program, now known as TSHA-120, for the treatment of giant axonal neuropathy, or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w:t>
      </w:r>
    </w:p>
    <w:p>
      <w:pPr>
        <w:spacing w:after="0" w:line="2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GAN is a rare autosomal recessive disease of the central and peripheral nervous systems caused by loss-of-function </w:t>
      </w:r>
      <w:r>
        <w:rPr>
          <w:rFonts w:ascii="Times New Roman" w:cs="Times New Roman" w:eastAsia="Times New Roman" w:hAnsi="Times New Roman"/>
          <w:sz w:val="18"/>
          <w:szCs w:val="18"/>
          <w:i w:val="1"/>
          <w:iCs w:val="1"/>
          <w:color w:val="auto"/>
        </w:rPr>
        <w:t>gigaxonin</w:t>
      </w:r>
      <w:r>
        <w:rPr>
          <w:rFonts w:ascii="Times New Roman" w:cs="Times New Roman" w:eastAsia="Times New Roman" w:hAnsi="Times New Roman"/>
          <w:sz w:val="18"/>
          <w:szCs w:val="18"/>
          <w:color w:val="auto"/>
        </w:rPr>
        <w:t xml:space="preserve"> gene mutations.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an estimated 5,000 affected GAN patients in addressable markets.</w:t>
      </w:r>
    </w:p>
    <w:p>
      <w:pPr>
        <w:spacing w:after="0" w:line="31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Symptoms and features of children with GAN usually develop around the age of five years and include an abnormal, wide based, unsteady gait, weakness and some sensory loss. There is often associated dull, tightly curled, coarse hair, giant axons seen on a nerve biopsy, and spinal cord atrophy and white matter abnormality seen on MRI. Symptoms progress and as the children grow older they develop progressive scoliosis and contractures, their weakness progresses to the point where they will need a wheelchair for mobility, respiratory muscle strength diminishes to the point where the child will need a ventilator (usually in the early to mid-teens) and the children often die during their late teens or early twenties, typically due to respiratory failure. There is an early- and late-onset phenotype associated with the disease, with shared physiology. The late-onset phenotype is often categorized as Charcot-Marie-Tooth Type 2, or CMT2, with a lack of tightly curled hair and CNS symptoms with relatively slow progression of disease. This phenotype represents up to 6% of all CMT2 diagnosis. In the late-onset population, patients have poor quality of life but the disease is not life-limiting. In early-onset disease, symptomatic treatments attempt to maximize physical development and minimize the rate of deterioration. Currently, there are no approved disease-modifying treatments available.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TSHA-120 is an AAV9 self-complementary viral vector encoding the full length human gigaxonin protein. The construct was invented by Dr. Steven Gray and is the first AAV9 gene therapy candidate to deliver a functional copy of the GAN gene under the control of a JeT promoter that drives ubiquitous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191770</wp:posOffset>
            </wp:positionV>
            <wp:extent cx="5426075" cy="1748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2607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for TSHA-120 for the treatment of GAN. In May 2022, we received orphan drug designation from the European Commission for TSHA-120 for the treatment of GAN.</w:t>
      </w:r>
    </w:p>
    <w:p>
      <w:pPr>
        <w:spacing w:after="0" w:line="27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There is an ongoing longitudinal prospective natural history study being led by the NIH, that has already identified and followed a number of patients with GAN for over five years with disease progression characterized by a number of clinical assessments. The GAN natural history study was initiated in 2013 and included 45 patients with GAN, aged 3 to 21 years. Imaging data from this study have demonstrated that there are distinctive increased T2 signal abnormalities within the cerebellar white matter surrounding the dentate nucleus of the cerebellum, which represent one of the earliest brain imaging findings in individuals with GAN. These findings precede the more widespread periventricular and deep white matter signal abnormalities associated with advanced disease. In addition, cortical and spinal cord atrophy appeared to correspond to more advanced disease severity and older age. Impaired pulmonary function in patients with GAN also was observed, with forced vital capacity correlating well with several functional outcomes such as the MFM32, a validated 32-item scale for motor function measurement developed for neuromuscular diseases. Nocturnal hypoventilation and sleep apnea progressed over time, with sleep apnea worsening as ambulatory function</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22" w:name="page23"/>
    <w:bookmarkEnd w:id="22"/>
    <w:p>
      <w:pPr>
        <w:ind w:right="540"/>
        <w:spacing w:after="0" w:line="282" w:lineRule="auto"/>
        <w:rPr>
          <w:sz w:val="20"/>
          <w:szCs w:val="20"/>
          <w:color w:val="auto"/>
        </w:rPr>
      </w:pPr>
      <w:r>
        <w:rPr>
          <w:rFonts w:ascii="Times New Roman" w:cs="Times New Roman" w:eastAsia="Times New Roman" w:hAnsi="Times New Roman"/>
          <w:sz w:val="18"/>
          <w:szCs w:val="18"/>
          <w:color w:val="auto"/>
        </w:rPr>
        <w:t>deteriorated. Total MFM32 score also correlated with ambulatory status, where independently ambulant individuals performed better and had higher MFM32 scores than the non-ambulant group, as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182880</wp:posOffset>
            </wp:positionV>
            <wp:extent cx="3068955" cy="3608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6895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Patients also reported significant autonomic dysfunction based on the COMPASS 31 self-assessment questionnaire. In addition, nerve conduction function demonstrated progressive sensorimotor polyneuropathy with age. As would be expected for a neurodegenerative disease, younger patients have higher baseline MFM32 scores. However, the rate of decline in the MFM32 scores demonstrated consistency across patients of all ages, with most demonstrating an average 8-point decline per year regardless of age and/or baseline MFM32 score, as shown in the natural history plot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194310</wp:posOffset>
            </wp:positionV>
            <wp:extent cx="3042920" cy="2459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4292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ind w:left="760"/>
        <w:spacing w:after="0"/>
        <w:rPr>
          <w:sz w:val="20"/>
          <w:szCs w:val="20"/>
          <w:color w:val="auto"/>
        </w:rPr>
      </w:pPr>
      <w:r>
        <w:rPr>
          <w:rFonts w:ascii="Times New Roman" w:cs="Times New Roman" w:eastAsia="Times New Roman" w:hAnsi="Times New Roman"/>
          <w:sz w:val="17"/>
          <w:szCs w:val="17"/>
          <w:color w:val="auto"/>
        </w:rPr>
        <w:t>A 4-point score change in the MFM32 is considered clinically meaningful, suggesting that patients with GAN lose significant function annually.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up to eight years of robust data from this study.</w:t>
      </w:r>
    </w:p>
    <w:p>
      <w:pPr>
        <w:spacing w:after="0" w:line="3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Preclinical Data</w:t>
      </w:r>
    </w:p>
    <w:p>
      <w:pPr>
        <w:spacing w:after="0" w:line="117" w:lineRule="exact"/>
        <w:rPr>
          <w:sz w:val="20"/>
          <w:szCs w:val="20"/>
          <w:color w:val="auto"/>
        </w:rPr>
      </w:pPr>
    </w:p>
    <w:p>
      <w:pPr>
        <w:jc w:val="both"/>
        <w:ind w:right="200" w:firstLine="749"/>
        <w:spacing w:after="0" w:line="267" w:lineRule="auto"/>
        <w:rPr>
          <w:sz w:val="20"/>
          <w:szCs w:val="20"/>
          <w:color w:val="auto"/>
        </w:rPr>
      </w:pPr>
      <w:r>
        <w:rPr>
          <w:rFonts w:ascii="Times New Roman" w:cs="Times New Roman" w:eastAsia="Times New Roman" w:hAnsi="Times New Roman"/>
          <w:sz w:val="18"/>
          <w:szCs w:val="18"/>
          <w:color w:val="auto"/>
        </w:rPr>
        <w:t xml:space="preserve">TSHA-120 performed well across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and demonstrated improved motor function and nerve pathology, and long-term safety across several animal models. Of note, improved dorsal root ganglia, or DRG, pathology was demonstrated in TSHA-120-treated GAN knockout mice. These preclinical results have been published in a number of peer-reviewed journals.</w:t>
      </w:r>
    </w:p>
    <w:p>
      <w:pPr>
        <w:spacing w:after="0" w:line="2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Additional preclinical data from a GAN knockout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demonstrated the clear difference in latency in treated versus untreated GAN rodents.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196850</wp:posOffset>
            </wp:positionV>
            <wp:extent cx="4329430" cy="2708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294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 result is considered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7" w:right="419" w:bottom="1440" w:gutter="0" w:footer="0" w:header="0"/>
        </w:sectPr>
      </w:pPr>
    </w:p>
    <w:bookmarkStart w:id="24" w:name="page25"/>
    <w:bookmarkEnd w:id="24"/>
    <w:p>
      <w:pPr>
        <w:ind w:firstLine="749"/>
        <w:spacing w:after="0" w:line="256" w:lineRule="auto"/>
        <w:rPr>
          <w:sz w:val="20"/>
          <w:szCs w:val="20"/>
          <w:color w:val="auto"/>
        </w:rPr>
      </w:pPr>
      <w:r>
        <w:rPr>
          <w:rFonts w:ascii="Times New Roman" w:cs="Times New Roman" w:eastAsia="Times New Roman" w:hAnsi="Times New Roman"/>
          <w:sz w:val="18"/>
          <w:szCs w:val="18"/>
          <w:color w:val="auto"/>
        </w:rPr>
        <w:t>With respect to DRG inflammation, a topic of considerable interest within the gene therapy arena, the DRG have a significantly abnormal histological appearance and function as a consequence of underlying disease pathophysiology. Treatment with TSHA-120 resulted in considerable improvements in the pathological appearance of the DRG in the GAN knockout mice. Shown below is tissue from a GAN knockout mouse model with numerous abnormal neuronal inclusions containing aggregates of damaged neurofilament in the DRG as indicated by the yellow arrows. On image C, tissue from the GAN knockout mice treated with an intrathecal (IT) injection of TSHA-120 had a notable improvement in the reduction of these neuronal inclusions in the DRG.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199390</wp:posOffset>
            </wp:positionV>
            <wp:extent cx="5666105" cy="2143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6610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80" w:firstLine="749"/>
        <w:spacing w:after="0" w:line="312" w:lineRule="auto"/>
        <w:rPr>
          <w:sz w:val="20"/>
          <w:szCs w:val="20"/>
          <w:color w:val="auto"/>
        </w:rPr>
      </w:pPr>
      <w:r>
        <w:rPr>
          <w:rFonts w:ascii="Times New Roman" w:cs="Times New Roman" w:eastAsia="Times New Roman" w:hAnsi="Times New Roman"/>
          <w:sz w:val="17"/>
          <w:szCs w:val="17"/>
          <w:color w:val="auto"/>
        </w:rPr>
        <w:t>When a quantitative approach to reduce inclusions in the DRG was applied, it was observed that TSHA-120 treated mice experienced a statistically significant reduction in the average number of neuronal inclusions versus the GAN knockout mice that received vehicle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168910</wp:posOffset>
            </wp:positionV>
            <wp:extent cx="3120390" cy="31375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2039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25" w:name="page26"/>
    <w:bookmarkEnd w:id="25"/>
    <w:p>
      <w:pPr>
        <w:ind w:left="760"/>
        <w:spacing w:after="0"/>
        <w:rPr>
          <w:sz w:val="20"/>
          <w:szCs w:val="20"/>
          <w:color w:val="auto"/>
        </w:rPr>
      </w:pPr>
      <w:r>
        <w:rPr>
          <w:rFonts w:ascii="Times New Roman" w:cs="Times New Roman" w:eastAsia="Times New Roman" w:hAnsi="Times New Roman"/>
          <w:sz w:val="18"/>
          <w:szCs w:val="18"/>
          <w:color w:val="auto"/>
        </w:rPr>
        <w:t>Additionally, TSHA-120 demonstrated improved pathology of the sciatic nerve in the GAN knockout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222885</wp:posOffset>
            </wp:positionV>
            <wp:extent cx="6172200" cy="3103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Results of Ongoing Phase 1/2 Clinical Trial</w:t>
      </w:r>
    </w:p>
    <w:p>
      <w:pPr>
        <w:spacing w:after="0" w:line="119" w:lineRule="exact"/>
        <w:rPr>
          <w:sz w:val="20"/>
          <w:szCs w:val="20"/>
          <w:color w:val="auto"/>
        </w:rPr>
      </w:pPr>
    </w:p>
    <w:p>
      <w:pPr>
        <w:ind w:right="20" w:firstLine="749"/>
        <w:spacing w:after="0" w:line="260" w:lineRule="auto"/>
        <w:rPr>
          <w:sz w:val="20"/>
          <w:szCs w:val="20"/>
          <w:color w:val="auto"/>
        </w:rPr>
      </w:pPr>
      <w:r>
        <w:rPr>
          <w:rFonts w:ascii="Times New Roman" w:cs="Times New Roman" w:eastAsia="Times New Roman" w:hAnsi="Times New Roman"/>
          <w:sz w:val="18"/>
          <w:szCs w:val="18"/>
          <w:color w:val="auto"/>
        </w:rPr>
        <w:t>A Phase 1/2 clinical trial of TSHA-120 is being conducted by the NIH under an accepted IND. The ongoing trial is a single-site, open-label, non-randomized dose-escalation trial, in which patients are intrathecally dosed with one of 4 dose levels of TSHA-120 – 3.5x10</w:t>
      </w:r>
      <w:r>
        <w:rPr>
          <w:rFonts w:ascii="Times New Roman" w:cs="Times New Roman" w:eastAsia="Times New Roman" w:hAnsi="Times New Roman"/>
          <w:sz w:val="15"/>
          <w:szCs w:val="15"/>
          <w:color w:val="auto"/>
        </w:rPr>
        <w:t>13</w:t>
      </w:r>
      <w:r>
        <w:rPr>
          <w:rFonts w:ascii="Times New Roman" w:cs="Times New Roman" w:eastAsia="Times New Roman" w:hAnsi="Times New Roman"/>
          <w:sz w:val="18"/>
          <w:szCs w:val="18"/>
          <w:color w:val="auto"/>
        </w:rPr>
        <w:t xml:space="preserve"> total vg, 1.2x10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1.8x10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or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The primary endpoint is to assess safety, with secondary endpoints measuring efficacy using pathologic, physiologic, functional, and clinical markers. To date, 14 patients have been intrathecally dosed and twelve patients have at least three years’ worth of long-term follow up data.</w:t>
      </w:r>
    </w:p>
    <w:p>
      <w:pPr>
        <w:spacing w:after="0" w:line="29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At 1-year post-gene transfer, a clinically meaningful and statistically significant slowing or halting of disease progression was seen with TSHA-120 at the highest dose of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(n=3). The change in the rate of decline in the MFM32 score improved by 5 points in the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cohort compared to an 8-point decline in natural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260350</wp:posOffset>
            </wp:positionV>
            <wp:extent cx="4577715" cy="2425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7771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Although the change in the MFM32 score was clinically meaningful, we might have expected a greater change in the MFM32 score compared to natural history in the first year but one patient in the high dose cohort was a delayed responder. At the 12-month follow-up visit, the patient had a 7-point decline in the MFM32 total score that was similar to the slope of the natural history curve as shown below. Notably, from Year 1 post gene transfer to Year 2, this patient’s change in the MFM32 score remained unchanged suggesting stabilization of disease at 2 years post-treatment. At that 2-year post treatment timepoint, there was a 9-point improvement in the patient’s MFM32 score compared to the estimated natural history decline of 16 points. The annualized estimate of natural history over time assumes the same rate of decline as in Year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199390</wp:posOffset>
            </wp:positionV>
            <wp:extent cx="4183380" cy="3780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83380"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An additional analysis was performed to examine the change in the rate of decline in the MFM32 score of all therapeutic doses combined (n=12). As shown below, the change in the rate of decline in the MFM32 score improved by 7 points by Year 1</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compared to the natural history decline in the MFM32 score of 8 points. This result was clinically meaningful and statistically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222885</wp:posOffset>
            </wp:positionV>
            <wp:extent cx="4509135" cy="258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09135"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 Bayesian analysis was conducted on the 1.2x10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1.8x10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and 3.5x10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dose cohorts at Year 1 to assess the probability of clinically meaningful slowing of disease progression as compared to natural history. This type of statistical analysis enables direct probability statements to be made and is both useful and accepted by regulatory agencies in interventional studies of rare diseases and small patient populations. As shown in the table below, for all therapeutic dose cohorts, there was nearly 100% probability of any slowing of disease and a 96.7% probability of clinically meaningful slowing of 50% or more following treatment with TSHA-120 compared to natural history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128270</wp:posOffset>
            </wp:positionV>
            <wp:extent cx="4697730" cy="1217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9773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There remained consistent improvement in TSHA-120’s effect over time on the mean change from baseline in the MFM32 score for all patients in the therapeutic dose cohorts compared to the estimated natural history decline over the years. By Year 3, as depicted below, there was a 10-point improvement in the mean change from baseline in MFM32 score for all patients in the therapeutic dose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397510</wp:posOffset>
            </wp:positionV>
            <wp:extent cx="5074920" cy="25628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7492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addition to the compelling three-year data, there was one patient at Year 5 whose MFM32 change from baseline improved by nearly 26-points in the 1.2x10</w:t>
      </w:r>
      <w:r>
        <w:rPr>
          <w:rFonts w:ascii="Times New Roman" w:cs="Times New Roman" w:eastAsia="Times New Roman" w:hAnsi="Times New Roman"/>
          <w:sz w:val="15"/>
          <w:szCs w:val="15"/>
          <w:color w:val="auto"/>
        </w:rPr>
        <w:t>14</w:t>
      </w:r>
      <w:r>
        <w:rPr>
          <w:rFonts w:ascii="Times New Roman" w:cs="Times New Roman" w:eastAsia="Times New Roman" w:hAnsi="Times New Roman"/>
          <w:sz w:val="18"/>
          <w:szCs w:val="18"/>
          <w:color w:val="auto"/>
        </w:rPr>
        <w:t xml:space="preserve"> total vg dose cohort compared to the estimated natural history decline of 40 points by this timepoint.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114300</wp:posOffset>
            </wp:positionV>
            <wp:extent cx="3642995" cy="3334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42995"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29" w:name="page30"/>
    <w:bookmarkEnd w:id="29"/>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Below is an additional analysis of the mean change from baseline in MFM32 score for the therapeutic dose cohorts compared to natural history at patients’ last visit. As shown, TSHA-120 demonstrated increasing improvement in the mean change in MFM32 score from baseline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320040</wp:posOffset>
            </wp:positionV>
            <wp:extent cx="5366385" cy="2649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6638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Secondary Endpoints</w:t>
      </w:r>
    </w:p>
    <w:p>
      <w:pPr>
        <w:spacing w:after="0" w:line="11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Below is pathology data from biopsies of the superficial radial sensory nerve in 5 out of 6 patient samples analyzed. The remaining patient samples are currently being analyzed. These biopsies confirmed that treatment with TSHA-120 stimulated active regeneration of axons. There was an increase in the number of regenerative clusters observed at Year 1 compared to baseline, indicating active regeneration of nerve fibers following TSHA-120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194310</wp:posOffset>
            </wp:positionV>
            <wp:extent cx="4440555" cy="2957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44055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ind w:firstLine="749"/>
        <w:spacing w:after="0" w:line="255" w:lineRule="auto"/>
        <w:rPr>
          <w:sz w:val="20"/>
          <w:szCs w:val="20"/>
          <w:color w:val="auto"/>
        </w:rPr>
      </w:pPr>
      <w:r>
        <w:rPr>
          <w:rFonts w:ascii="Times New Roman" w:cs="Times New Roman" w:eastAsia="Times New Roman" w:hAnsi="Times New Roman"/>
          <w:sz w:val="18"/>
          <w:szCs w:val="18"/>
          <w:color w:val="auto"/>
        </w:rPr>
        <w:t>Loss of vision has been frequently cited by patients and caregivers as a symptom they find particularly debilitating and would like to see improvement in following treatment. Patients were analyzed for visual acuity using a standard Logarithm of the Minimum Angle of Resolution, or LogMAR. An increase in LogMAR score represents a decrease in visual acuity. A LogMAR score of 0 means normal vision, approximately 0.3 reflects the need for eyeglasses, and a score value of 1.0 reflects blindness. Based on natural history, individuals with GAN experience a progressive loss in visual function as indicated by an increase in the LogMAR score. Ophthalmologic assessments following treatment with TSHA-120 demonstrated preservation of visual acuity over time compared to the loss of visual acuity observed in natural history. Stabilization of visual acuity was observed following treatment with TSHA-120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200025</wp:posOffset>
            </wp:positionV>
            <wp:extent cx="4371975" cy="27343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7197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thickness of the retinal nerve fiber layer or RNFL was also examined as an objective biomarker of visual system involvement and overall nervous system degeneration in GAN. Treatment with TSHA-120 resulted in stabilization of RNFL thickness and prevention of axonal nerve degeneration compared to diffuse thinning of RNFL observed in natural history as measured by optical coherence tomography, or OCT. Analysis by individual dose groups, as seen on the graph below, demonstrated relatively stable RNFL thickness which is in contrast to the natural history of GAN, where RNFL decreases. Overall, these data provide new evidence of TSHA-120’s ability to generate nerve fibers and preserve visual acuity.</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1433830</wp:posOffset>
            </wp:positionH>
            <wp:positionV relativeFrom="page">
              <wp:posOffset>431800</wp:posOffset>
            </wp:positionV>
            <wp:extent cx="4680585" cy="2888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468058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11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To date, there are 53 patient-years of clinical data to support TSHA-120’s favorable safety and tolerability profile. TSHA-120 has been well-tolerated at multiple doses with no signs of significant acute or subacute inflammation, no sudden sensory changes and no drug-related or persisting transaminitis. Adverse events related to immunosuppression or study procedures were similar to what has been seen with other gene therapies and transient in nature. There was no increase in incidence of adverse events with increased dose. Importantly, TSHA-120 was safely dosed in the presence of neutralizing antibodies as a result of the combination of route of administration, dosing and immunosuppression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196850</wp:posOffset>
            </wp:positionV>
            <wp:extent cx="3642995" cy="2468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4299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Currently in the GAN program, we have up to six years of longitudinal data in individual patients and collectively 53-patient years of clinical safety and efficacy data from our ongoing clinical study. Treatment with TSHA-120 was well-tolerated with no significant safety issues. There was no increase in incidence of adverse events with increased dose, no dose-limiting toxicity, no signs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2" w:name="page33"/>
    <w:bookmarkEnd w:id="32"/>
    <w:p>
      <w:pPr>
        <w:ind w:right="480"/>
        <w:spacing w:after="0" w:line="282" w:lineRule="auto"/>
        <w:rPr>
          <w:sz w:val="20"/>
          <w:szCs w:val="20"/>
          <w:color w:val="auto"/>
        </w:rPr>
      </w:pPr>
      <w:r>
        <w:rPr>
          <w:rFonts w:ascii="Times New Roman" w:cs="Times New Roman" w:eastAsia="Times New Roman" w:hAnsi="Times New Roman"/>
          <w:sz w:val="18"/>
          <w:szCs w:val="18"/>
          <w:color w:val="auto"/>
        </w:rPr>
        <w:t>of acute or subacute inflammation, no sudden sensory changes and no drug-related or persistent elevation of transaminases. Adverse events related to immunosuppression or study procedures were similar to what was seen with other gene therapies and transient in nature.</w:t>
      </w:r>
    </w:p>
    <w:p>
      <w:pPr>
        <w:spacing w:after="0" w:line="27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In September 2021, we submitted a request for a Scientific Advice meeting with an ex-US regulatory agency for TSHA-120 and had a meeting in January 2022. Additional discussions with other Health Authorities are planned and regulatory feedback is anticipated mid-2022.</w:t>
      </w:r>
    </w:p>
    <w:p>
      <w:pPr>
        <w:spacing w:after="0" w:line="270"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finalized plans for commercial grade material and initiated development of the comparability protocol to support regulatory submissions. We recently completed a commercially representative GMP batch of TSHA-120 and release testing for this batch is currently underway. We anticipate completion of a validation lot by the third quarter of 2022. In addition, we expect to hold discussions with major regulatory agencies focused on the registration pathway for TSHA-120. We will continue our institutional readiness activities, patient identification and maximizing patient access. Lastly, we anticipate several publications of these data by the NIH in collaboration with Taysha.</w:t>
      </w:r>
    </w:p>
    <w:p>
      <w:pPr>
        <w:spacing w:after="0" w:line="2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TSHA-102 for Rett Syndrome</w:t>
      </w:r>
    </w:p>
    <w:p>
      <w:pPr>
        <w:spacing w:after="0" w:line="11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TSHA-102, a neurodevelopmental disorder product candidate, is being developed for the treatment of Rett syndrome, one of the most common genetic causes of severe intellectual disability, characterized by rapid developmental regression and in many cases caused by heterozygous loss of function mutations in MECP2, a gene essential for neuronal and synaptic function in the brain. We designed TSHA-102 to prevent gene overexpression-related toxicity by inserting microRNA, or miRNA target binding sites into the 3’ untranslated region of viral genomes. This overexpression of MECP2 is seen in the clinic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 Currently, there are no approved therapies for the treatment of Rett syndrome, which affects more than 350,000 patients worldwide, according to the Rett Syndrome Research Trust.</w:t>
      </w:r>
    </w:p>
    <w:p>
      <w:pPr>
        <w:spacing w:after="0" w:line="294"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May 2021, preclinical data from the ongoing natural history study for TSHA-102 were published online in </w:t>
      </w:r>
      <w:r>
        <w:rPr>
          <w:rFonts w:ascii="Times New Roman" w:cs="Times New Roman" w:eastAsia="Times New Roman" w:hAnsi="Times New Roman"/>
          <w:sz w:val="18"/>
          <w:szCs w:val="18"/>
          <w:i w:val="1"/>
          <w:iCs w:val="1"/>
          <w:color w:val="auto"/>
        </w:rPr>
        <w:t>Brain</w:t>
      </w:r>
      <w:r>
        <w:rPr>
          <w:rFonts w:ascii="Times New Roman" w:cs="Times New Roman" w:eastAsia="Times New Roman" w:hAnsi="Times New Roman"/>
          <w:sz w:val="18"/>
          <w:szCs w:val="18"/>
          <w:color w:val="auto"/>
        </w:rPr>
        <w:t>, a highly esteemed neurological science peer-reviewed journal. The preclinical study was conducted by the UT Southwestern Medical Center laboratory of Sarah Sinnett, Ph.D., and evaluated the safety and efficacy of regulated miniMECP2 gene transfer, TSHA-102 (AAV9/miniMECP2-miRARE), via IT administration in adolescent mice between four and five weeks of age. TSHA-102 was compared to unregulated full length MECP2 (AAV9/MECP2) and unregulated miniMECP2 (AAV9/miniMECP2).</w:t>
      </w:r>
    </w:p>
    <w:p>
      <w:pPr>
        <w:spacing w:after="0" w:line="293"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TSHA-102 extended knockout survival by 56% via IT delivery. In contrast, the unregulated miniMECP2 gene transfer failed to significantly extend knockout survival at either dose tested. Additionally, the unregulated full-length MECP2 construct did not demonstrate a significant extension in survival and was associated with an unacceptable toxicity profile in wild type mice.</w:t>
      </w:r>
    </w:p>
    <w:p>
      <w:pPr>
        <w:spacing w:after="0" w:line="28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addition to survival, behavioral side effects were explored. Mice were subjected to phenotypic scoring and a battery of tests including gait, hindlimb clasping, tremor and others to comprise an aggregate behavioral score. miRARE attenuated 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 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spacing w:after="0" w:line="297"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miRARE-mediated genotype-dependent gene regulation was demonstrated by analyzing tissue sections from wild type and knockout mice treated with AAV9 vectors given intrathecally. When knockout mice were injected with a vector expressing the mini-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680"/>
        <w:spacing w:after="0" w:line="282" w:lineRule="auto"/>
        <w:rPr>
          <w:sz w:val="20"/>
          <w:szCs w:val="20"/>
          <w:color w:val="auto"/>
        </w:rPr>
      </w:pPr>
      <w:r>
        <w:rPr>
          <w:rFonts w:ascii="Times New Roman" w:cs="Times New Roman" w:eastAsia="Times New Roman" w:hAnsi="Times New Roman"/>
          <w:sz w:val="18"/>
          <w:szCs w:val="18"/>
          <w:color w:val="auto"/>
        </w:rPr>
        <w:t>MECP2 transgene with and without the miRARE element, miRARE reduced overall miniMECP2 transgene expression compared to unregulated miniMECP2 in wild type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182880</wp:posOffset>
            </wp:positionV>
            <wp:extent cx="5434965" cy="27946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3496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TSHA-102 demonstrated regulated expression in different regions of the brain. As shown in the graph and photos below, in the pons and midbrain, miRARE inhibited mean MECP2 gene expression in a genotype-dependent manner as indicated by significantly fewer myc(+) cells observed in wild type mice compared to knockout mice (p&lt;0.05), thereby demonstrating that TSHA-102 achieved MECP2 expression levels similar to normal physiological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194310</wp:posOffset>
            </wp:positionV>
            <wp:extent cx="4663440" cy="28632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6344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1382395</wp:posOffset>
            </wp:positionH>
            <wp:positionV relativeFrom="page">
              <wp:posOffset>637540</wp:posOffset>
            </wp:positionV>
            <wp:extent cx="4783455" cy="2314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478345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preclinical animal models, intrathecal myc-tagged TSHA-102 was not associated with early death and did not cause adverse behavioral side effects in wild type mice demonstrating appropriate downregulation of miniMECP2 protein expression as compared to unregulated MECP2 gene therapy constructs. In addition, preclinical data demonstrated that miRARE reduced overall expression of miniMECP2 transgene expression and regulated genotype-dependent myc-tagged miniMECP2 expression across different brain regions on a cell-by-cell basis and improved the safety of TSHA-102 without compromising efficacy in juvenile mice. Pharmacologic activity of TSHA-102 following IT administration was assessed in the MECP2 knockout mouse model of Rett syndrome across three dose levels and three age groups (n=252). A one-time IT injection of TSHA-102 significantly increased survival at all dose levels, with the mid to high doses improving survival across all age groups compared to vehicle-treated controls. Treatment with TSHA-102 significantly improved body weight, motor function and respiratory assessments in MECP2 knockout mice. An additional study in neonatal mice is ongoing, and preliminary data suggest normalization of survival. Finally, An IND/CTA-enabling 6-month GLP toxicology study (n=24) examined the biodistribution, toxicological effects and mechanism of action of TSHA-102 when intrathecally administered to NHPs across three dose levels. Biodistribution, as reflected by DNA copy number, was observed in multiple areas of the brain, sections of spinal cord and the dorsal root ganglion (DRG). Importantly, mRNA levels across multiple tissues were low, indicating miRARE regulation is minimizing transgene expression from the construct in the presence of endogenous MECP2 as expected, despite the high levels of DNA that were delivered. No toxicity from transgene overexpression was observed, confirmed by functional and histopathologic evaluations demonstrating no detrimental change in neurobehavioral assessments and no adverse tissue findings on necropsy.</w:t>
      </w:r>
    </w:p>
    <w:p>
      <w:pPr>
        <w:spacing w:after="0" w:line="304"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In May 2022 at the International Rett Syndrome Foundation (IRSF) meeting, there were two oral presentations titled “Safety and Biodistribution Assessment in Non-Human Primates (NHPs) of a miniMeCP2 AAV9 Vector for Gene Replacement Therapy of Rett Syndrome” and “Rett Syndrome in Adulthood: The Caregiver Perspective.” At the ASCEND National Summit, there was one oral presentation titled “Putting Patients at the Center.”</w:t>
      </w:r>
    </w:p>
    <w:p>
      <w:pPr>
        <w:spacing w:after="0" w:line="284"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At the upcoming 25th Annual Meeting of the American Society of Gene &amp; Cell Therapy (ASGCT) meeting in May 2022, the following oral and poster presentations and symposium will occur: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431800</wp:posOffset>
            </wp:positionV>
            <wp:extent cx="5349240" cy="6772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77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TSHA-102 for the treatment of Rett syndrome.</w:t>
      </w:r>
    </w:p>
    <w:p>
      <w:pPr>
        <w:spacing w:after="0" w:line="27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submitted a CTA for TSHA-102 in November 2021 and announced initiation of clinical development under a CTA approved by Health Canada in March 2022. We are advancing TSHA-102 in the REVEAL Phase 1/2 clinical trial which is an open-</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6" w:name="page37"/>
    <w:bookmarkEnd w:id="36"/>
    <w:p>
      <w:pPr>
        <w:ind w:right="60"/>
        <w:spacing w:after="0" w:line="256" w:lineRule="auto"/>
        <w:rPr>
          <w:sz w:val="20"/>
          <w:szCs w:val="20"/>
          <w:color w:val="auto"/>
        </w:rPr>
      </w:pPr>
      <w:r>
        <w:rPr>
          <w:rFonts w:ascii="Times New Roman" w:cs="Times New Roman" w:eastAsia="Times New Roman" w:hAnsi="Times New Roman"/>
          <w:sz w:val="18"/>
          <w:szCs w:val="18"/>
          <w:color w:val="auto"/>
        </w:rPr>
        <w:t>label, dose escalation, randomized, multicenter study that will examine the safety and efficacy of TSHA-102 in adult female patients with Rett syndrome. Up to 18 patients will be enrolled. In the first cohort, a single 5E14 total vg dose of TSHA-102 will be given intrathecally. The second cohort will be given a 1E15 total vg dose of TSHA-102. Key assessments will include Rett-specific and global assessments, quality of life, biomarkers, and neurophysiology and imaging assessments. Sainte-Justine Mother and Child University Hospital Center in Montreal, Quebec, Canada has been selected as the initial clinical trial site under the direction of Dr. Elsa Rossignol, Assistant Professor Neuroscience and Pediatrics, and Principal Investigator. We expect to report preliminary clinical data for TSHA-102 in Rett syndrome by year-end 2022.</w:t>
      </w:r>
    </w:p>
    <w:p>
      <w:pPr>
        <w:spacing w:after="0" w:line="3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TSHA-121 for CLN7 Disease</w:t>
      </w:r>
    </w:p>
    <w:p>
      <w:pPr>
        <w:spacing w:after="0" w:line="119" w:lineRule="exact"/>
        <w:rPr>
          <w:sz w:val="20"/>
          <w:szCs w:val="20"/>
          <w:color w:val="auto"/>
        </w:rPr>
      </w:pPr>
    </w:p>
    <w:p>
      <w:pPr>
        <w:ind w:right="300" w:firstLine="749"/>
        <w:spacing w:after="0" w:line="255" w:lineRule="auto"/>
        <w:rPr>
          <w:sz w:val="20"/>
          <w:szCs w:val="20"/>
          <w:color w:val="auto"/>
        </w:rPr>
      </w:pPr>
      <w:r>
        <w:rPr>
          <w:rFonts w:ascii="Times New Roman" w:cs="Times New Roman" w:eastAsia="Times New Roman" w:hAnsi="Times New Roman"/>
          <w:sz w:val="18"/>
          <w:szCs w:val="18"/>
          <w:color w:val="auto"/>
        </w:rPr>
        <w:t>The first-generation construct for the CLN7 program was developed in the laboratory of Steven Gray, Ph.D., Associate Professor at UT Southwestern Medical Center and our Chief Scientific Advisor with financial support from Mila’s Miracle and Batten Hope, the leading CLN7 patient advocacy groups. We provided a grant to Batten Hope to support patient awareness, disease education and newborn screening initiatives. We recently executed an exclusive option from UT Southwestern to license worldwide rights to a clinical-stage CLN7 program. The CLN7 program is currently in a Phase 1 clinical proof-of-concept trial run by UT Southwestern, and we reported preliminary clinical safety data for the first patient in history to be intrathecally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with the first-generation construct in December 2021. Development of the CLN7 program will continue in collaboration with existing partners with future clinical development to focus on the first-generation construct.</w:t>
      </w:r>
    </w:p>
    <w:p>
      <w:pPr>
        <w:spacing w:after="0" w:line="297"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 xml:space="preserve">CLN7 disease is a rare, fatal and rapidly progressive neurodegenerative disease that is a form of Batten disease. CLN7 is caused by autosomal recessive mutations in the MFSD8 gene that results in lysosomal dysfunction. Disease onset occurs around two to five years of age, with death often ensuing in young adolescence. Patients experience gradual nerve cell loss in certain parts of the brain and typically present with seizures, vision loss, speech impairment and mental and motor regression. Currently, there are no approved therapies to treat CLN7 disease, which impacts an estimated 4,000 patients globally. Preclinical data in rodents supported advancement of the first-generation construct into a Phase 1 clinical proof-of-concept study in patients with CLN7 disease.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study, IT administration of the first-generation construct to MFSD8 knockout mice with high or low doses resulted in clear age and dose effects with early intervention and high dose achieving the best therapeutic benefits. IT high dose of the first-generation construct in younger knockout mice resulted in: 1) widespread MFSD8 mRNA expression in all tissues assessed; 2) nearly complete normalization of impaired open field and rotarod performance at 6 and 9 months post injection; 3) more than doubled median life expectancy (16.82 months versus 7.77 months in untreated knockout mice); and 4) maintenance of healthy body weight for a prolonged period of time. Toxicology studies in wild type rodents demonstrated safety and tolerability of IT administration of the first-generation construct.</w:t>
      </w:r>
    </w:p>
    <w:p>
      <w:pPr>
        <w:spacing w:after="0" w:line="300"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Clinical safety data presented at WORLDSymposium in February 2022 for the first-generation construct from the ongoing clinical trial following IT administration further demonstrated that the first-generation construct was well-tolerated at multiple doses including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which is the highest dose administered in humans ever for a gene therapy product. No adverse immune responses were noted, including no evidence of dorsal root ganglion toxicity or brain inflammation across all subjects. Moreover, stabilization in sural nerve conduction supported the absence of dorsal root ganglia inflammation. The ongoing trial includes three patients dosed to date, with two patients treated at the highest dose of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Complete blood counts revealed no signs of bone marrow suppression or clinically significant bone marrow reactivity, and CSF analysis revealed no signs of pleocytosis. A fourth patient was recently dosed at 1.0x10</w:t>
      </w:r>
      <w:r>
        <w:rPr>
          <w:rFonts w:ascii="Times New Roman" w:cs="Times New Roman" w:eastAsia="Times New Roman" w:hAnsi="Times New Roman"/>
          <w:sz w:val="15"/>
          <w:szCs w:val="15"/>
          <w:color w:val="auto"/>
        </w:rPr>
        <w:t>15</w:t>
      </w:r>
      <w:r>
        <w:rPr>
          <w:rFonts w:ascii="Times New Roman" w:cs="Times New Roman" w:eastAsia="Times New Roman" w:hAnsi="Times New Roman"/>
          <w:sz w:val="18"/>
          <w:szCs w:val="18"/>
          <w:color w:val="auto"/>
        </w:rPr>
        <w:t xml:space="preserve"> total vg in March 2022.</w:t>
      </w:r>
    </w:p>
    <w:p>
      <w:pPr>
        <w:spacing w:after="0" w:line="288" w:lineRule="exact"/>
        <w:rPr>
          <w:sz w:val="20"/>
          <w:szCs w:val="20"/>
          <w:color w:val="auto"/>
        </w:rPr>
      </w:pPr>
    </w:p>
    <w:p>
      <w:pPr>
        <w:ind w:left="760"/>
        <w:spacing w:after="0"/>
        <w:rPr>
          <w:sz w:val="20"/>
          <w:szCs w:val="20"/>
          <w:color w:val="auto"/>
        </w:rPr>
      </w:pPr>
      <w:r>
        <w:rPr>
          <w:rFonts w:ascii="Calibri" w:cs="Calibri" w:eastAsia="Calibri" w:hAnsi="Calibri"/>
          <w:sz w:val="18"/>
          <w:szCs w:val="18"/>
          <w:i w:val="1"/>
          <w:iCs w:val="1"/>
          <w:color w:val="auto"/>
        </w:rPr>
        <w:t>TSHA-118 for CLN1 Disease</w:t>
      </w:r>
    </w:p>
    <w:p>
      <w:pPr>
        <w:spacing w:after="0" w:line="11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1,000 patients in the United States and European Union. CLN1 disease is caused by loss-of-function mutations in the CLN1 gene that encodes the enzyme palmitoyl-protein thioesterase-1, or PPT1, a small glycoprotein involved in the degradation of certain lipid-modified proteins. Loss of function mutations in the CLN1 gene causes accumulation of these lipid-modified proteins in cells, eventually leading to aggregation, neuronal cellular dysfunction and ultimately neuronal cell death.</w:t>
      </w:r>
    </w:p>
    <w:p>
      <w:pPr>
        <w:spacing w:after="0" w:line="295"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ind w:right="260"/>
        <w:spacing w:after="0" w:line="282" w:lineRule="auto"/>
        <w:rPr>
          <w:sz w:val="20"/>
          <w:szCs w:val="20"/>
          <w:color w:val="auto"/>
        </w:rPr>
      </w:pPr>
      <w:r>
        <w:rPr>
          <w:rFonts w:ascii="Times New Roman" w:cs="Times New Roman" w:eastAsia="Times New Roman" w:hAnsi="Times New Roman"/>
          <w:sz w:val="18"/>
          <w:szCs w:val="18"/>
          <w:color w:val="auto"/>
        </w:rPr>
        <w:t>Approximately 60% of the children diagnosed with CLN1 disease in the United States present with early-onset infantile forms, with the remaining 40% experiencing later-onset childhood forms.</w:t>
      </w:r>
    </w:p>
    <w:p>
      <w:pPr>
        <w:spacing w:after="0" w:line="27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28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the introduction of a functional </w:t>
      </w:r>
      <w:r>
        <w:rPr>
          <w:rFonts w:ascii="Times New Roman" w:cs="Times New Roman" w:eastAsia="Times New Roman" w:hAnsi="Times New Roman"/>
          <w:sz w:val="18"/>
          <w:szCs w:val="18"/>
          <w:i w:val="1"/>
          <w:iCs w:val="1"/>
          <w:color w:val="auto"/>
        </w:rPr>
        <w:t>CLN1</w:t>
      </w:r>
      <w:r>
        <w:rPr>
          <w:rFonts w:ascii="Times New Roman" w:cs="Times New Roman" w:eastAsia="Times New Roman" w:hAnsi="Times New Roman"/>
          <w:sz w:val="18"/>
          <w:szCs w:val="18"/>
          <w:color w:val="auto"/>
        </w:rPr>
        <w:t xml:space="preserve"> gene using an AAV9 vector delivered intrathecally to the CNS offers the potential of a disease-modifying therapeutic approach for this disease. TSHA-118 is a self-complementary AAV9 viral vector that expresses human codon-optimized CLN1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spacing w:after="0" w:line="293"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TSHA-118 has been granted orphan drug designation, rare pediatric disease designation and fast track designation from the FDA and orphan drug designation from the European Medicines Agency for the treatment of CLN1 disease.</w:t>
      </w:r>
    </w:p>
    <w:p>
      <w:pPr>
        <w:spacing w:after="0" w:line="27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There is currently an open IND for the CLN1 program. We submitted a CTA filing for TSHA-118 which was approved by Health Canada in 2021 and have initiated clinical development.</w:t>
      </w:r>
    </w:p>
    <w:p>
      <w:pPr>
        <w:spacing w:after="0" w:line="3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TSHA-105 for SLC13A5 Deficiency</w:t>
      </w:r>
    </w:p>
    <w:p>
      <w:pPr>
        <w:spacing w:after="0" w:line="11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TSHA-105 for the treatment of SLC13A5 deficiency, a rare autosomal recessive epileptic encephalopathy characterized by the onset of seizures within the first few days of life. SLC13A5 deficiency is caused by bi-allelic loss-of function mutations in the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 Diminished NaCT function leads to loss of neuronal uptake of citrate and other metabolites such as succinate that are critical to brain energy metabolism and function. Affected children have impairments in gross motor function and speech production with relative preservation of fine motor skills and receptive speech. Currently, there are no approved therapies for SLC13A5 deficiency, and treatment is largely to address symptoms. The estimated prevalence of SLC13A5 deficiency is 1,900 patients in the United States and European Union.</w:t>
      </w:r>
    </w:p>
    <w:p>
      <w:pPr>
        <w:spacing w:after="0" w:line="297"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 xml:space="preserve">We are developing TSHA-105 as a gene replacement therapy for SLC13A5 deficiency. TSHA-105 is constructed from a codon-optimized human </w:t>
      </w:r>
      <w:r>
        <w:rPr>
          <w:rFonts w:ascii="Times New Roman" w:cs="Times New Roman" w:eastAsia="Times New Roman" w:hAnsi="Times New Roman"/>
          <w:sz w:val="18"/>
          <w:szCs w:val="18"/>
          <w:i w:val="1"/>
          <w:iCs w:val="1"/>
          <w:color w:val="auto"/>
        </w:rPr>
        <w:t>SLC13A5</w:t>
      </w:r>
      <w:r>
        <w:rPr>
          <w:rFonts w:ascii="Times New Roman" w:cs="Times New Roman" w:eastAsia="Times New Roman" w:hAnsi="Times New Roman"/>
          <w:sz w:val="18"/>
          <w:szCs w:val="18"/>
          <w:color w:val="auto"/>
        </w:rPr>
        <w:t xml:space="preserve"> gene packaged in a self-complementary AAV9 capsid.</w:t>
      </w:r>
    </w:p>
    <w:p>
      <w:pPr>
        <w:spacing w:after="0" w:line="270"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received orphan drug designation and rare pediatric disease designation from the FDA and orphan drug designation from the European Commission for TSHA-105 for the treatment of epilepsy caused by caused by SLC13A5 deficiency. We expect to initiate clinical development on TSHA-105 in SLC13A5 deficiency.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University of Texas Southwestern Medical Center</w:t>
      </w:r>
    </w:p>
    <w:p>
      <w:pPr>
        <w:spacing w:after="0" w:line="121"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In November 2019, we entered into a research, collaboration and license agreement, or the UT Southwestern Agreement, with The Board of Regents of the University of Texas System on behalf of UT Southwestern, as amended in April 2020.</w:t>
      </w:r>
    </w:p>
    <w:p>
      <w:pPr>
        <w:spacing w:after="0" w:line="27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38" w:name="page39"/>
    <w:bookmarkEnd w:id="38"/>
    <w:p>
      <w:pPr>
        <w:ind w:right="60" w:firstLine="749"/>
        <w:spacing w:after="0" w:line="312" w:lineRule="auto"/>
        <w:rPr>
          <w:sz w:val="20"/>
          <w:szCs w:val="20"/>
          <w:color w:val="auto"/>
        </w:rPr>
      </w:pPr>
      <w:r>
        <w:rPr>
          <w:rFonts w:ascii="Times New Roman" w:cs="Times New Roman" w:eastAsia="Times New Roman" w:hAnsi="Times New Roman"/>
          <w:sz w:val="17"/>
          <w:szCs w:val="17"/>
          <w:color w:val="auto"/>
        </w:rPr>
        <w:t>In connection with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4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UT Southwestern Agreement expires on a country-by-country and licensed product-by-licensed product basis upon the expiration of the last valid claim of a licensed patent in such country for such licensed product. After the initial research term, we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Queen’s University</w:t>
      </w:r>
    </w:p>
    <w:p>
      <w:pPr>
        <w:spacing w:after="0" w:line="121"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a license agreement, or the Queen’s University Agreement with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2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connection with the Queen’s University Agreement, we paid Queen’s University a one-time fee of $3.0 million as an upfront fee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$0.2 million to reimburse Queen’s University for certain plasmid production costs. We are obligated to pay Queen’s University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in the aggregate upon achievement of certain regulatory milestones and up to $10.0 million in the aggregate upon achievement of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commercial milestones, a low single digit royalty on net sales of licensed products, subject to certain customary reductions, and a percentage of non-royalty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sublicensing revenue ranging in the low double digits. Royalties are payable on a licensed product-by-licensed product basis and country-by-country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expiration of the last valid claim of a licensed patent covering such licensed product in such country and the expiration of any regulatory exclusivity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such licensed product in such country. Additionally, we are obligated to pay Queen’s University a low double-digit portion of any amounts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in connection with the sale of a priority review voucher related to a licensed product, not to exceed a low eight-figure amount.</w:t>
      </w:r>
    </w:p>
    <w:p>
      <w:pPr>
        <w:spacing w:after="0" w:line="315"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In connection with a separate research grant agreement with Queen’s University, we reimbursed Queen’s University for certain manufacturing production costs totaling $3.8 million in fiscal year 2020. No additional milestone payments were made in connection with the Queen’s University Agreement during the three months ended March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(CLN1 Disease)</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291"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29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December 2021 the Company’s CTA filing for TSHA-118 for the treatment of CLN1 disease was approved by Health Canada and therefore triggered a regulatory milestone payment in connection with the Abeona CLN1 Agreement, and therefore we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9" w:name="page40"/>
    <w:bookmarkEnd w:id="39"/>
    <w:p>
      <w:pPr>
        <w:ind w:right="20"/>
        <w:spacing w:after="0" w:line="266" w:lineRule="auto"/>
        <w:rPr>
          <w:sz w:val="20"/>
          <w:szCs w:val="20"/>
          <w:color w:val="auto"/>
        </w:rPr>
      </w:pPr>
      <w:r>
        <w:rPr>
          <w:rFonts w:ascii="Times New Roman" w:cs="Times New Roman" w:eastAsia="Times New Roman" w:hAnsi="Times New Roman"/>
          <w:sz w:val="18"/>
          <w:szCs w:val="18"/>
          <w:color w:val="auto"/>
        </w:rPr>
        <w:t>recorded $3.0 million within research and development expenses in the consolidated statements of operations for the year ended December 31, 2021. The milestone fee was paid in January 2022 and has been classified as an investing outflow in the condensed consolidated statements of cash flows for the three months ended March 31, 2022. No additional milestone payments were made or triggered during the three months ended March 31, 2022.</w:t>
      </w:r>
    </w:p>
    <w:p>
      <w:pPr>
        <w:spacing w:after="0" w:line="284"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Abeona (Rett Syndrome)</w:t>
      </w:r>
    </w:p>
    <w:p>
      <w:pPr>
        <w:spacing w:after="0" w:line="121"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88"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295"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In March 2022, our CTA filing for TSHA-102 for the treatment of Rett Syndrome was approved by Health Canada and therefore triggered a regulatory milestone payment in connection with the Rett Agreement. We recorded $1.0 million within research and development expenses in the condensed consolidated statements of operations for the three months ended March 31, 2022. This milestone fee was not paid as of March 31, 2022 and has been recorded in accrued expenses and other current liabilities.</w:t>
      </w:r>
    </w:p>
    <w:p>
      <w:pPr>
        <w:spacing w:after="0" w:line="288"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been actively monitoring the COVID-19 situation and its impact globally. Our financial results for the three months ended March 31, 2022 were not impacted by COVID-19. We believe our hybrid and remote working arrangements have had limited impact on our ability to maintain internal operations during the three months ended March 31, 2022. The extent to which COVID-19 may impact our business and operations will depend on future developments that are highly uncertain and cannot be predicted with confidence, such as the duration of the outbreak, the effectiveness of actions to contain and treat COVID-19, the efficacy, availability and adoption of vaccines and other treatments, both domestically and globally, and the impact of new variants or mutations of the coronavirus, such as the Delta variant. Although we have not experienced any material business shutdowns or interruptions due to the COVID-19 pandemic, we cannot predict the scope and severity of any potential business shutdowns or disruptions in the future, including to our planned clinical trials and preclinical studies. Any such shutdowns or other business interruptions could result 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0" w:name="page41"/>
    <w:bookmarkEnd w:id="40"/>
    <w:p>
      <w:pPr>
        <w:ind w:right="480"/>
        <w:spacing w:after="0" w:line="282" w:lineRule="auto"/>
        <w:rPr>
          <w:sz w:val="20"/>
          <w:szCs w:val="20"/>
          <w:color w:val="auto"/>
        </w:rPr>
      </w:pPr>
      <w:r>
        <w:rPr>
          <w:rFonts w:ascii="Times New Roman" w:cs="Times New Roman" w:eastAsia="Times New Roman" w:hAnsi="Times New Roman"/>
          <w:sz w:val="18"/>
          <w:szCs w:val="18"/>
          <w:color w:val="auto"/>
        </w:rPr>
        <w:t>material and negative effects to our ability to conduct our business in the manner and on the timelines presently planned, which could have a material adverse impact on our business, results of operation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w:t>
      </w:r>
    </w:p>
    <w:p>
      <w:pPr>
        <w:spacing w:after="0" w:line="79" w:lineRule="exact"/>
        <w:rPr>
          <w:sz w:val="20"/>
          <w:szCs w:val="20"/>
          <w:color w:val="auto"/>
        </w:rPr>
      </w:pPr>
    </w:p>
    <w:p>
      <w:pPr>
        <w:ind w:left="1120" w:right="40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severance costs and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maintenance fees and milestone fees incurred in connection with various license agreements;</w:t>
      </w:r>
    </w:p>
    <w:p>
      <w:pPr>
        <w:spacing w:after="0" w:line="144" w:lineRule="exact"/>
        <w:rPr>
          <w:rFonts w:ascii="Times New Roman" w:cs="Times New Roman" w:eastAsia="Times New Roman" w:hAnsi="Times New Roman"/>
          <w:sz w:val="18"/>
          <w:szCs w:val="18"/>
          <w:color w:val="auto"/>
        </w:rPr>
      </w:pPr>
    </w:p>
    <w:p>
      <w:pPr>
        <w:ind w:left="1120" w:right="66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53" w:lineRule="exact"/>
        <w:rPr>
          <w:rFonts w:ascii="Times New Roman" w:cs="Times New Roman" w:eastAsia="Times New Roman" w:hAnsi="Times New Roman"/>
          <w:sz w:val="18"/>
          <w:szCs w:val="18"/>
          <w:color w:val="auto"/>
        </w:rPr>
      </w:pPr>
    </w:p>
    <w:p>
      <w:pPr>
        <w:ind w:left="1120" w:right="78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studies and clinical trials, including fees paid to contract manufacturing organizations, or CMOs;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44" w:lineRule="exact"/>
        <w:rPr>
          <w:rFonts w:ascii="Times New Roman" w:cs="Times New Roman" w:eastAsia="Times New Roman" w:hAnsi="Times New Roman"/>
          <w:sz w:val="18"/>
          <w:szCs w:val="18"/>
          <w:color w:val="auto"/>
        </w:rPr>
      </w:pPr>
    </w:p>
    <w:p>
      <w:pPr>
        <w:ind w:left="1120" w:right="680" w:hanging="370"/>
        <w:spacing w:after="0" w:line="282"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270"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Due to the strategic reprioritization of programs and reduction in force announced in March 2022, we expect overall lower research and development expenses for the remainder of 2022 compared to 2021. We expect lower expenses for the remainder of 2022 as certain programs have been deprioritized. Our future expenses may vary significantly each period based on factors such as:</w:t>
      </w:r>
    </w:p>
    <w:p>
      <w:pPr>
        <w:spacing w:after="0" w:line="84" w:lineRule="exact"/>
        <w:rPr>
          <w:sz w:val="20"/>
          <w:szCs w:val="20"/>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development;</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 including based on the number of doses that patients received;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trial;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144" w:lineRule="exact"/>
        <w:rPr>
          <w:rFonts w:ascii="Times New Roman" w:cs="Times New Roman" w:eastAsia="Times New Roman" w:hAnsi="Times New Roman"/>
          <w:sz w:val="18"/>
          <w:szCs w:val="18"/>
          <w:color w:val="auto"/>
        </w:rPr>
      </w:pPr>
    </w:p>
    <w:p>
      <w:pPr>
        <w:ind w:left="1120" w:right="240" w:hanging="370"/>
        <w:spacing w:after="0" w:line="282"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manufacture of our product candidates;</w:t>
      </w:r>
    </w:p>
    <w:p>
      <w:pPr>
        <w:spacing w:after="0" w:line="144" w:lineRule="exact"/>
        <w:rPr>
          <w:rFonts w:ascii="Times New Roman" w:cs="Times New Roman" w:eastAsia="Times New Roman" w:hAnsi="Times New Roman"/>
          <w:sz w:val="18"/>
          <w:szCs w:val="18"/>
          <w:color w:val="auto"/>
        </w:rPr>
      </w:pPr>
    </w:p>
    <w:p>
      <w:pPr>
        <w:ind w:left="1120" w:right="100" w:hanging="370"/>
        <w:spacing w:after="0" w:line="266"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67"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3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executive and administrative functions, including stock-based compensation, severance costs, travel expenses and recruiting expenses. Other general and administrative expenses include professional fees for legal, consulting, accounting and audit and tax-related services and insurance costs.</w:t>
      </w:r>
    </w:p>
    <w:p>
      <w:pPr>
        <w:spacing w:after="0" w:line="284"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decrease in the future due to the strategic reprioritization and reduction in force that was announced in March 2022. We also anticipate that our general and administrative expenses as a result of payments for accounting, audit, legal, consulting services, as well as costs associated with maintaining compliance with Nasdaq listing rules and SEC requirements, director and officer liability insurance and other expenses associated with operating as a public company will stay constant for the near future, but may increase over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2022 and 2021</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2022 and 2021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5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73"/>
        </w:trPr>
        <w:tc>
          <w:tcPr>
            <w:tcW w:w="7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37,799</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11,469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(49,268)</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(50,111)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(32,024)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35"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$37.8 million for the three months ended March 31, 2022, compared to $23.9 million for the three months ended March 31, 2021. The $13.9 million increase was primarily attributable to an increase of $9.3 million in employee compensation, which included $2.2 million of severance and one-time termination costs in connection with the strategic reprioritization of programs completed in March 2022 and $1.0 million of non-cash stock-based compensation. Additionally, in the three months ended March 31, 2022 we incurred an increase of $2.9 million of expenses in research and development manufacturing and other raw material purchases. We also incurred an increase of $1.7 million of third-party research and development consulting fees, primarily related to GLP toxicology studies and clinical study activities.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3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$11.5 million for the three months ended March 31, 2022, compared to $8.2 million for the three months ended March 31, 2021. The increase of approximately $3.3 million was primarily attributable to $2.9 million of incremental compensation expense, which included $0.4 million of severance and one-time termination costs and $0.7 million of non-cash stock-based compensation. We also incurred an increase of $0.4 million in professional fees related to insurance, investor relations/communications, accounting, and market research.</w:t>
      </w:r>
    </w:p>
    <w:p>
      <w:pPr>
        <w:spacing w:after="0" w:line="3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for the three months ended March 31, 2022 primarily consisted of interest expense incurred under the Term Loan Agreement.</w:t>
      </w:r>
    </w:p>
    <w:p>
      <w:pPr>
        <w:spacing w:after="0" w:line="3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income for the three months ended March 31, 2022 and 2021 primarily consisted of interest earned on our savings account.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Since our inception, we have not generated any revenue and have incurred significant operating losses. As of March 31, 2022, we had cash and cash equivalents of $96.6 million. From inception through March 31, 2022, we have funded our operations primarily through equity financings, raising an aggregate of $307.0 million in gross proceeds from our initial public offering and private placements of convertible preferred stock.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p>
    <w:p>
      <w:pPr>
        <w:spacing w:after="0" w:line="29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determined at the discretion of the Agent, at the time of draw, (iii) from October 1, 2022 until March 31, 2023, an additional $20.0 million term loan facility available at our option upon having three distinct and active clinical stage programs, determined at the discretion of the Agent, at the time of draw and (iv) from April 1, 2023 until December 31, 2023, an additional $20.0 million term loan facility available upon approval by the Agent and the Lenders, or, collectively, the Term Loans. We drew $30.0 million in term loans on the Closing Date and an additional $10.0 million in term loans on December 29, 2021.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300"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On October 5, 2021, we filed a shelf registration statement on Form S-3 with the SEC in relation to the registration of common stock, preferred stock, debt securities, warrants and units or any combination thereof up to a total aggregate offering price of $350.0 million. We also simultaneously entered into a Sales Agreement, or the Sales Agreement, with SVB Leerink LLC and Wells Fargo Securities, LLC, or the Sales Agents, pursuant to which we may issue and sell, from time to time at our discretion, shares of our common stock having an aggregate offering price of up to $150.0 million through the Sales Agents. In March 2022, we amended the Sales Agreement to, among other things, include Goldman Sachs &amp; Co. LLC as an additional Sales Agent. As of March 31, 2022, no shares of common stock had been issued and sold pursuant to the Sales Agreement. In April 2022, we sold 2,000,000 shares of common stock pursuant to the Sales Agreement and received net proceeds of $11.6 million.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revenues from the commercial sale of approved drug products, and we do not expect to generate substantial revenue for at least the next few years. If we fail to complete the development of our product candidates in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43" w:name="page44"/>
    <w:bookmarkEnd w:id="43"/>
    <w:p>
      <w:pPr>
        <w:ind w:right="120"/>
        <w:spacing w:after="0" w:line="254" w:lineRule="auto"/>
        <w:rPr>
          <w:sz w:val="20"/>
          <w:szCs w:val="20"/>
          <w:color w:val="auto"/>
        </w:rPr>
      </w:pPr>
      <w:r>
        <w:rPr>
          <w:rFonts w:ascii="Times New Roman" w:cs="Times New Roman" w:eastAsia="Times New Roman" w:hAnsi="Times New Roman"/>
          <w:sz w:val="18"/>
          <w:szCs w:val="18"/>
          <w:color w:val="auto"/>
        </w:rPr>
        <w:t>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decrease in connection with our ongoing activities largely due to the strategic reprioritization of product candidates and the reduction in force announced in March 2022. We will continue the research and development of, initiate clinical trials of and seek marketing approval for specific product candidates, as well as continue the build out of our cGMP manufacturing facility in Durham, North Carolina. In addition, if we obtain approval for any of our product candidates, we then expect to incur significant commercialization expenses related to sales, marketing, manufacturing and distribution.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296"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As of March 31, 2022, our material cash requirements consisted of $51.5 million in total lease payments entered into since inception. Our most significant purchase commitments consist of approximately $12.0 million related to the build-out of our cGMP manufacturing facility and $8.1 million in cancellable purchase obligations to our CROs.</w:t>
      </w:r>
    </w:p>
    <w:p>
      <w:pPr>
        <w:spacing w:after="0" w:line="32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believe that our existing cash and cash equivalents, along with full access to the term loan facility, will enable us to fund our operating expenses and capital requirements into the fourth quarter of 2023. This estimate reflects our strategic prioritization efforts to improve operating efficiency, including pausing research and development activities on our preclinical programs, limiting patient enrollment to focus on proof-of-concept studies in CLN1 and SLC13A5, ceasing the TSHA-101 clinical trial and reducing headcount by approximately 35% in March 2022. We will require additional capital to fund the research and development of our product candidates, to fund our manufacturing activities, to fund precommercial activities of our programs and for working capital and general corporate purposes.</w:t>
      </w:r>
    </w:p>
    <w:p>
      <w:pPr>
        <w:spacing w:after="0" w:line="29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1120" w:right="6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preclinical development, laboratory testing and clinical trials for TSHA-102, TSHA-105, TSHA-118, TSHA-120, TSHA-121 and any current and future product candidates that we advance;</w:t>
      </w:r>
    </w:p>
    <w:p>
      <w:pPr>
        <w:spacing w:after="0" w:line="53" w:lineRule="exact"/>
        <w:rPr>
          <w:rFonts w:ascii="Times New Roman" w:cs="Times New Roman" w:eastAsia="Times New Roman" w:hAnsi="Times New Roman"/>
          <w:sz w:val="18"/>
          <w:szCs w:val="18"/>
          <w:color w:val="auto"/>
        </w:rPr>
      </w:pPr>
    </w:p>
    <w:p>
      <w:pPr>
        <w:ind w:left="1120" w:right="28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additional capital on a timely basis and on favorable terms, including with respect to our term loan facility with Silicon Valley Bank;</w:t>
      </w:r>
    </w:p>
    <w:p>
      <w:pPr>
        <w:spacing w:after="0" w:line="53" w:lineRule="exact"/>
        <w:rPr>
          <w:rFonts w:ascii="Times New Roman" w:cs="Times New Roman" w:eastAsia="Times New Roman" w:hAnsi="Times New Roman"/>
          <w:sz w:val="18"/>
          <w:szCs w:val="18"/>
          <w:color w:val="auto"/>
        </w:rPr>
      </w:pPr>
    </w:p>
    <w:p>
      <w:pPr>
        <w:ind w:left="1120" w:right="48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gene therapy product candidate pipeline;</w:t>
      </w:r>
    </w:p>
    <w:p>
      <w:pPr>
        <w:spacing w:after="0" w:line="53" w:lineRule="exact"/>
        <w:rPr>
          <w:rFonts w:ascii="Times New Roman" w:cs="Times New Roman" w:eastAsia="Times New Roman" w:hAnsi="Times New Roman"/>
          <w:sz w:val="18"/>
          <w:szCs w:val="18"/>
          <w:color w:val="auto"/>
        </w:rPr>
      </w:pPr>
    </w:p>
    <w:p>
      <w:pPr>
        <w:ind w:left="1120" w:right="64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44" w:lineRule="exact"/>
        <w:rPr>
          <w:rFonts w:ascii="Times New Roman" w:cs="Times New Roman" w:eastAsia="Times New Roman" w:hAnsi="Times New Roman"/>
          <w:sz w:val="18"/>
          <w:szCs w:val="18"/>
          <w:color w:val="auto"/>
        </w:rPr>
      </w:pPr>
    </w:p>
    <w:p>
      <w:pPr>
        <w:ind w:left="1120" w:right="96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and maintaining our own commercial-scale cGMP manufacturing facility;</w:t>
      </w:r>
    </w:p>
    <w:p>
      <w:pPr>
        <w:spacing w:after="0" w:line="144" w:lineRule="exact"/>
        <w:rPr>
          <w:rFonts w:ascii="Times New Roman" w:cs="Times New Roman" w:eastAsia="Times New Roman" w:hAnsi="Times New Roman"/>
          <w:sz w:val="18"/>
          <w:szCs w:val="18"/>
          <w:color w:val="auto"/>
        </w:rPr>
      </w:pPr>
    </w:p>
    <w:p>
      <w:pPr>
        <w:ind w:left="1120" w:right="20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120" w:right="160" w:hanging="370"/>
        <w:spacing w:after="0" w:line="282" w:lineRule="auto"/>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and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360"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right="20"/>
        <w:spacing w:after="0" w:line="253" w:lineRule="auto"/>
        <w:rPr>
          <w:sz w:val="20"/>
          <w:szCs w:val="20"/>
          <w:color w:val="auto"/>
        </w:rPr>
      </w:pPr>
      <w:r>
        <w:rPr>
          <w:rFonts w:ascii="Times New Roman" w:cs="Times New Roman" w:eastAsia="Times New Roman" w:hAnsi="Times New Roman"/>
          <w:sz w:val="18"/>
          <w:szCs w:val="18"/>
          <w:color w:val="auto"/>
        </w:rPr>
        <w:t>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300"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the efficacy, availability and adoption of vaccines, both domestically and globally, and the impact of new variants or mutations of the coronavirus, such as the Delta variant. While the potential economic impact brought by, and the duration of, the COVID-19 pandemic may be difficult to assess or predict, a continued and growing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2022 and 2021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5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73"/>
        </w:trPr>
        <w:tc>
          <w:tcPr>
            <w:tcW w:w="7720" w:type="dxa"/>
            <w:vAlign w:val="bottom"/>
            <w:tcBorders>
              <w:bottom w:val="single" w:sz="8" w:color="CFF0FC"/>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(40,804)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(11,427)</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(52,473)</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3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our net cash used in operating activities of $40.8 million primarily consisted of a net loss of $50.1 million, primarily attributable to our spending on research and development expenses. The net loss of $50.1 million was partially offset by adjustments for non-cash items, primarily stock-based compensation of $5.3 million, and the add back of the regulatory milestone and upfront license fees of $1.3 million. The $50.1 million net loss was also partially offset by a $2.3 million increase in the cash provided by operating assets and liabilities, primarily resulting from an increase in accounts payable.</w:t>
      </w:r>
    </w:p>
    <w:p>
      <w:pPr>
        <w:spacing w:after="0" w:line="29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2021, our net cash used in operating activities of $22.0 million primarily consisted of a net loss of $32.0 million, primarily attributable to our spending on research and development expenses. The net loss of $32.0 million was partially offset by adjustments for non-cash items, primarily the upfront license fee of $5.5 million to HHF related to the acquisition of TSHA-120 and stock-based compensation of $3.6 million.</w:t>
      </w:r>
    </w:p>
    <w:p>
      <w:pPr>
        <w:spacing w:after="0" w:line="2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investing activities used $11.4 million of cash primarily attributable to the regulatory milestone payment of $3.0 million paid to Abeona pursuant to the CLN1 Agreement, and capital expenditures related to our in-house manufacturing facility and office space. During the three months ended March 31, 2021, investing activities used $0.5 million of cash attributable to capital expenditures related to computer and lab equipment.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financing activities used $0.2 million of cash, which is primarily attributable to the payment of shelf registration costs, and other financing transactions, which are partially offset by ESPP contributions.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critical accounting policies that are disclosed in our audited consolidated financial statements for the year ended December 31, 2021 filed with the SEC on March 31,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540" w:firstLine="749"/>
        <w:spacing w:after="0" w:line="266" w:lineRule="auto"/>
        <w:rPr>
          <w:sz w:val="20"/>
          <w:szCs w:val="20"/>
          <w:color w:val="auto"/>
        </w:rPr>
      </w:pPr>
      <w:r>
        <w:rPr>
          <w:rFonts w:ascii="Times New Roman" w:cs="Times New Roman" w:eastAsia="Times New Roman" w:hAnsi="Times New Roman"/>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291"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54" w:lineRule="exact"/>
        <w:rPr>
          <w:sz w:val="20"/>
          <w:szCs w:val="20"/>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44" w:lineRule="exact"/>
        <w:rPr>
          <w:rFonts w:ascii="Times New Roman" w:cs="Times New Roman" w:eastAsia="Times New Roman" w:hAnsi="Times New Roman"/>
          <w:sz w:val="18"/>
          <w:szCs w:val="18"/>
          <w:color w:val="auto"/>
        </w:rPr>
      </w:pPr>
    </w:p>
    <w:p>
      <w:pPr>
        <w:ind w:left="1120" w:hanging="370"/>
        <w:spacing w:after="0"/>
        <w:tabs>
          <w:tab w:leader="none" w:pos="11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of holding non-binding advisory votes on executive compensation or golden parachute arrangements; and</w:t>
      </w:r>
    </w:p>
    <w:p>
      <w:pPr>
        <w:spacing w:after="0" w:line="155" w:lineRule="exact"/>
        <w:rPr>
          <w:rFonts w:ascii="Times New Roman" w:cs="Times New Roman" w:eastAsia="Times New Roman" w:hAnsi="Times New Roman"/>
          <w:sz w:val="17"/>
          <w:szCs w:val="17"/>
          <w:color w:val="auto"/>
        </w:rPr>
      </w:pPr>
    </w:p>
    <w:p>
      <w:pPr>
        <w:ind w:left="1120" w:right="80" w:hanging="370"/>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27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297" w:lineRule="exact"/>
        <w:rPr>
          <w:sz w:val="20"/>
          <w:szCs w:val="20"/>
          <w:color w:val="auto"/>
        </w:rPr>
      </w:pPr>
    </w:p>
    <w:p>
      <w:pPr>
        <w:ind w:right="180" w:firstLine="749"/>
        <w:spacing w:after="0" w:line="276"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spacing w:after="0" w:line="1" w:lineRule="exact"/>
        <w:rPr>
          <w:sz w:val="20"/>
          <w:szCs w:val="20"/>
          <w:color w:val="auto"/>
        </w:rPr>
      </w:pPr>
    </w:p>
    <w:p>
      <w:pPr>
        <w:ind w:right="440" w:firstLine="8"/>
        <w:spacing w:after="0" w:line="260"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our shares held by non-affiliates is less than $250 million or (ii) our annual revenue was less than $100 million during the most recently completed fiscal year and the market value of our shares held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ind w:right="20"/>
        <w:spacing w:after="0" w:line="261" w:lineRule="auto"/>
        <w:rPr>
          <w:sz w:val="20"/>
          <w:szCs w:val="20"/>
          <w:color w:val="auto"/>
        </w:rPr>
      </w:pPr>
      <w:r>
        <w:rPr>
          <w:rFonts w:ascii="Times New Roman" w:cs="Times New Roman" w:eastAsia="Times New Roman" w:hAnsi="Times New Roman"/>
          <w:sz w:val="18"/>
          <w:szCs w:val="18"/>
          <w:color w:val="auto"/>
        </w:rPr>
        <w:t>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March 31, 2022,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we transitioned our payroll processing to a new payroll provider which resulted in certain changes to existing business processes and internal control over financial reporting. Other than this transition of payroll to a new provider, there were no other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3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121"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2021, filed with the Securities and Exchange Commission on March 31, 2022. Other than as described below, there have been no material changes to the risk factors described in that report.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3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In addition, Russia’s invasion of Ukraine may lead to a prolonged, adverse impact on global economic, social and market conditions.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For example, while we do not have any current operations in Ukraine or Russia, we do not know the extent to which Russia’s invasion of Ukraine could impact any of our current suppliers and their ability to provide us with supplies and services.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 Use of Proceeds</w:t>
      </w:r>
    </w:p>
    <w:p>
      <w:pPr>
        <w:spacing w:after="0" w:line="121" w:lineRule="exact"/>
        <w:rPr>
          <w:sz w:val="20"/>
          <w:szCs w:val="20"/>
          <w:color w:val="auto"/>
        </w:rPr>
      </w:pPr>
    </w:p>
    <w:p>
      <w:pPr>
        <w:jc w:val="both"/>
        <w:ind w:right="120" w:firstLine="749"/>
        <w:spacing w:after="0" w:line="312" w:lineRule="auto"/>
        <w:rPr>
          <w:sz w:val="20"/>
          <w:szCs w:val="20"/>
          <w:color w:val="auto"/>
        </w:rPr>
      </w:pPr>
      <w:r>
        <w:rPr>
          <w:rFonts w:ascii="Times New Roman" w:cs="Times New Roman" w:eastAsia="Times New Roman" w:hAnsi="Times New Roman"/>
          <w:sz w:val="17"/>
          <w:szCs w:val="17"/>
          <w:color w:val="auto"/>
        </w:rPr>
        <w:t>On September 23, 2020, our Registration Statement on Form S-1, as amended (File No. 333-248559), was declared effective in connection with our initial public offering, pursuant to which we sold an aggregate of 9,050,000 shares of our common stock for aggregate net proceeds of $165.9 million.</w:t>
      </w:r>
    </w:p>
    <w:p>
      <w:pPr>
        <w:spacing w:after="0" w:line="248"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as described in our prospectus filed pursuant to Rule 424(b)(4) under the Securities Act with the SEC on September 25, 2020.</w:t>
      </w:r>
    </w:p>
    <w:p>
      <w:pPr>
        <w:spacing w:after="0" w:line="2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05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The exhibits listed on the Exhibit Index are either filed or furnished with this report or incorporated herein by reference.</w:t>
            </w:r>
          </w:p>
        </w:tc>
      </w:tr>
      <w:tr>
        <w:trPr>
          <w:trHeight w:val="45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7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20" w:type="dxa"/>
            <w:vAlign w:val="bottom"/>
            <w:tcBorders>
              <w:bottom w:val="single" w:sz="8" w:color="0000EE"/>
            </w:tcBorders>
            <w:gridSpan w:val="11"/>
          </w:tcPr>
          <w:p>
            <w:pPr>
              <w:spacing w:after="0" w:line="182"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Amended and Restated Certificate of Incorporation (incorporated by reference to Exhibit 3.1 to the Company’s Current Report on Form 8-K</w:t>
              </w:r>
            </w:hyperlink>
          </w:p>
        </w:tc>
        <w:tc>
          <w:tcPr>
            <w:tcW w:w="200" w:type="dxa"/>
            <w:vAlign w:val="bottom"/>
            <w:gridSpan w:val="5"/>
          </w:tcPr>
          <w:p>
            <w:pPr>
              <w:spacing w:after="0"/>
              <w:rPr>
                <w:sz w:val="15"/>
                <w:szCs w:val="15"/>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(File No. 001-39536), filed with the Securities and Exchange Commission on September 29, 2020).</w:t>
              </w:r>
            </w:hyperlink>
          </w:p>
        </w:tc>
        <w:tc>
          <w:tcPr>
            <w:tcW w:w="3140" w:type="dxa"/>
            <w:vAlign w:val="bottom"/>
            <w:gridSpan w:val="8"/>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Amended and Restated Bylaws (incorporated by reference to Exhibit 3.4 to the Company’s Current Report on Form 8-K (File No. 001-39536),</w:t>
              </w:r>
            </w:hyperlink>
          </w:p>
        </w:tc>
        <w:tc>
          <w:tcPr>
            <w:tcW w:w="20" w:type="dxa"/>
            <w:vAlign w:val="bottom"/>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 xml:space="preserve">filed with the </w:t>
              </w:r>
              <w:r>
                <w:rPr>
                  <w:rFonts w:ascii="Times New Roman" w:cs="Times New Roman" w:eastAsia="Times New Roman" w:hAnsi="Times New Roman"/>
                  <w:sz w:val="18"/>
                  <w:szCs w:val="18"/>
                  <w:color w:val="0000EE"/>
                  <w:highlight w:val="white"/>
                  <w:w w:val="99"/>
                </w:rPr>
                <w:t>Securities and Exchange Commission on September 29, 2020).</w:t>
              </w:r>
            </w:hyperlink>
          </w:p>
        </w:tc>
        <w:tc>
          <w:tcPr>
            <w:tcW w:w="4760" w:type="dxa"/>
            <w:vAlign w:val="bottom"/>
            <w:gridSpan w:val="10"/>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Amendment No. 1 to Sales Agreement, dated March 30, 2022, by and among the Company, Goldman Sachs &amp; Co. LLC, SVB Securities LLC</w:t>
              </w:r>
            </w:hyperlink>
          </w:p>
        </w:tc>
        <w:tc>
          <w:tcPr>
            <w:tcW w:w="60" w:type="dxa"/>
            <w:vAlign w:val="bottom"/>
            <w:gridSpan w:val="3"/>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and Wells Fargo Securities, LLC (incorporated by reference to Exhibit 10.19 to the Company’s Annual Report on Form 10-K (File No. 001-</w:t>
              </w:r>
            </w:hyperlink>
          </w:p>
        </w:tc>
        <w:tc>
          <w:tcPr>
            <w:tcW w:w="220" w:type="dxa"/>
            <w:vAlign w:val="bottom"/>
            <w:gridSpan w:val="6"/>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39536)</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filed with the Securities and Exchange Commission on March 31, 2022).</w:t>
              </w:r>
            </w:hyperlink>
          </w:p>
        </w:tc>
        <w:tc>
          <w:tcPr>
            <w:tcW w:w="4460" w:type="dxa"/>
            <w:vAlign w:val="bottom"/>
            <w:gridSpan w:val="9"/>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 Adopted</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40" w:type="dxa"/>
            <w:vAlign w:val="bottom"/>
            <w:gridSpan w:val="2"/>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 Adopted</w:t>
            </w:r>
          </w:p>
        </w:tc>
        <w:tc>
          <w:tcPr>
            <w:tcW w:w="80" w:type="dxa"/>
            <w:vAlign w:val="bottom"/>
            <w:gridSpan w:val="4"/>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p>
        </w:tc>
        <w:tc>
          <w:tcPr>
            <w:tcW w:w="260" w:type="dxa"/>
            <w:vAlign w:val="bottom"/>
            <w:gridSpan w:val="7"/>
          </w:tcPr>
          <w:p>
            <w:pPr>
              <w:spacing w:after="0"/>
              <w:rPr>
                <w:sz w:val="18"/>
                <w:szCs w:val="18"/>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9400" w:type="dxa"/>
            <w:vAlign w:val="bottom"/>
            <w:gridSpan w:val="14"/>
          </w:tcPr>
          <w:p>
            <w:pPr>
              <w:spacing w:after="0"/>
              <w:rPr>
                <w:sz w:val="17"/>
                <w:szCs w:val="17"/>
                <w:color w:val="auto"/>
              </w:rPr>
            </w:pPr>
          </w:p>
        </w:tc>
      </w:tr>
      <w:tr>
        <w:trPr>
          <w:trHeight w:val="20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 Sarbanes-Oxley Act</w:t>
            </w: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of 2002.</w:t>
            </w: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20" w:type="dxa"/>
            <w:vAlign w:val="bottom"/>
            <w:gridSpan w:val="15"/>
          </w:tcPr>
          <w:p>
            <w:pPr>
              <w:spacing w:after="0" w:line="20" w:lineRule="exact"/>
              <w:rPr>
                <w:sz w:val="1"/>
                <w:szCs w:val="1"/>
                <w:color w:val="auto"/>
              </w:rPr>
            </w:pPr>
          </w:p>
        </w:tc>
      </w:tr>
      <w:tr>
        <w:trPr>
          <w:trHeight w:val="23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r>
      <w:tr>
        <w:trPr>
          <w:trHeight w:val="229"/>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9"/>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920" w:hanging="656"/>
        <w:spacing w:after="0"/>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9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5855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97" w:lineRule="exact"/>
        <w:rPr>
          <w:sz w:val="20"/>
          <w:szCs w:val="20"/>
          <w:color w:val="auto"/>
        </w:rPr>
      </w:pPr>
    </w:p>
    <w:p>
      <w:pPr>
        <w:ind w:left="500" w:right="320" w:hanging="492"/>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92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Taysha Gene Therapies, Inc.</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2022</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 Session II</w:t>
            </w:r>
          </w:p>
        </w:tc>
      </w:tr>
      <w:tr>
        <w:trPr>
          <w:trHeight w:val="214"/>
        </w:trPr>
        <w:tc>
          <w:tcPr>
            <w:tcW w:w="3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 Session II</w:t>
            </w:r>
          </w:p>
        </w:tc>
      </w:tr>
      <w:tr>
        <w:trPr>
          <w:trHeight w:val="218"/>
        </w:trPr>
        <w:tc>
          <w:tcPr>
            <w:tcW w:w="3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6"/>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5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16, 2022</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Kamran Alam</w:t>
            </w:r>
          </w:p>
        </w:tc>
      </w:tr>
      <w:tr>
        <w:trPr>
          <w:trHeight w:val="214"/>
        </w:trPr>
        <w:tc>
          <w:tcPr>
            <w:tcW w:w="33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Kamran Alam</w:t>
            </w:r>
          </w:p>
        </w:tc>
      </w:tr>
      <w:tr>
        <w:trPr>
          <w:trHeight w:val="238"/>
        </w:trPr>
        <w:tc>
          <w:tcPr>
            <w:tcW w:w="3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bl>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54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 Session II, certify that:</w:t>
      </w:r>
    </w:p>
    <w:p>
      <w:pPr>
        <w:spacing w:after="0" w:line="225" w:lineRule="exact"/>
        <w:rPr>
          <w:sz w:val="20"/>
          <w:szCs w:val="20"/>
          <w:color w:val="auto"/>
        </w:rPr>
      </w:pPr>
    </w:p>
    <w:p>
      <w:pPr>
        <w:ind w:left="580" w:hanging="572"/>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461645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0139"/>
          </w:cols>
          <w:pgMar w:left="320" w:top="580" w:right="1440"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Kamran Alam, certify that:</w:t>
      </w:r>
    </w:p>
    <w:p>
      <w:pPr>
        <w:spacing w:after="0" w:line="225" w:lineRule="exact"/>
        <w:rPr>
          <w:sz w:val="20"/>
          <w:szCs w:val="20"/>
          <w:color w:val="auto"/>
        </w:rPr>
      </w:pPr>
    </w:p>
    <w:p>
      <w:pPr>
        <w:ind w:left="580" w:hanging="572"/>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Taysha Gene Therapies, Inc.;</w:t>
      </w:r>
    </w:p>
    <w:p>
      <w:pPr>
        <w:spacing w:after="0" w:line="225" w:lineRule="exact"/>
        <w:rPr>
          <w:rFonts w:ascii="Times New Roman" w:cs="Times New Roman" w:eastAsia="Times New Roman" w:hAnsi="Times New Roman"/>
          <w:sz w:val="18"/>
          <w:szCs w:val="18"/>
          <w:color w:val="auto"/>
        </w:rPr>
      </w:pPr>
    </w:p>
    <w:p>
      <w:pPr>
        <w:jc w:val="both"/>
        <w:ind w:left="580" w:right="180" w:hanging="572"/>
        <w:spacing w:after="0" w:line="26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40" w:hanging="572"/>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00" w:hanging="572"/>
        <w:spacing w:after="0" w:line="266"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60" w:right="40" w:hanging="572"/>
        <w:spacing w:after="0" w:line="266"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60" w:right="180" w:hanging="572"/>
        <w:spacing w:after="0" w:line="266"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60" w:right="340" w:hanging="572"/>
        <w:spacing w:after="0" w:line="282"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160" w:right="60" w:hanging="572"/>
        <w:spacing w:after="0" w:line="266"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160" w:right="580" w:hanging="572"/>
        <w:spacing w:after="0" w:line="282"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60" w:right="300" w:hanging="572"/>
        <w:spacing w:after="0" w:line="282" w:lineRule="auto"/>
        <w:tabs>
          <w:tab w:leader="none" w:pos="11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307340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3" w:name="page54"/>
    <w:bookmarkEnd w:id="53"/>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0900"/>
          </w:cols>
          <w:pgMar w:left="320" w:top="783" w:right="6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58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RA Session II, Chief Executive Officer of Taysha Gene Therapies, Inc. (the “Company”) hereby certifies that, to the best of his knowledge:</w:t>
      </w:r>
    </w:p>
    <w:p>
      <w:pPr>
        <w:spacing w:after="0" w:line="176" w:lineRule="exact"/>
        <w:rPr>
          <w:sz w:val="20"/>
          <w:szCs w:val="20"/>
          <w:color w:val="auto"/>
        </w:rPr>
      </w:pPr>
    </w:p>
    <w:p>
      <w:pPr>
        <w:ind w:left="1160" w:right="340" w:hanging="572"/>
        <w:spacing w:after="0" w:line="282"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160" w:right="20" w:hanging="572"/>
        <w:spacing w:after="0" w:line="282"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RA Session II</w:t>
      </w:r>
    </w:p>
    <w:p>
      <w:pPr>
        <w:spacing w:after="0" w:line="31"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33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firstLine="58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Kamran Alam, Chief Financial Officer of Taysha Gene Therapies, Inc. (the “Company”) hereby certifies that, to the best of his knowledge:</w:t>
      </w:r>
    </w:p>
    <w:p>
      <w:pPr>
        <w:spacing w:after="0" w:line="176" w:lineRule="exact"/>
        <w:rPr>
          <w:sz w:val="20"/>
          <w:szCs w:val="20"/>
          <w:color w:val="auto"/>
        </w:rPr>
      </w:pPr>
    </w:p>
    <w:p>
      <w:pPr>
        <w:ind w:left="1160" w:right="340" w:hanging="572"/>
        <w:spacing w:after="0" w:line="282"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160" w:right="20" w:hanging="572"/>
        <w:spacing w:after="0" w:line="282"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Kamran Alam</w:t>
      </w:r>
    </w:p>
    <w:p>
      <w:pPr>
        <w:spacing w:after="0" w:line="3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
      <w:numFmt w:val="bullet"/>
      <w:start w:val="1"/>
    </w:lvl>
    <w:lvl w:ilvl="1">
      <w:lvlJc w:val="left"/>
      <w:lvlText w:val="%2"/>
      <w:numFmt w:val="decimal"/>
      <w:start w:val="104"/>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90" Type="http://schemas.openxmlformats.org/officeDocument/2006/relationships/hyperlink" Target="http://www.sec.gov/Archives/edgar/data/1806310/000119312520257858/d78879dex31.htm" TargetMode="External"/><Relationship Id="rId91" Type="http://schemas.openxmlformats.org/officeDocument/2006/relationships/hyperlink" Target="http://www.sec.gov/Archives/edgar/data/1806310/000119312520247565/d938924dex34.htm" TargetMode="External"/><Relationship Id="rId92" Type="http://schemas.openxmlformats.org/officeDocument/2006/relationships/hyperlink" Target="http://www.sec.gov/Archives/edgar/data/1806310/000156459022012782/tsha-ex1019_158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2022-05-16T07:40:07Z</dcterms:created>
  <dcterms:modified xsi:type="dcterms:W3CDTF">2022-05-16T07:40:07Z</dcterms:modified>
</cp:coreProperties>
</file>