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880" w:right="1600" w:hanging="3872"/>
        <w:spacing w:after="0" w:line="238"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200" w:lineRule="exact"/>
        <w:rPr>
          <w:sz w:val="24"/>
          <w:szCs w:val="24"/>
          <w:color w:val="auto"/>
        </w:rPr>
      </w:pPr>
    </w:p>
    <w:p>
      <w:pPr>
        <w:spacing w:after="0" w:line="250" w:lineRule="exact"/>
        <w:rPr>
          <w:sz w:val="24"/>
          <w:szCs w:val="24"/>
          <w:color w:val="auto"/>
        </w:rPr>
      </w:pPr>
    </w:p>
    <w:p>
      <w:pPr>
        <w:ind w:left="3320" w:right="1600" w:hanging="3312"/>
        <w:spacing w:after="0" w:line="238" w:lineRule="auto"/>
        <w:tabs>
          <w:tab w:leader="none" w:pos="459"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42"/>
        </w:trPr>
        <w:tc>
          <w:tcPr>
            <w:tcW w:w="4500" w:type="dxa"/>
            <w:vAlign w:val="bottom"/>
          </w:tcPr>
          <w:p>
            <w:pPr>
              <w:jc w:val="center"/>
              <w:ind w:right="1824"/>
              <w:spacing w:after="0" w:line="142"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4500" w:type="dxa"/>
            <w:vAlign w:val="bottom"/>
          </w:tcPr>
          <w:p>
            <w:pPr>
              <w:jc w:val="center"/>
              <w:ind w:right="1824"/>
              <w:spacing w:after="0" w:line="140"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9"/>
                <w:szCs w:val="19"/>
                <w:color w:val="auto"/>
              </w:rPr>
            </w:pPr>
          </w:p>
        </w:tc>
      </w:tr>
      <w:tr>
        <w:trPr>
          <w:trHeight w:val="232"/>
        </w:trPr>
        <w:tc>
          <w:tcPr>
            <w:tcW w:w="45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600" w:right="20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12, 2025, the registrant had 272,794,885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Other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69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312,761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333,331</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84,604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13</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2025 and December 31, 2024</w:t>
            </w:r>
          </w:p>
        </w:tc>
        <w:tc>
          <w:tcPr>
            <w:tcW w:w="3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$0.00001 par value per share; 700,000,000 shares authorized and 272,730,060 issued</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outstanding as of June 30, 2025 and 400,000,000 shares authorized and 204,943,306 issued and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677,859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(650,716)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(602,305)</w:t>
            </w: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248,727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333,331</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160,364</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-3968115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-3968115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-2262505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4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1,986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4,288</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4,523</w:t>
            </w: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20,141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15,073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35,706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35,730</w:t>
            </w:r>
          </w:p>
        </w:tc>
        <w:tc>
          <w:tcPr>
            <w:tcW w:w="120" w:type="dxa"/>
            <w:vAlign w:val="bottom"/>
            <w:shd w:val="clear" w:color="auto" w:fill="CFF0FC"/>
          </w:tcPr>
          <w:p>
            <w:pPr>
              <w:spacing w:after="0"/>
              <w:rPr>
                <w:sz w:val="18"/>
                <w:szCs w:val="18"/>
                <w:color w:val="auto"/>
              </w:rPr>
            </w:pPr>
          </w:p>
        </w:tc>
      </w:tr>
      <w:tr>
        <w:trPr>
          <w:trHeight w:val="203"/>
        </w:trPr>
        <w:tc>
          <w:tcPr>
            <w:tcW w:w="48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8,598</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14,422</w:t>
            </w:r>
          </w:p>
        </w:tc>
        <w:tc>
          <w:tcPr>
            <w:tcW w:w="120" w:type="dxa"/>
            <w:vAlign w:val="bottom"/>
          </w:tcPr>
          <w:p>
            <w:pPr>
              <w:spacing w:after="0"/>
              <w:rPr>
                <w:sz w:val="17"/>
                <w:szCs w:val="17"/>
                <w:color w:val="auto"/>
              </w:rPr>
            </w:pPr>
          </w:p>
        </w:tc>
      </w:tr>
      <w:tr>
        <w:trPr>
          <w:trHeight w:val="196"/>
        </w:trPr>
        <w:tc>
          <w:tcPr>
            <w:tcW w:w="4820" w:type="dxa"/>
            <w:vAlign w:val="bottom"/>
            <w:tcBorders>
              <w:bottom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28,739</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22,411</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52,462</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50,152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(26,753)</w:t>
            </w:r>
          </w:p>
        </w:tc>
        <w:tc>
          <w:tcPr>
            <w:tcW w:w="3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(21,299)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(48,174)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(45,629)</w:t>
            </w: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1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(142)</w:t>
            </w: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(1,461)</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(1,279)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(2,991)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(2,332)</w:t>
            </w: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w:t>
            </w:r>
          </w:p>
        </w:tc>
        <w:tc>
          <w:tcPr>
            <w:tcW w:w="120" w:type="dxa"/>
            <w:vAlign w:val="bottom"/>
          </w:tcPr>
          <w:p>
            <w:pPr>
              <w:spacing w:after="0"/>
              <w:rPr>
                <w:sz w:val="18"/>
                <w:szCs w:val="18"/>
                <w:color w:val="auto"/>
              </w:rPr>
            </w:pPr>
          </w:p>
        </w:tc>
      </w:tr>
      <w:tr>
        <w:trPr>
          <w:trHeight w:val="216"/>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(17)</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(56)</w:t>
            </w:r>
          </w:p>
        </w:tc>
      </w:tr>
      <w:tr>
        <w:trPr>
          <w:trHeight w:val="203"/>
        </w:trPr>
        <w:tc>
          <w:tcPr>
            <w:tcW w:w="482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(237)</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Total other (expense) income, net</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(129)</w:t>
            </w:r>
          </w:p>
        </w:tc>
        <w:tc>
          <w:tcPr>
            <w:tcW w:w="3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(237)</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20" w:type="dxa"/>
            <w:vAlign w:val="bottom"/>
            <w:shd w:val="clear" w:color="auto" w:fill="CFF0FC"/>
          </w:tcPr>
          <w:p>
            <w:pPr>
              <w:spacing w:after="0"/>
              <w:rPr>
                <w:sz w:val="17"/>
                <w:szCs w:val="17"/>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482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Pr>
          <w:p>
            <w:pPr>
              <w:spacing w:after="0"/>
              <w:rPr>
                <w:sz w:val="17"/>
                <w:szCs w:val="17"/>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(26,882)</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(20,928)</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(48,411)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(44,989)</w:t>
            </w: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(0.09)</w:t>
            </w: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(0.09)</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(0.17)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(0.19)</w:t>
            </w:r>
          </w:p>
        </w:tc>
      </w:tr>
      <w:tr>
        <w:trPr>
          <w:trHeight w:val="196"/>
        </w:trPr>
        <w:tc>
          <w:tcPr>
            <w:tcW w:w="4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297,988,978</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232,821,553</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283,726,888</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232,035,448</w:t>
            </w:r>
          </w:p>
        </w:tc>
        <w:tc>
          <w:tcPr>
            <w:tcW w:w="120" w:type="dxa"/>
            <w:vAlign w:val="bottom"/>
            <w:tcBorders>
              <w:top w:val="single" w:sz="8" w:color="CFF0FC"/>
            </w:tcBorders>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-1534160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-1534160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-1534160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-1534160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-436245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-436245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-436245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-436245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-162560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-162560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-162560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20" w:type="dxa"/>
            <w:vAlign w:val="bottom"/>
          </w:tcPr>
          <w:p>
            <w:pPr>
              <w:spacing w:after="0"/>
              <w:rPr>
                <w:sz w:val="15"/>
                <w:szCs w:val="15"/>
                <w:color w:val="auto"/>
              </w:rPr>
            </w:pPr>
          </w:p>
        </w:tc>
        <w:tc>
          <w:tcPr>
            <w:tcW w:w="25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(26,882)</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(20,928)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(48,411)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(44,989)</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 in fair value of term loan attributable to instrument specific credit</w:t>
            </w:r>
          </w:p>
        </w:tc>
        <w:tc>
          <w:tcPr>
            <w:tcW w:w="10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risk</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(25,295)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(45,079)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(42,584)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-170815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205,054,570</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681,177</w:t>
            </w:r>
          </w:p>
        </w:tc>
        <w:tc>
          <w:tcPr>
            <w:tcW w:w="3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(623,834)</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(2,286)</w:t>
            </w:r>
          </w:p>
        </w:tc>
        <w:tc>
          <w:tcPr>
            <w:tcW w:w="1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55,059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57,777,777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215,651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other offering costs of $14,323</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pre-funded warrants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9,607,145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 net</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93,688</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196,880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1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(26,882)</w:t>
            </w:r>
          </w:p>
        </w:tc>
        <w:tc>
          <w:tcPr>
            <w:tcW w:w="80" w:type="dxa"/>
            <w:vAlign w:val="bottom"/>
          </w:tcPr>
          <w:p>
            <w:pPr>
              <w:spacing w:after="0"/>
              <w:rPr>
                <w:sz w:val="12"/>
                <w:szCs w:val="12"/>
                <w:color w:val="auto"/>
              </w:rPr>
            </w:pP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(26,882)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272,730,060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900,139</w:t>
            </w:r>
          </w:p>
        </w:tc>
        <w:tc>
          <w:tcPr>
            <w:tcW w:w="38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(650,716)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(699)</w:t>
            </w:r>
          </w:p>
        </w:tc>
        <w:tc>
          <w:tcPr>
            <w:tcW w:w="1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248,727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98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187,018,275</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591,166</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(537,068)</w:t>
            </w: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53,849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3,332</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14,361,113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and other offering costs of $5,024</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(20,928)</w:t>
            </w: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(20,928)</w:t>
            </w:r>
          </w:p>
        </w:tc>
        <w:tc>
          <w:tcPr>
            <w:tcW w:w="0" w:type="dxa"/>
            <w:vAlign w:val="bottom"/>
          </w:tcPr>
          <w:p>
            <w:pPr>
              <w:spacing w:after="0"/>
              <w:rPr>
                <w:sz w:val="1"/>
                <w:szCs w:val="1"/>
                <w:color w:val="auto"/>
              </w:rPr>
            </w:pPr>
          </w:p>
        </w:tc>
      </w:tr>
      <w:tr>
        <w:trPr>
          <w:trHeight w:val="142"/>
        </w:trPr>
        <w:tc>
          <w:tcPr>
            <w:tcW w:w="46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201,381,450</w:t>
            </w:r>
          </w:p>
        </w:tc>
        <w:tc>
          <w:tcPr>
            <w:tcW w:w="22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w:t>
            </w:r>
          </w:p>
        </w:tc>
        <w:tc>
          <w:tcPr>
            <w:tcW w:w="22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664,457</w:t>
            </w:r>
          </w:p>
        </w:tc>
        <w:tc>
          <w:tcPr>
            <w:tcW w:w="220" w:type="dxa"/>
            <w:vAlign w:val="bottom"/>
            <w:tcBorders>
              <w:top w:val="single" w:sz="8" w:color="CFF0FC"/>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(557,996)</w:t>
            </w:r>
          </w:p>
        </w:tc>
        <w:tc>
          <w:tcPr>
            <w:tcW w:w="22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2,405</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108,868</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-128270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-128270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-128270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-128270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100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204,943,306</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677,859</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(602,305)</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(4,031)</w:t>
            </w:r>
          </w:p>
        </w:tc>
        <w:tc>
          <w:tcPr>
            <w:tcW w:w="1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71,525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57,777,777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215,651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215,652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other offering costs of $14,323</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pre-funded warrants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9,607,145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249,818</w:t>
            </w: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stock upon exercise of stock options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93,688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58,326</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(48,411)</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(48,411)</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272,730,060</w:t>
            </w:r>
          </w:p>
        </w:tc>
        <w:tc>
          <w:tcPr>
            <w:tcW w:w="22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900,139</w:t>
            </w:r>
          </w:p>
        </w:tc>
        <w:tc>
          <w:tcPr>
            <w:tcW w:w="140" w:type="dxa"/>
            <w:vAlign w:val="bottom"/>
          </w:tcPr>
          <w:p>
            <w:pPr>
              <w:spacing w:after="0"/>
              <w:rPr>
                <w:sz w:val="12"/>
                <w:szCs w:val="12"/>
                <w:color w:val="auto"/>
              </w:rPr>
            </w:pPr>
          </w:p>
        </w:tc>
        <w:tc>
          <w:tcPr>
            <w:tcW w:w="24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(650,716)</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(699)</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248,727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660" w:type="dxa"/>
            <w:vAlign w:val="bottom"/>
            <w:gridSpan w:val="9"/>
          </w:tcPr>
          <w:p>
            <w:pPr>
              <w:ind w:left="40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2"/>
        </w:trPr>
        <w:tc>
          <w:tcPr>
            <w:tcW w:w="4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4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5"/>
        </w:trPr>
        <w:tc>
          <w:tcPr>
            <w:tcW w:w="4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80" w:type="dxa"/>
            <w:vAlign w:val="bottom"/>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186,960,193</w:t>
            </w:r>
          </w:p>
        </w:tc>
        <w:tc>
          <w:tcPr>
            <w:tcW w:w="4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587,942</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(513,007)</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74,937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6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pre-funded warrants upon closing of</w:t>
            </w: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tcBorders>
              <w:right w:val="single" w:sz="8" w:color="CFF0FC"/>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underwritten public offering, net of underwriting discounts and commissions,</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14,361,113</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69,957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other offering costs of $5,024</w:t>
            </w:r>
          </w:p>
        </w:tc>
        <w:tc>
          <w:tcPr>
            <w:tcW w:w="9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and settlement of restricted stock</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4"/>
                <w:szCs w:val="14"/>
                <w:color w:val="auto"/>
              </w:rPr>
              <w:t>units, net</w:t>
            </w: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under ESPP</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46,800</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instrument-specific credit risk</w:t>
            </w: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FF0FC"/>
          </w:tcPr>
          <w:p>
            <w:pPr>
              <w:spacing w:after="0"/>
              <w:rPr>
                <w:sz w:val="12"/>
                <w:szCs w:val="12"/>
                <w:color w:val="auto"/>
              </w:rPr>
            </w:pPr>
          </w:p>
        </w:tc>
        <w:tc>
          <w:tcPr>
            <w:tcW w:w="180" w:type="dxa"/>
            <w:vAlign w:val="bottom"/>
            <w:tcBorders>
              <w:right w:val="single" w:sz="8" w:color="CFF0FC"/>
            </w:tcBorders>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(44,989)</w:t>
            </w:r>
          </w:p>
        </w:tc>
        <w:tc>
          <w:tcPr>
            <w:tcW w:w="8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(44,989)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6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9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201,381,450</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664,457</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(557,996)</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2,405</w:t>
            </w:r>
          </w:p>
        </w:tc>
        <w:tc>
          <w:tcPr>
            <w:tcW w:w="100" w:type="dxa"/>
            <w:vAlign w:val="bottom"/>
            <w:shd w:val="clear" w:color="auto" w:fill="CFF0FC"/>
          </w:tcPr>
          <w:p>
            <w:pPr>
              <w:spacing w:after="0"/>
              <w:rPr>
                <w:sz w:val="14"/>
                <w:szCs w:val="14"/>
                <w:color w:val="auto"/>
              </w:rPr>
            </w:pPr>
          </w:p>
        </w:tc>
        <w:tc>
          <w:tcPr>
            <w:tcW w:w="1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108,868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-2485390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-2485390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-2485390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-2485390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-2485390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33"/>
        </w:trPr>
        <w:tc>
          <w:tcPr>
            <w:tcW w:w="7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gridSpan w:val="3"/>
          </w:tcPr>
          <w:p>
            <w:pPr>
              <w:jc w:val="right"/>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(48,411)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(44,989)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change in fair value of term loan</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lease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(570)</w:t>
            </w: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(1,393)</w:t>
            </w: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(1,955)</w:t>
            </w:r>
          </w:p>
        </w:tc>
      </w:tr>
      <w:tr>
        <w:trPr>
          <w:trHeight w:val="21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(4,288)</w:t>
            </w:r>
          </w:p>
        </w:tc>
        <w:tc>
          <w:tcPr>
            <w:tcW w:w="4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(4,523)</w:t>
            </w:r>
          </w:p>
        </w:tc>
      </w:tr>
      <w:tr>
        <w:trPr>
          <w:trHeight w:val="20"/>
        </w:trPr>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(42,202)</w:t>
            </w: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(41,302)</w:t>
            </w: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(341)</w:t>
            </w:r>
          </w:p>
        </w:tc>
      </w:tr>
      <w:tr>
        <w:trPr>
          <w:trHeight w:val="21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from underwritten public offering, net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underwriting discounts and sales commissions and other offering costs</w:t>
            </w: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216,170</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70,481</w:t>
            </w:r>
          </w:p>
        </w:tc>
        <w:tc>
          <w:tcPr>
            <w:tcW w:w="120" w:type="dxa"/>
            <w:vAlign w:val="bottom"/>
            <w:shd w:val="clear" w:color="auto" w:fill="CFF0FC"/>
          </w:tcPr>
          <w:p>
            <w:pPr>
              <w:spacing w:after="0"/>
              <w:rPr>
                <w:sz w:val="20"/>
                <w:szCs w:val="20"/>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 for term loan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common stock issuances under ESPP</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40" w:type="dxa"/>
            <w:vAlign w:val="bottom"/>
            <w:tcBorders>
              <w:top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216,236</w:t>
            </w:r>
          </w:p>
        </w:tc>
        <w:tc>
          <w:tcPr>
            <w:tcW w:w="26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120" w:type="dxa"/>
            <w:vAlign w:val="bottom"/>
            <w:tcBorders>
              <w:top w:val="single" w:sz="8" w:color="CFF0FC"/>
            </w:tcBorders>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173,725</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28,803</w:t>
            </w:r>
          </w:p>
        </w:tc>
        <w:tc>
          <w:tcPr>
            <w:tcW w:w="12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141,636</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146,540</w:t>
            </w:r>
          </w:p>
        </w:tc>
        <w:tc>
          <w:tcPr>
            <w:tcW w:w="120" w:type="dxa"/>
            <w:vAlign w:val="bottom"/>
          </w:tcPr>
          <w:p>
            <w:pPr>
              <w:spacing w:after="0"/>
              <w:rPr>
                <w:sz w:val="18"/>
                <w:szCs w:val="18"/>
                <w:color w:val="auto"/>
              </w:rPr>
            </w:pPr>
          </w:p>
        </w:tc>
      </w:tr>
      <w:tr>
        <w:trPr>
          <w:trHeight w:val="24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315,361</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175,343</w:t>
            </w:r>
          </w:p>
        </w:tc>
        <w:tc>
          <w:tcPr>
            <w:tcW w:w="12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ind w:left="300"/>
              <w:spacing w:after="0" w:line="196" w:lineRule="exact"/>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CFF0F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312,761</w:t>
            </w:r>
          </w:p>
        </w:tc>
        <w:tc>
          <w:tcPr>
            <w:tcW w:w="26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172,743</w:t>
            </w:r>
          </w:p>
        </w:tc>
        <w:tc>
          <w:tcPr>
            <w:tcW w:w="120" w:type="dxa"/>
            <w:vAlign w:val="bottom"/>
            <w:tcBorders>
              <w:top w:val="single" w:sz="8" w:color="CFF0FC"/>
            </w:tcBorders>
          </w:tcPr>
          <w:p>
            <w:pPr>
              <w:spacing w:after="0"/>
              <w:rPr>
                <w:sz w:val="17"/>
                <w:szCs w:val="17"/>
                <w:color w:val="auto"/>
              </w:rPr>
            </w:pPr>
          </w:p>
        </w:tc>
      </w:tr>
      <w:tr>
        <w:trPr>
          <w:trHeight w:val="216"/>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315,361</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175,343</w:t>
            </w:r>
          </w:p>
        </w:tc>
        <w:tc>
          <w:tcPr>
            <w:tcW w:w="12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2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not yet paid</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-3140075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-3140075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-2574290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-2574290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-1605280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-1605280</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-1031240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-1014095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-1031240</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-1014095</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-730885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-730885</wp:posOffset>
            </wp:positionV>
            <wp:extent cx="774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Taysha converted to a Delaware corporation on February 13, 2020, which had no impact to the Company’s par value or issued and authorized capital structure.</w:t>
      </w:r>
    </w:p>
    <w:p>
      <w:pPr>
        <w:spacing w:after="0" w:line="176"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Taysha is a clinical-stage biotechnology company focused on advancing AAV-based gene therapies for severe monogenic diseases of the central nervous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(the “ATM”),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are entitled to receive 3.0% of the gross sales price per share of common stock sold under the Sales Agreement. In April 2022, the Company sold 2,000,000 shares of common stock under the Sales Agreement and received $11.6 million in net proceeds. No other shares of common stock have been issued and sold pursuant to the Sales Agreement as of June 30, 2025.</w:t>
      </w:r>
    </w:p>
    <w:p>
      <w:pPr>
        <w:spacing w:after="0" w:line="194" w:lineRule="exact"/>
        <w:rPr>
          <w:sz w:val="20"/>
          <w:szCs w:val="20"/>
          <w:color w:val="auto"/>
        </w:rPr>
      </w:pPr>
    </w:p>
    <w:p>
      <w:pPr>
        <w:jc w:val="both"/>
        <w:ind w:right="500" w:firstLine="749"/>
        <w:spacing w:after="0" w:line="261" w:lineRule="auto"/>
        <w:rPr>
          <w:sz w:val="20"/>
          <w:szCs w:val="20"/>
          <w:color w:val="auto"/>
        </w:rPr>
      </w:pPr>
      <w:r>
        <w:rPr>
          <w:rFonts w:ascii="Times New Roman" w:cs="Times New Roman" w:eastAsia="Times New Roman" w:hAnsi="Times New Roman"/>
          <w:sz w:val="18"/>
          <w:szCs w:val="18"/>
          <w:color w:val="auto"/>
        </w:rPr>
        <w:t>On December 13, 2024, the Company filed a new shelf registration statement on Form S-3 following the expiration of its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May 28, 2025, the Company notified the Sales Agents that it was suspending and terminating the prospectus (the “ATM Prospectus”) related to up to $100.0 million of the Company’s common stock issuable pursuant to the Sales Agreement. The Company will not make any sales of its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Losses are expected to continue as the Company continues to invest in its research and development activities. As of June 30, 2025, the Company had an accumulated deficit of $650.7 million. The Company expects to continue to incur significant expenses and operating losses for the foreseeable future.</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May 28, 2025, the Company entered into an underwriting agreement (the “May 2025 Underwriting Agreement”) with Jefferies LLC, BofA Securities, Inc., Piper Sandler &amp; Co. and Barclays Capital Inc, as representatives of the several underwriters set forth therein (collectively, the “Underwriters”), to issue and sell 46,868,687 shares of the Company’s common stock and, in lieu of common stock to certain investors, pre-funded warrants to purchase 25,858,586 shares of its common stock in an underwritten public offering (the “May 2025 Offering”), pursuant to an effective shelf registration statement on Form S-3 and a related prospectus and prospectus supplement. The offering price to the public was $2.75 per share of common stock and $2.749 per pre-funded warrant, which was the price to the public of each share of common stock sold in the May 2025 Offering minus the $0.001 exercise price per pre-funded warrant. The Underwriters purchased the shares and the pre-funded warrants from the Company pursuant to the May 2025 Underwriting Agreement at a price of $2.585 per share and $2.584 per pre-funded warrant, respectively. See Note 10 for additional information. The initial closing of the May 2025 Offering occurred on May 30, 2025. In addition, the Company granted the Underwriters an option to purchase, for a period of 30 days, up to an additional 10,909,090 shares of common stock, which the Underwriters exercised in full on June 6, 2025. The total net proceeds from the May 2025 Offering were approximately $215.6 million, including the proceeds from the Underwriter’s option, after deducting underwriting discounts and commissions and offering expenses.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ind w:firstLine="749"/>
        <w:spacing w:after="0" w:line="253"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June 30, 2025, the Company had cash and cash equivalents of $312.8 million, which the Company believes will be sufficient to fund its planned operations for a period of at least twelve months from the date of issuance of these unaudited condensed consolidated financial statements.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2024, filed with the Securities and Exchange Commission (“SEC”) on February 26, 2025 (the “2024 Annual Report”). In the opinion of management, the unaudited condensed consolidated financial statements reflect all adjustments, which include only normal recurring adjustments necessary for the fair statement of the balances and results for the periods presented. The condensed consolidated balance sheet as of December 31, 2024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2024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wholly owned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initial public offering (“IPO”) (as an input into stock-based compensation), estimating manufacturing accruals and accrued or prepaid research and development expenses, the measurement of impairment of long-lived assets, the valuation of the Trinity Term Loans that are carried at fair value and the allocation of consideration received in connection with the Astellas Transactions (as defined below).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2024 Annual Report.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recently adopted accounting pronouncements from those disclosed in the section titled “Financial Statements and Supplementary Data” included in the 2024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to improve expense disclosure requirements under ASC 220,</w:t>
      </w:r>
      <w:r>
        <w:rPr>
          <w:rFonts w:ascii="Times New Roman" w:cs="Times New Roman" w:eastAsia="Times New Roman" w:hAnsi="Times New Roman"/>
          <w:sz w:val="18"/>
          <w:szCs w:val="18"/>
          <w:i w:val="1"/>
          <w:iCs w:val="1"/>
          <w:color w:val="auto"/>
        </w:rPr>
        <w:t xml:space="preserve"> Income Statement - Reporting Comprehensive Income</w:t>
      </w:r>
      <w:r>
        <w:rPr>
          <w:rFonts w:ascii="Times New Roman" w:cs="Times New Roman" w:eastAsia="Times New Roman" w:hAnsi="Times New Roman"/>
          <w:sz w:val="18"/>
          <w:szCs w:val="18"/>
          <w:color w:val="auto"/>
        </w:rPr>
        <w:t>, through enhancing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guidance requires entities to provide additional disclosure about specific expenses by requiring entities to disaggregate, in a tabular presentation, each relevant expense caption on the face of the income statement that includes any of the following natural expenses (1) purchases of inventory, (2) employees compensation, (3) depreciation, (4) intangible asset amortization, and (5) depreciation, depletion and amortization recognized as part of oil - and gas - producing activities or other types of depletion expenses. The tabular disclosure would also include certain other expenses, when applicable. The ASU also enhances interim segment reporting requirements by aligning interim disclosures with information that must be disclosed annually in accordance with ASC 220. The guidance is effective for annual periods beginning after December 15, 2026, and interim periods beginning after December 15, 2027, applied either prospectively or retrospectively with early adoption permitted. The Company is still evaluating the impact this ASU will have on its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3—Fair Value Measurements</w:t>
      </w:r>
    </w:p>
    <w:p>
      <w:pPr>
        <w:spacing w:after="0" w:line="121"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that are measured at fair value on a recurring basis consist of money market funds, the Trinity Term Loans, a success fee derivative liability and certain of the Company’s warrant liabilities.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309,291</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41,051</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-744855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-727710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-744855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-727710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-727710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138,308</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3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Trinity Term Loans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 Fee Derivative liability</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SSI Warrant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-744855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-728345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-744855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-728345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-744855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-728345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-170815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an active market with no valuation adjustment, as Level 1 assets within the fair value hierarchy.</w:t>
      </w:r>
    </w:p>
    <w:p>
      <w:pPr>
        <w:spacing w:after="0" w:line="16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Trinity Term Loans and Success Fee liability are classified as Level 3 measurements under the fair value hierarchy as the fair values were determined based on significant inputs not observable in the market. The fair values were determined utilizing a probability-weighted income approach, including variables for the timing of a success event and other probability estimates. See Note 7 for additional information on the Trinity Term Loans and Success Fee.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Company’s SSI Warrant liability is classified as Level 3 measurements under the fair value hierarchy as the fair values were determined based on significant inputs not observable in the market. The fair values were determined using the Black-Scholes-Merton option pricing model to determine the fair value of the SSI Warrants (as defined below). See Note 10 for additional information on the SSI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(in thousands):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(4,099)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16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-2022475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Property, plant and equipment, net includes $0.5 million and $0.7 million of assets capitalized as finance leases as of June 30, 2025 and December 31, 2024, respectively. During the three and six months ended June 30, 2025, the Company sold equipment with a book value of zero and recorded a gain on the disposal of $0.1 million.</w:t>
      </w:r>
    </w:p>
    <w:p>
      <w:pPr>
        <w:spacing w:after="0" w:line="176"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for each of the three months ended June 30, 2025 and 2024. Depreciation expense was $0.6 million for each of the six months ended June 30, 2025 and 2024.</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3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3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r>
      <w:tr>
        <w:trPr>
          <w:trHeight w:val="25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100" w:type="dxa"/>
            <w:vAlign w:val="bottom"/>
            <w:shd w:val="clear" w:color="auto" w:fill="CFF0FC"/>
          </w:tcPr>
          <w:p>
            <w:pPr>
              <w:spacing w:after="0"/>
              <w:rPr>
                <w:sz w:val="21"/>
                <w:szCs w:val="21"/>
                <w:color w:val="auto"/>
              </w:rPr>
            </w:pPr>
          </w:p>
        </w:tc>
      </w:tr>
      <w:tr>
        <w:trPr>
          <w:trHeight w:val="628"/>
        </w:trPr>
        <w:tc>
          <w:tcPr>
            <w:tcW w:w="4600" w:type="dxa"/>
            <w:vAlign w:val="bottom"/>
            <w:tcBorders>
              <w:top w:val="single" w:sz="8" w:color="CFF0FC"/>
            </w:tcBorders>
          </w:tcPr>
          <w:p>
            <w:pPr>
              <w:spacing w:after="0"/>
              <w:rPr>
                <w:sz w:val="24"/>
                <w:szCs w:val="24"/>
                <w:color w:val="auto"/>
              </w:rPr>
            </w:pPr>
          </w:p>
        </w:tc>
        <w:tc>
          <w:tcPr>
            <w:tcW w:w="3140" w:type="dxa"/>
            <w:vAlign w:val="bottom"/>
            <w:tcBorders>
              <w:top w:val="single" w:sz="8" w:color="CFF0FC"/>
            </w:tcBorders>
          </w:tcPr>
          <w:p>
            <w:pPr>
              <w:jc w:val="right"/>
              <w:ind w:right="19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-916940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leases certain office, laboratory, and manufacturing space.</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On January 11, 2021, the Company entered into a lease agreement (the “Dallas Lease”) with Pegasus Park, LLC, a Delaware limited liability company (the “Dallas Landlord”), pursuant to which the Company leases approximately 15,000 square feet of office space at 3000 Pegasus Park Drive, Dallas, Texas 75247 (the “Office Space”).</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Dallas Lease commenced on May 27, 2021, and has a term of approximately ten years. The Company has an option to extend the term of the Dallas Lease for one additional period of five years.</w:t>
      </w:r>
    </w:p>
    <w:p>
      <w:pPr>
        <w:spacing w:after="0" w:line="162"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Dallas Landlord has the right to terminate the Dallas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Dallas Lease Expansion</w:t>
      </w:r>
    </w:p>
    <w:p>
      <w:pPr>
        <w:spacing w:after="0" w:line="121"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On December 14, 2021, the Company amended the Dallas Lease (the “Dallas Lease Amendment”) with the Dallas Landlord, pursuant to which the Company leases approximately 18,000 square feet of office space adjacent to the Office Space at 3000 Pegasus Park Drive, Dallas, Texas 75247 (the “Expansion Premises”).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Dallas Lease Amendment commenced on July 1, 2022, and has a term of approximately ten years.</w:t>
      </w:r>
    </w:p>
    <w:p>
      <w:pPr>
        <w:spacing w:after="0" w:line="225" w:lineRule="exact"/>
        <w:rPr>
          <w:sz w:val="20"/>
          <w:szCs w:val="20"/>
          <w:color w:val="auto"/>
        </w:rPr>
      </w:pPr>
    </w:p>
    <w:p>
      <w:pPr>
        <w:ind w:right="60" w:firstLine="749"/>
        <w:spacing w:after="0" w:line="289" w:lineRule="auto"/>
        <w:rPr>
          <w:sz w:val="20"/>
          <w:szCs w:val="20"/>
          <w:color w:val="auto"/>
        </w:rPr>
      </w:pPr>
      <w:r>
        <w:rPr>
          <w:rFonts w:ascii="Times New Roman" w:cs="Times New Roman" w:eastAsia="Times New Roman" w:hAnsi="Times New Roman"/>
          <w:sz w:val="17"/>
          <w:szCs w:val="17"/>
          <w:color w:val="auto"/>
        </w:rPr>
        <w:t>The Company is obligated to pay operating costs and utilities applicable to the Expansion Premises. Total future minimum lease payments under the Dallas Lease Amendment over the initial 10 year term are approximately $6.0 million. The Company is responsible for costs of constructing interior improvements within the Expansion Premises that exceed a $40.00 per rentable square foot construction allowance provided by the Dallas Landlord.</w:t>
      </w:r>
    </w:p>
    <w:p>
      <w:pPr>
        <w:spacing w:after="0" w:line="165"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The Company has a right of first refusal with respect to certain additional office space on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at 3000 Pegasus Park Drive, Dallas, Texas 75247 before the Dallas Landlord accepts any offer for such space.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was responsible for constructing interior improvements within the Facility. The Company was required to place $2.6 million in an escrow account which was to be released when the improvements were substantially complete. In December 2023, the Company entered into an agreement with the landlord whereby the Company agreed to remove specified leasehold improvements which will be funded by the escrowed funds. The escrow funds are recorded as restricted cash on the condensed consolidated balance sheets as of June 30, 2025 and December 31, 2024 with $0.5 million recorded in current assets and $2.1 million in noncurrent assets.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all lease costs recognized under ASC 842</w:t>
      </w:r>
    </w:p>
    <w:p>
      <w:pPr>
        <w:spacing w:after="0" w:line="121"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lease costs recognized under ASC 842 and other information pertaining to the Company’s operating leases for the three months ended June 30, 2025 and 2024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70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8"/>
        </w:trPr>
        <w:tc>
          <w:tcPr>
            <w:tcW w:w="2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Borders>
              <w:top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300" w:type="dxa"/>
            <w:vAlign w:val="bottom"/>
          </w:tcPr>
          <w:p>
            <w:pPr>
              <w:spacing w:after="0"/>
              <w:rPr>
                <w:sz w:val="18"/>
                <w:szCs w:val="18"/>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20" w:type="dxa"/>
            <w:vAlign w:val="bottom"/>
          </w:tcPr>
          <w:p>
            <w:pPr>
              <w:spacing w:after="0"/>
              <w:rPr>
                <w:sz w:val="18"/>
                <w:szCs w:val="18"/>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18"/>
                <w:szCs w:val="18"/>
                <w:color w:val="auto"/>
              </w:rPr>
            </w:pP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8"/>
                <w:szCs w:val="18"/>
                <w:color w:val="auto"/>
              </w:rPr>
            </w:pP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6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-1079500</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-1079500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Supplemental information related to the remaining lease term and discount rate are as follows:</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6480" w:type="dxa"/>
            <w:vAlign w:val="bottom"/>
          </w:tcPr>
          <w:p>
            <w:pPr>
              <w:spacing w:after="0"/>
              <w:rPr>
                <w:sz w:val="24"/>
                <w:szCs w:val="24"/>
                <w:color w:val="auto"/>
              </w:rPr>
            </w:pPr>
          </w:p>
        </w:tc>
        <w:tc>
          <w:tcPr>
            <w:tcW w:w="18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5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4"/>
                <w:szCs w:val="24"/>
                <w:color w:val="auto"/>
              </w:rPr>
            </w:pPr>
          </w:p>
        </w:tc>
      </w:tr>
      <w:tr>
        <w:trPr>
          <w:trHeight w:val="209"/>
        </w:trPr>
        <w:tc>
          <w:tcPr>
            <w:tcW w:w="8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FF0FC"/>
          </w:tcPr>
          <w:p>
            <w:pPr>
              <w:spacing w:after="0"/>
              <w:rPr>
                <w:sz w:val="18"/>
                <w:szCs w:val="18"/>
                <w:color w:val="auto"/>
              </w:rPr>
            </w:pPr>
          </w:p>
        </w:tc>
      </w:tr>
      <w:tr>
        <w:trPr>
          <w:trHeight w:val="234"/>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80" w:type="dxa"/>
            <w:vAlign w:val="bottom"/>
          </w:tcPr>
          <w:p>
            <w:pPr>
              <w:spacing w:after="0"/>
              <w:rPr>
                <w:sz w:val="20"/>
                <w:szCs w:val="20"/>
                <w:color w:val="auto"/>
              </w:rPr>
            </w:pPr>
          </w:p>
        </w:tc>
      </w:tr>
      <w:tr>
        <w:trPr>
          <w:trHeight w:val="198"/>
        </w:trPr>
        <w:tc>
          <w:tcPr>
            <w:tcW w:w="6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10.54%</w:t>
            </w:r>
          </w:p>
        </w:tc>
        <w:tc>
          <w:tcPr>
            <w:tcW w:w="2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10.54%</w:t>
            </w:r>
          </w:p>
        </w:tc>
      </w:tr>
      <w:tr>
        <w:trPr>
          <w:trHeight w:val="234"/>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w:t>
            </w:r>
          </w:p>
        </w:tc>
      </w:tr>
    </w:tbl>
    <w:p>
      <w:pPr>
        <w:spacing w:after="0" w:line="287"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future minimum commitments under ASC 842 under the Company’s operating and finance leases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0"/>
                <w:szCs w:val="20"/>
                <w:color w:val="auto"/>
              </w:rPr>
            </w:pPr>
          </w:p>
        </w:tc>
        <w:tc>
          <w:tcPr>
            <w:tcW w:w="224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540" w:type="dxa"/>
            <w:vAlign w:val="bottom"/>
          </w:tcPr>
          <w:p>
            <w:pPr>
              <w:spacing w:after="0"/>
              <w:rPr>
                <w:sz w:val="20"/>
                <w:szCs w:val="20"/>
                <w:color w:val="auto"/>
              </w:rPr>
            </w:pPr>
          </w:p>
        </w:tc>
        <w:tc>
          <w:tcPr>
            <w:tcW w:w="214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09"/>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tcBorders>
            <w:shd w:val="clear" w:color="auto" w:fill="CFF0FC"/>
          </w:tcPr>
          <w:p>
            <w:pPr>
              <w:spacing w:after="0"/>
              <w:rPr>
                <w:sz w:val="18"/>
                <w:szCs w:val="18"/>
                <w:color w:val="auto"/>
              </w:rPr>
            </w:pP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26,272</w:t>
            </w:r>
          </w:p>
        </w:tc>
        <w:tc>
          <w:tcPr>
            <w:tcW w:w="1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Pr>
          <w:p>
            <w:pPr>
              <w:spacing w:after="0"/>
              <w:rPr>
                <w:sz w:val="18"/>
                <w:szCs w:val="18"/>
                <w:color w:val="auto"/>
              </w:rPr>
            </w:pPr>
          </w:p>
        </w:tc>
        <w:tc>
          <w:tcPr>
            <w:tcW w:w="2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(8,138)</w:t>
            </w:r>
          </w:p>
        </w:tc>
        <w:tc>
          <w:tcPr>
            <w:tcW w:w="540" w:type="dxa"/>
            <w:vAlign w:val="bottom"/>
          </w:tcPr>
          <w:p>
            <w:pPr>
              <w:spacing w:after="0"/>
              <w:rPr>
                <w:sz w:val="18"/>
                <w:szCs w:val="18"/>
                <w:color w:val="auto"/>
              </w:rPr>
            </w:pP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Lease liabilities, current</w:t>
            </w:r>
          </w:p>
        </w:tc>
        <w:tc>
          <w:tcPr>
            <w:tcW w:w="50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7"/>
                <w:szCs w:val="17"/>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500" w:type="dxa"/>
            <w:vAlign w:val="bottom"/>
            <w:tcBorders>
              <w:bottom w:val="single" w:sz="8" w:color="auto"/>
            </w:tcBorders>
            <w:shd w:val="clear" w:color="auto" w:fill="CFF0FC"/>
          </w:tcPr>
          <w:p>
            <w:pPr>
              <w:spacing w:after="0"/>
              <w:rPr>
                <w:sz w:val="18"/>
                <w:szCs w:val="18"/>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-471170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-453390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6—Astellas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October 21, 2022 (the “Effective Date”), the Company entered into the Option Agreement (the “Option Agreement”) with Astellas Gene Therapies, Inc. (f/k/a Audentes Therapeutics, Inc. (d/b/a Astellas Gene Therapy))(“Astellas”), pursuant to which the Company granted to Astellas an exclusive option to obtain an exclusive, worldwide, royalty and milestone-bearing right and license (A) to research, develop, make, have made, use, sell, offer for sale, have sold, import, export and otherwise exploit, or, collectively, exploit, the product known, as of the Effective Date, as TSHA-120 (the “120 GAN Product”), and any backup products with respect thereto for use in the treatment of Giant Axonal Neuropathy (“GAN”) or any other gene therapy product for use in the treatment of GAN that is controlled by Taysha or any of its affiliates or with respect to which the Company or any of its affiliates controls intellectual property rights covering the exploitation thereof (a “GAN Product”) and (B) under any intellectual property rights controlled by Taysha or any of its affiliates with respect to such exploitation (the “GAN Option”). Subject to certain extensions, the GAN Option was exercisable from the Effective Date through a specified period of time following Astellas’ receipt of (i) the formal minutes from the Type B end-of-Phase 2 meeting between Taysha and the FDA in response to the Company’s meeting request sent to the FDA on September 19, 2022 for the 120 GAN Product (the “Type B end-of-Phase 2 Meeting”), (ii) all written feedback from the FDA with respect to the Type B end-of-Phase 2 Meeting, and (iii) all briefing documents sent by Taysha to the FDA with respect to the Type B end-of-Phase 2 Meeting. In September 2023, Astellas provided written notice of its decision not to exercise the GAN Option.</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the Company also granted to Astellas an exclusive option to obtain an exclusive, worldwide, royalty and milestone-bearing right and license (A) to exploit any Rett Product (as defined below), and (B) under any intellectual property rights controlled by Taysha or any of its affiliates with respect to such exploitation (the “Rett Option”). Subject to certain extensions, the Rett Option is exercisable from the Effective Date through a specified period of time following Astellas’ receipt of (i) certain clinical data from the female pediatric trial and (ii)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Taysha or any of its affiliates or with respect to which the Company or any of its affiliates controls intellectual property rights covering the exploitation thereof (a “Rett Product”). The Company delivered the Rett Data Package to Astellas in mid-2025. Under the Option Agreement, Astellas must decide whether to exercise the Rett Option within 90 days after Astellas’ receipt of the Rett Data Package.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the Rett Option, the parties will, for a specified period, negotiate a license agreement in good faith on the terms and conditions outlined in the Option Agreement, including payments by Astellas of a to be determined upfront payment, certain to be determined milestone payments, and certain to be determined royalties on net sales of Rett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During the Rett Option Period, the Company has agreed to (A) not solicit or encourage any inquiries, offers or proposals for, or that could reasonably be expected to lead to, a Change of Control (as defined in the Option Agreement), or (B) otherwise initiate a process for a potential Change of Control, in each case, without first notifying Astellas and offering Astellas the opportunity to submit an offer or proposal to the Company for a transaction that would result in a Change of Control. If Astellas fails or declines to submit any such offer within a specified period after the receipt of such notice, the Company will have the ability to solicit third party bids for a Change of Control transaction. If Astellas delivers an offer to the Company for a transaction that would result in a Change of Control, the Company and Astellas will attempt to negotiate in good faith the potential terms and conditions for such potential transaction that would result in a Change of Control for a specified period, which period may be shortened or extended by mutual agreement.</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partial consideration for the rights granted to Astellas under the Option Agreement, Astellas paid the Company an upfront payment of $20.0 million (the “Upfront Payment”). Astellas or any of its affiliates shall have the right, in its or their discretion and upon written notice to the Company, to offset the amount of the Upfront Payment (in whole or in part, until the full amount of the Upfront Payment has been offset) against (a) any payment(s) owed to Taysha or any of its affiliates (or to any third party on behalf of the Company) under or in connection with any license agreement entered into with respect to any GAN Product or Rett Product, including, any upfront payment, milestone payment or royalties owed to Taysha or any of its affiliates (or to any third party on behalf of the Company) under or in connection with any such license agreement or (b) any amount owed to Taysha or any of its affiliates in connection with a Change of Control transaction with Astellas or any of its affiliates. As further consideration for the rights granted to Astellas under the Option Agreement, the Company and Astellas also entered into the Astellas Securities Purchase Agreement (as defined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Securities Purchase Agreement</w:t>
      </w:r>
    </w:p>
    <w:p>
      <w:pPr>
        <w:spacing w:after="0" w:line="11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October 21, 2022, the Company entered into a securities purchase agreement with Astellas (the “Astellas Securities Purchase Agreement”), pursuant to which the Company agreed to issue and sell to Astellas in a private placement (the “Astellas Private Placement”), an aggregate of 7,266,342 shares (the “Astellas Private Placement Shares”), of its common stock, for aggregate gross proceeds of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The Company also granted Astellas certain registration rights with respect to the Astellas Private Placement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October 2022, upon closing of the Astellas Private Placement and transferring the 7,266,342 shares to Astellas, the Company recorded the issuance of shares at fair value. Fair value of the shares transferred to Astellas was calculated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by analyzing the Company’s stock price for a short period of time prior to and after the transaction date as traded on the NASDAQ. The NASDAQ trading data is considered an active market and a Level 1 measurement under ASC 820. The fair value was determined to be approximately $13.95 million or $1.92 per share. The $16.1 million difference between the $30.0 million paid by Astellas and the fair market value of shares issued was allocated to the transaction price of the Option Agreement.</w:t>
      </w:r>
    </w:p>
    <w:p>
      <w:pPr>
        <w:spacing w:after="0" w:line="185"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determined that the Option Agreement falls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the development of TSHA-102 for the treatment of Rett Syndrome and TSHA-120 for the treatment of GAN are considered ordinary activities for the Company. In accordance with ASC 606, the Company evaluated the Option Agreement and identified three separate performance obligations: (1) option to obtain licensing right to GAN, (2) option to obtain licensing right to Rett and (3) performance of research and development activities in the Rett development plan. The transaction price is determined to be $36.1 million which is comprised of the $20.0 million Upfront Payment and the $16.1 million allocated from the Astellas Private Placement.</w:t>
      </w:r>
    </w:p>
    <w:p>
      <w:pPr>
        <w:spacing w:after="0" w:line="184"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To determine the standalone selling price (“SSP”) of the Rett and GAN options, which the Company concluded to be material rights, the Company utilized the probability-weighted expected return (“PWERM”) method. The PWERM method contemplates the probability and timing of an option exercise. At contract inception, the Company estimated that the probability of exercise was 50% for each of the GAN and Rett options. The SSP of the Rett research and development activities was estimated using an expected cost-plus margin approach. The standalone selling prices of the material rights and Rett research and development activities were then used to proportionately allocate the $36.1 million transaction price to the three performance obligations. The $36.1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color w:val="auto"/>
        </w:rPr>
        <w:t>million transaction price was recorded as deferred revenue on the condensed consolidated balance sheet at the inception of the Astellas Transactions.</w:t>
      </w:r>
    </w:p>
    <w:p>
      <w:pPr>
        <w:spacing w:after="0" w:line="225"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transaction price to the three performance obligations at contract inception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Transaction Price Allocation</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to obtain license for Rett</w:t>
            </w: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Option to obtain license for GAN</w:t>
            </w:r>
          </w:p>
        </w:tc>
        <w:tc>
          <w:tcPr>
            <w:tcW w:w="4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Rett research and development activities</w:t>
            </w:r>
          </w:p>
        </w:tc>
        <w:tc>
          <w:tcPr>
            <w:tcW w:w="460" w:type="dxa"/>
            <w:vAlign w:val="bottom"/>
            <w:tcBorders>
              <w:bottom w:val="single" w:sz="8" w:color="auto"/>
            </w:tcBorders>
            <w:shd w:val="clear" w:color="auto" w:fill="CFF0FC"/>
          </w:tcPr>
          <w:p>
            <w:pPr>
              <w:spacing w:after="0"/>
              <w:rPr>
                <w:sz w:val="18"/>
                <w:szCs w:val="18"/>
                <w:color w:val="auto"/>
              </w:rPr>
            </w:pP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Revenue allocated to the material rights will be recognized at a point in time when each option period expires or when a decision is made by Astellas to exercise or not exercise each option. Revenue from the Rett research and development activities will be recognized as activities are performed using an input method, according to the costs incurred as related to the total costs expected to be incurred to satisfy the performance obligation. The transfer of control occurs over this time period and is a reliable measure of progress towards satisfying the performance obligation.</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revenue of $2.0 million and $1.1 million from Rett research and development activities for the three months ended June 30, 2025 and 2024, respectively. The Company recognized revenue of $4.3 million and $4.5 million from Rett research and development activities for the six months ended June 30, 2025 and 2024, respectively.</w:t>
      </w:r>
    </w:p>
    <w:p>
      <w:pPr>
        <w:spacing w:after="0" w:line="176"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had $5.5 million of deferred revenue on the condensed consolidated balance sheet as of June 30, 2025 comprised of $5.5 million for the Rett Option. The Company had $9.8 million of deferred revenue on the condensed consolidated balance sheets as of December 31, 2024 comprised of $5.5 million for the Rett Option and $4.3 million of Rett research and development activities.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Term Loans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with Trinity Capital</w:t>
      </w:r>
    </w:p>
    <w:p>
      <w:pPr>
        <w:spacing w:after="0" w:line="121"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On November 13, 2023 (the “Trinity Closing Date”), the Company entered into a Loan and Security Agreement (the “Trinity Term Loan Agreement”), by and among the Company, the lenders party thereto from time to time (the “Trinity Lenders”) and Trinity Capital Inc., as administrative agent and collateral agent for the Trinity Lenders (“Trinity”). The Trinity Term Loan Agreement provides for, on the Trinity Closing Date, $40.0 million aggregate principal amount of term loans (collectively, the “Trinity Term Loans”). The Company drew the Trinity Term Loans in full on the Trinity Closing Date.</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interest rate applicable to the Trinity Term Loans is the greater of (a) the Wall Street Journal (“WSJ”) Prime Rate plus 4.50% or (b) 12.75% per annum. The Trinity Term Loans are interest only from the Trinity Closing Date through 36 months from the Trinity Closing Date, which may be extended to 48 months from the Trinity Closing Date upon the satisfaction of certain milestones set forth in the Trinity Term Loan Agreement, after which the Company is required to pay equal monthly installments of principal through November 13, 2028 (the “Maturity Date”). As of June 30, 2025, $40.0 million was outstanding on the Term Loan, recorded as Term Loan, net on the condensed consolidated balance sheet.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Trinity Term Loan Agreement as of June 30, 2025 are as follows (in thousands):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100" w:type="dxa"/>
            <w:vAlign w:val="bottom"/>
          </w:tcPr>
          <w:p>
            <w:pPr>
              <w:spacing w:after="0"/>
              <w:rPr>
                <w:sz w:val="18"/>
                <w:szCs w:val="18"/>
                <w:color w:val="auto"/>
              </w:rPr>
            </w:pPr>
          </w:p>
        </w:tc>
      </w:tr>
      <w:tr>
        <w:trPr>
          <w:trHeight w:val="216"/>
        </w:trPr>
        <w:tc>
          <w:tcPr>
            <w:tcW w:w="9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r>
      <w:tr>
        <w:trPr>
          <w:trHeight w:val="20"/>
        </w:trPr>
        <w:tc>
          <w:tcPr>
            <w:tcW w:w="9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Trinity Term Loans may be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the Company paid to Trinity a commitment fee of 1.00% of the original principal amount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80"/>
        <w:spacing w:after="0" w:line="282" w:lineRule="auto"/>
        <w:rPr>
          <w:sz w:val="20"/>
          <w:szCs w:val="20"/>
          <w:color w:val="auto"/>
        </w:rPr>
      </w:pPr>
      <w:r>
        <w:rPr>
          <w:rFonts w:ascii="Times New Roman" w:cs="Times New Roman" w:eastAsia="Times New Roman" w:hAnsi="Times New Roman"/>
          <w:sz w:val="18"/>
          <w:szCs w:val="18"/>
          <w:color w:val="auto"/>
        </w:rPr>
        <w:t>the Trinity Term Loans. Upon repayment in full of the Trinity Term Loans, the Company will pay to Trinity an end of term payment equal to 5.00% of the original principal amount of the Trinity Term Loans.</w:t>
      </w:r>
    </w:p>
    <w:p>
      <w:pPr>
        <w:spacing w:after="0" w:line="16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obligations under the Trinity Term Loan Agreement are secured by a perfected security interest in all of the Company’s assets except for certain customarily excluded property pursuant to the terms of the Trinity Term Loan Agreement. There are no financial covenants and no warrants associated with the Trinity Term Loan Agreement. The Trinity Term Loan Agreement contains various covenants that limit the Company’s ability to engage in specified types of transactions without the consent of Trinity and the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 As of June 30, 2025, the Company is in compliance with all covenants of the Trinity Term Loans.</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Trinity Term Loan Agreement contains customary representations and warranties, and also includes customary events of default, including payment default, breach of covenants, change of control, and material adverse effects. Upon the occurrence of an event of default, a default interest rate of an additional 5.00% per annum may be applied to the outstanding loan balances, and the Trinity Lenders may declare all outstanding obligations immediately due and payable and exercise all of its rights and remedies as set forth in the Trinity Term Loan Agreement and under applicable law.</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The Company assessed the terms and features of the Trinity Term Loans and determined that the Company was eligible to elect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Trinity Term Loans contain various embedded features and the election of the fair value option allowed the Company to bypass analysis of potential embedded derivatives and further analysis of bifurcation of any recognized financial liabilities. Under the fair value option, the financial liability is initially measured at its fair value on the issue date and subsequently remeasured at estimated fair value on a recurring basis at each reporting date. Changes in the fair value of the Trinity Term Loans, which include accrued interest, if any, are recorded as a component of other expense (income) in the condensed consolidated statements of operations. The Company has not elected to present interest expense separately from changes in fair value and therefore will not present interest expense associated with the Trinity Term Loans. Any changes in fair value caused by instrument-specific credit risk are presented separately in other comprehensive income or loss if material. Under the fair value option, debt issuance costs are expensed as incurred. The Company incurred $0.9 million of debt issuance costs, which were recorded within general and administrative expense in the consolidated statements of operations for the year ended December 31, 2023.</w:t>
      </w:r>
    </w:p>
    <w:p>
      <w:pPr>
        <w:spacing w:after="0" w:line="19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Trinity Term Loans, the Company entered into a Success Fee Agreement with Trinity which specifies the terms regarding a fee in the amount of 10% of the principal amount of the funded Trinity Term Loans (the “Success Fee”). The Success Fee is payable upon the achievement of certain corporate development value-inflection milestones. The Success Fee survives the termination of the Trinity Term Loans and expires on the earlier of ten years, or payment in full in cash of the Success Fee. The Company determined that the Success Fee represents a freestanding financial instrument and should be accounted for as a derivative liability under ASC 815 and recorded a liability within other non-current liabilities on the consolidated balance sheet, at fair value on the Trinity Closing Date and will be marked-to-market at the end of each reporting period with gains and losses recognized as a component of other income (expense) in the condensed consolidated statements of operations.</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proceeds from the Trinity Term Loans were allocated to the Success Fee and Trinity Term Loans based on their respective fair values on the Trinity Closing Date. The fair values were determined utilizing a probability-weighted income approach, including variables for the timing of a success event and other probability estimates.</w:t>
      </w:r>
    </w:p>
    <w:p>
      <w:pPr>
        <w:spacing w:after="0" w:line="17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the Trinity Term Loans and the Success Fee using a probability-weighted income approach and recorded the loan at fair value of $39.2 million and the Success Fee liability at fair value of $0.8 million in the condensed consolidated balance sheet at issuance. The Company calculated the discounted cash flows of the Trinity Term Loans using a discount rate of 15.68% and adjusted for the probability of various repayment scenarios. The Company calculated the discounted cash flows of the Success Fee liability, using a discount rate of 15.68% then adjusted for the probability of achievement of certain corporate development value-inflection milestones.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remeasured the fair value of the Trinity Term Loans and Success Fee as of June 30, 2025 using a probability-weighted income approach. The Company calculated discounted cash flows of the Trinity Term Loans using a discount rate of 14.74% and adjusted for the probability of various repayment scenarios. The Company calculated the discounted cash flows of the Success Fee liability, using a discount rate of 14.74% then adjusted for the probability of achievement of certain corporate development value-inflection milestones.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Trinity Term Loans during the six months ended June 30,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43,942</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8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8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(3,332)</w:t>
            </w:r>
          </w:p>
        </w:tc>
      </w:tr>
      <w:tr>
        <w:trPr>
          <w:trHeight w:val="249"/>
        </w:trPr>
        <w:tc>
          <w:tcPr>
            <w:tcW w:w="9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June 30, 2025</w:t>
            </w: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Trinity Term Loans during the three months ended June 30,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Trinity Term Loans</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April 1, 2025</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42,453</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w:t>
            </w:r>
          </w:p>
        </w:tc>
        <w:tc>
          <w:tcPr>
            <w:tcW w:w="8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reported in statements of operations</w:t>
            </w:r>
          </w:p>
        </w:tc>
        <w:tc>
          <w:tcPr>
            <w:tcW w:w="8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FF0FC"/>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reported in comprehensive loss</w:t>
            </w:r>
          </w:p>
        </w:tc>
        <w:tc>
          <w:tcPr>
            <w:tcW w:w="8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(1,587)</w:t>
            </w:r>
          </w:p>
        </w:tc>
      </w:tr>
      <w:tr>
        <w:trPr>
          <w:trHeight w:val="250"/>
        </w:trPr>
        <w:tc>
          <w:tcPr>
            <w:tcW w:w="9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June 30, 2025</w:t>
            </w: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41,051</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$1.3 million and $2.6 million, respectively, of interest expense within change in fair value of term loans, all of which was paid as of June 30, 2025. During the three and six months ended June 30, 2024, the Company recorded $1.3 million and $2.6 million, respectively, of interest expense within change in fair value of term loans, all of which was paid as of June 30, 2024.</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 liability during the six months ended June 30,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w:t>
            </w:r>
          </w:p>
        </w:tc>
        <w:tc>
          <w:tcPr>
            <w:tcW w:w="2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January 1, 2025</w:t>
            </w:r>
          </w:p>
        </w:tc>
        <w:tc>
          <w:tcPr>
            <w:tcW w:w="35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Success Fee</w:t>
            </w:r>
          </w:p>
        </w:tc>
        <w:tc>
          <w:tcPr>
            <w:tcW w:w="29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June 30, 2025</w:t>
            </w:r>
          </w:p>
        </w:tc>
        <w:tc>
          <w:tcPr>
            <w:tcW w:w="29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reconciles the change in fair value of the Success Fee liability during the three months ended June 30, 2025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Success Fee</w:t>
            </w:r>
          </w:p>
        </w:tc>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fair value balance as of April 1, 2025</w:t>
            </w:r>
          </w:p>
        </w:tc>
        <w:tc>
          <w:tcPr>
            <w:tcW w:w="366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Success Fee</w:t>
            </w:r>
          </w:p>
        </w:tc>
        <w:tc>
          <w:tcPr>
            <w:tcW w:w="30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r>
      <w:tr>
        <w:trPr>
          <w:trHeight w:val="250"/>
        </w:trPr>
        <w:tc>
          <w:tcPr>
            <w:tcW w:w="6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fair value balance as of June 30, 2025</w:t>
            </w:r>
          </w:p>
        </w:tc>
        <w:tc>
          <w:tcPr>
            <w:tcW w:w="30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On August 7, 2025, the Company entered into the New Trinity Term Loan Agreement (as defined below) and terminated the existing Trinity Term Loan Agreement, as described in more detail in Note 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 In December 2023, the Company and UT Southwestern mutually agreed to terminate specific sponsored research agreements.</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 In December 2023 and March 2025, the Company transferred rights to specific indications back to UT Southwestern.</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 issued 2,179,000 shares of its common stock, or 20% of its then outstanding fully-diluted common stock, to UT Southwestern. The Company does not have any future milestone or royalty obligations to UT Southwestern under the UT Southwestern Agreement other than costs related to maintenance of patents.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December 2021, a regulatory milestone was triggered in connection with this agreement and therefore the Company recorded $3.0 million within research and development expenses in the consolidated statements of operations for the year ended December 31, 2021. The milestone fee was paid in January 2022 and classified as an investing cash outflow in the consolidated statements of cash flows. No additional milestone payments were triggered in connection with this agreement during the six months ended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9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March 2022, the Company’s clinical trial application, (“CTA”) filing for TSHA-102 for the treatment of Rett Syndrome was approved by Health Canada and therefore triggered a regulatory milestone payment in connection with this agreement. The Company recorded $1.0 million within research and development expenses and classified the payment as an investing cash outflow in the consolidated statements of cash flows. In May 2023, the Company dosed the first patient with TSHA-102 in the Phase 1/2 REVEAL trial evaluating the safety and preliminary efficacy of TSHA-102 in adult patients with Rett syndrome and therefore triggered a milestone payment in connection with the Abeona Rett Agreement. The Company recorded $3.5 million within research and development expenses in the condensed consolidated statements of operations for the year ended December 31, 2023. This milestone fee was paid in August 2023 and classified as an investing cash outflow in the consolidated statements of cash flows for the year ended December 31, 2023. No additional milestone payments were made or triggered in connection with this agreement during the six months ended June 30, 2025.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9—Stock-Based Compensation</w:t>
      </w:r>
    </w:p>
    <w:p>
      <w:pPr>
        <w:spacing w:after="0" w:line="121" w:lineRule="exact"/>
        <w:rPr>
          <w:sz w:val="20"/>
          <w:szCs w:val="20"/>
          <w:color w:val="auto"/>
        </w:rPr>
      </w:pPr>
    </w:p>
    <w:p>
      <w:pPr>
        <w:jc w:val="both"/>
        <w:ind w:right="60" w:firstLine="749"/>
        <w:spacing w:after="0" w:line="258"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2020 Equity Incentive Plan (“Previous Plan”) which permitted the granting of incentive stock options, non-statutory stock options, stock appreciation rights, restricted stock awards (“RSAs”), restricted stock units (“RSUs”) and other stock-based awards to employees, directors, officers and consultants. As of September 16, 2020, the approval date of the New Plan (as defined below), no additional awards will be granted under the Previous Plan. The terms of the Previous Plan will continue to govern the terms of outstanding equity awards that were granted prior to approval of the New Plan.</w:t>
      </w:r>
    </w:p>
    <w:p>
      <w:pPr>
        <w:spacing w:after="0" w:line="183"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September 16, 2020, the Company’s stockholders approved the 2020 Stock Incentive Plan (“New Plan”), which became effective upon the execution of the underwriting agreement in connection with the IPO. The number of shares of common stock reserved for issuance under the New Plan automatically increases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Pursuant to this provision, on January 1, 2025, the Company increased the number of shares of common stock reserved for issuance under the New Plan by 10,247,165 shares.</w:t>
      </w:r>
    </w:p>
    <w:p>
      <w:pPr>
        <w:spacing w:after="0" w:line="187"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Pursuant to this provision, on January 1, 2025 the Company increased the number of shares of common stock reserved for issuance under the ESPP by 724,000. The Company has issued an aggregate of 293,689 shares of common stock under the ESPP as of June 30, 2025.</w:t>
      </w:r>
    </w:p>
    <w:p>
      <w:pPr>
        <w:spacing w:after="0" w:line="19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On December 15, 2023, the Company’s board of directors adopted the Taysha Gene Therapies, Inc. 2023 Inducement Plan (the “Inducement Plan”). The Inducement Plan was adopted without stockholder approval pursuant to Nasdaq Listing Rule 5635(c)(4).</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0" w:name="page21"/>
    <w:bookmarkEnd w:id="20"/>
    <w:p>
      <w:pPr>
        <w:ind w:right="400"/>
        <w:spacing w:after="0" w:line="282" w:lineRule="auto"/>
        <w:rPr>
          <w:sz w:val="20"/>
          <w:szCs w:val="20"/>
          <w:color w:val="auto"/>
        </w:rPr>
      </w:pPr>
      <w:r>
        <w:rPr>
          <w:rFonts w:ascii="Times New Roman" w:cs="Times New Roman" w:eastAsia="Times New Roman" w:hAnsi="Times New Roman"/>
          <w:sz w:val="18"/>
          <w:szCs w:val="18"/>
          <w:color w:val="auto"/>
        </w:rPr>
        <w:t>The Board reserved 4,000,000 shares of the Company’s common stock for issuance under the Inducement Plan. On December 12, 2024, the Company reserved an additional 2,000,000 shares of the Company’s common stock for issuance under the Inducement Plan.</w:t>
      </w:r>
    </w:p>
    <w:p>
      <w:pPr>
        <w:spacing w:after="0" w:line="162"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only persons eligible to receive grants of Inducement Awards (as defined below) under the Inducement Plan are individuals who satisfy the standards for inducement grants under Nasdaq Listing Rule 5635(c)(4). The Inducement Plan will be administered by the Board and the Company’s Compensation Committee. Inducement Awards may only be granted by: (i) the Compensation Committee, provided such committee is comprised solely of “independent directors” (as defined by Nasdaq Listing Rule 5605(a)(2)) or (ii) a majority of the Company’s “independent directors.” An “Inducement Award” means any right to receive the Company’s common stock, cash or other property granted under the Inducement Plan (including nonstatutory stock options, restricted stock awards, restricted stock unit awards, stock appreciation rights, performance stock awards, performance cash awards or other stock-based awards).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number of shares available for grant under the Company’s incentive plans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9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New</w:t>
            </w: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Inducement</w:t>
            </w:r>
          </w:p>
        </w:tc>
        <w:tc>
          <w:tcPr>
            <w:tcW w:w="176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90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January 1, 2025</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2,999,700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 adjustments and amendments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Grants</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(10,194,976)</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(2,295,000)</w:t>
            </w:r>
          </w:p>
        </w:tc>
        <w:tc>
          <w:tcPr>
            <w:tcW w:w="1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(12,489,976)</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980,593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1,024,450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Available for grant - June 30, 2025</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1,734,212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1,729,150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3,463,362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a total of 1,720,984 shares of common stock under the New Plan and the Inducement Plan were awarded with a weighted-average grant date fair value per share of $1.54. For the six months ended June 30, 2025, a total of 9,158,984 shares of common stock under the New Plan and the Inducement Plan were awarded with a weighted-average grant date fair value per share of $1.42. The stock options vest over one to four years and have a ten-year contractual term.</w:t>
      </w:r>
    </w:p>
    <w:p>
      <w:pPr>
        <w:spacing w:after="0" w:line="180"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time-based vesting stock options that were granted during the three and six months ended June 30, 2025 and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7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590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0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4.03%</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4.55%</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FF0FC"/>
          </w:tcPr>
          <w:p>
            <w:pPr>
              <w:spacing w:after="0"/>
              <w:rPr>
                <w:sz w:val="18"/>
                <w:szCs w:val="18"/>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time-based vesting stock option activity during the six months ended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outstanding at January 1, 2025</w:t>
            </w: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16,220,605</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9,158,984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(80,228)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(1,542,657)</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(69,793)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23,686,911</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at June 30,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7,372,805</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4.85</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-187960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at the respective reporting date and the exercise price of the stock options. As of June 30, 2025, the total unrecognized compensation related to unvested stock option awards granted was $22.2 million, which the Company expects to recognize over a weighted-average period of approximately 2.8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Options</w:t>
      </w:r>
    </w:p>
    <w:p>
      <w:pPr>
        <w:spacing w:after="0" w:line="121"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February 2023, the Company issued options to purchase 70,235 shares of common stock to employees under the New Plan that contain performance-based vesting conditions, subject to continued employment through each anniversary and achievement of the performance conditions. The grant date fair value of these awards was not material. During the six months ended June 30, 2025, 1,065 performance-based stock options were exercised. As of June 30, 2025, 57,281 of the shares subject to the performance-based options were vested and outstanding.</w:t>
      </w:r>
    </w:p>
    <w:p>
      <w:pPr>
        <w:spacing w:after="0" w:line="180"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In May 2023, the Company issued options to purchase 2,166,653 shares of common stock to employees under the New Plan that contain both service and performance-based vesting conditions (the “Original Options”), with a weighted average grant date fair value per share of $0.50. These Original Options were expected to vest over a 3.6 year term if a combination of clinical, regulatory and financing performance conditions were achieved. No compensation expense was recognized in 2023 related to the Original Options as achievement of the performance conditions was not considered probable. The following weighted-average assumptions were used to estimate the fair value of the options granted in February 2023 and the Original Options that were granted in May 2023: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7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Company modified all of the Original Options to amend the clinical and regulatory performance conditions and decreased the number of options granted to 1,516,655 (the “Modified Options”). The Company accounted for the changes in award terms as a modification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Total compensation cost is equal to the modification date fair value. The Modified Options have a grant date fair value per share of $1.28. The following assumptions were used to estimate the fair value of the Modified Options: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9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17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Modified Options will vest over 3.0 years. The Company recognized stock-based compensation expense of $0.1 million and $0.3 million for the three and six months ended June 30, 2025, respectively, related to the Modified Options. As of June 30, 2025, the total unrecognized compensation expense related to the Modified Options was $0.5 million, which the Company expects to recognize over a weighted average period of approximately 1.2 years using the accelerated attribution method. During the six months ended June 30, 2025, 12,395 of the Modified Options were exercised. As of June 30, 2025, 1,504,260 of the Modified Options were outstanding, of which 493,157 were vested. No Modified Options vested during the six months ended June 30,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the Company issued 3,330,992 RSUs under the New Plan. The RSUs are subject to a service-based vesting condition. The service-based RSUs vest over a period of one to four year years. The Company at any time may accelerate the vesting of the RSUs. Such shares are not accounted for as outstanding until they vest.</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default tax withholding method for RSUs granted prior to 2023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 For RSUs granted in 2023, the Company’s tax withholding policy allows the RSU holder to choose to either pay cash to the Company for the tax withholding obligation or elect the net withholding method, in which shares with a market equivalent to the tax withholding obligation are withheld and the net shares are issued to the RSU holder. For RSUs granted in 2024 and later, the Company’s tax withholding policy allows the RSU holder to choose to either pay cash to the Company for the tax withholding obligation or to elect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six months ended June 30, 2025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1,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4,549,154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(1,246,218)</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June 30, 2025</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6,271,178</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2025, there were 1,049,338 vested and unsettled RSU awards with a weighted average grant date fair value of $1.71 per share.</w:t>
      </w:r>
    </w:p>
    <w:p>
      <w:pPr>
        <w:spacing w:after="0" w:line="22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the total unrecognized compensation cost related to the unvested RSU's was $9.8 million which is expected to be amortized on a straight-line basis over a weighted-average period of approximately 2.9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shares of Taysha common stock during any offering period. During each of the three and six months ended June 30, 2025 and 2024, stock-based compensation expense related to the ESPP was not material.</w:t>
      </w:r>
    </w:p>
    <w:p>
      <w:pPr>
        <w:spacing w:after="0" w:line="183"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for the stock options, ESPP and RSUs recorded in the condensed consolidated statements of operations for the three and six months ended June 30, 2025 and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4440" w:type="dxa"/>
            <w:vAlign w:val="bottom"/>
          </w:tcPr>
          <w:p>
            <w:pPr>
              <w:spacing w:after="0"/>
              <w:rPr>
                <w:sz w:val="15"/>
                <w:szCs w:val="15"/>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1,330</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2,002</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18"/>
                <w:szCs w:val="18"/>
                <w:color w:val="auto"/>
              </w:rPr>
            </w:pPr>
          </w:p>
        </w:tc>
      </w:tr>
      <w:tr>
        <w:trPr>
          <w:trHeight w:val="230"/>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3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3,332</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10—Warrants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May 2025</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May 28, 2025, the Company entered into the May 2025 Underwriting Agreement with the Underwriters to issue and sell 46,868,687 shares of common stock, and, in lieu of common stock to certain investors, pre-funded warrants to purchase 25,858,586 shares of common stock (the “May 2025 Pre-Funded Warrants”) in the May 2025 Offering. The offering price to the public was $2.75 per share of common stock and $2.749 per May 2025 Pre-Funded Warrant, which was the price to the public of each share of common stock sold in the May 2025 Offering, minus the $0.001 exercise price per May 2025 Pre-Funded Warrant. The Underwriters agreed to purchase the shares and the May 2025 Pre-Funded Warrants from the Company pursuant to the May 2025 Underwriting Agreement at a price of $2.585 per share and $2.584 per May 2025 Pre-Funded Warrant, respectively. The initial closing of the May 2025 Offering occurred on May 30, 2025; no additional May 2025 Pre-Funded Warrants were sold upon the exercise of the Underwriters’ option in June 2025.</w:t>
      </w:r>
    </w:p>
    <w:p>
      <w:pPr>
        <w:spacing w:after="0" w:line="192" w:lineRule="exact"/>
        <w:rPr>
          <w:sz w:val="20"/>
          <w:szCs w:val="20"/>
          <w:color w:val="auto"/>
        </w:rPr>
      </w:pPr>
    </w:p>
    <w:p>
      <w:pPr>
        <w:ind w:right="140" w:firstLine="749"/>
        <w:spacing w:after="0" w:line="273" w:lineRule="auto"/>
        <w:rPr>
          <w:sz w:val="20"/>
          <w:szCs w:val="20"/>
          <w:color w:val="auto"/>
        </w:rPr>
      </w:pPr>
      <w:r>
        <w:rPr>
          <w:rFonts w:ascii="Times New Roman" w:cs="Times New Roman" w:eastAsia="Times New Roman" w:hAnsi="Times New Roman"/>
          <w:sz w:val="17"/>
          <w:szCs w:val="17"/>
          <w:color w:val="auto"/>
        </w:rPr>
        <w:t>Each May 2025 Pre-Funded Warrant has an initial exercise price per share of $0.001, subject to certain adjustments. The May 2025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40"/>
        <w:spacing w:after="0" w:line="282" w:lineRule="auto"/>
        <w:rPr>
          <w:sz w:val="20"/>
          <w:szCs w:val="20"/>
          <w:color w:val="auto"/>
        </w:rPr>
      </w:pPr>
      <w:r>
        <w:rPr>
          <w:rFonts w:ascii="Times New Roman" w:cs="Times New Roman" w:eastAsia="Times New Roman" w:hAnsi="Times New Roman"/>
          <w:sz w:val="18"/>
          <w:szCs w:val="18"/>
          <w:color w:val="auto"/>
        </w:rPr>
        <w:t>pre-funded warrants, subject to such holder’s rights under the May 2025 Pre-Funded Warrant to increase or decrease such percentage to another percentage not in excess of 19.99% upon at least 61 days’ prior notice from such holder to the Company.</w:t>
      </w:r>
    </w:p>
    <w:p>
      <w:pPr>
        <w:spacing w:after="0" w:line="16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May 2025 Pre-Funded Warrants meet the criteria for equity classification at issuance and were recorded as a component of stockholders’ equity within additional paid-in capital. The May 2025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Pre-Funded Warrants Issued in June 2024</w:t>
      </w:r>
    </w:p>
    <w:p>
      <w:pPr>
        <w:spacing w:after="0" w:line="11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June 26, 2024, the Company entered into the June 2024 Underwriting Agreement with the Underwriters to issue and sell 14,361,113 shares of common stock, and, in lieu of common stock to certain investors, pre-funded warrants to purchase 18,972,221 shares of common stock (the “June 2024 Pre-Funded Warrants”) in the June 2024 Offering. The offering price to the public was $2.25 per share of common stock and $2.249 per June 2024 Pre-Funded Warrant, which was the price to the public of each share of common stock sold in the June 2024 Offering, minus the $0.001 exercise price per June 2024 Pre-Funded Warrant. The Underwriters agreed to purchase the shares and the June 2024 Pre-Funded Warrants from the Company pursuant to the June 2024 Underwriting Agreement at a price of $2.115 per share and $2.114 per June 2024 Pre-Funded Warrant, respectively. The initial closing of the June 2024 Offering occurred on June 27, 2024; no additional June 2024 Pre-Funded Warrants were sold upon the exercise of the Underwriters’ option in July 2024.</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Each June 2024 Pre-Funded Warrant has an initial exercise price per share of $0.001, subject to certain adjustments. The June 2024 Pre-Funded Warrants may be exercised at any time until exercised in full, except that a holder will not be entitled to exercise any portion of any pre-funded warrant, which, upon giving effect to such exercise would cause (i) the aggregate number of shares of the Company’s common stock beneficially owned by the holder (together with its affiliates) to exceed 4.99% or 9.99%, as the case may be, of the number of shares of the Company’s common stock outstanding immediately prior to or after giving effect to the exercise, or (ii) the combined voting power of the Company’s securities beneficially owned by the holder (together with its affiliates) to exceed 4.99% or 9.99%, as the case may be, of the combined voting power of all of the Company’s securities then outstanding immediately prior to or after giving effect to the exercise, as such percentage ownership is determined in accordance with the terms of the pre-funded warrants, subject to such holder’s rights under the June 2024 Pre-Funded Warrant to increase or decrease such percentage to another percentage not in excess of 19.99% upon at least 61 days’ prior notice from such holder to the Company.</w:t>
      </w:r>
    </w:p>
    <w:p>
      <w:pPr>
        <w:spacing w:after="0" w:line="188"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Company concluded that the June 2024 Pre-Funded Warrants meet the criteria for equity classification at issuance and were recorded as a component of stockholders’ equity within additional paid-in capital. The June 2024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Pre-Funded Warrants Issued in August 2023</w:t>
      </w:r>
    </w:p>
    <w:p>
      <w:pPr>
        <w:spacing w:after="0" w:line="11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the Company entered into a Securities Purchase Agreement (the “August 2023 Purchase Agreement”) with certain institutional and other accredited investors (the “Purchasers”), pursuant to which the Company agreed to sell and issue to the Purchasers in a private placement transaction (the “August 2023 Private Placement”) (i) 122,412,376 shares (the “PIPE Shares”) of the Company’s common stock, and (ii) with respect to certain Purchasers, pre-funded warrants to purchase 44,250,978 shares of the Company’s common stock (the “2023 Pre-Funded Warrants”) in lieu of shares of the Company’s common stock. The purchase price per share of common stock was $0.90 per share (the “PIPE Purchase Price”), and the purchase price for the 2023 Pre-Funded Warrants was the PIPE Purchase Price minus $0.001 per 2023 Pre-Funded Warrant.</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2023 Pre-Funded Warrants have a per share exercise price of $0.001, subject to proportional adjustments in the event of stock splits or combinations or similar events. The 2023 Pre-Funded Warrants will not expire until exercised in full. The 2023 Pre-Funded Warrants may not be exercised if the aggregate number of shares of common stock beneficially owned by the holder thereof immediately following such exercise would exceed a specified beneficial ownership limitation; provided, however, that a holder may increase or decrease the beneficial ownership limitation by giving 61 days’ notice to the Company, but not to any percentage in excess of 19.99%.</w:t>
      </w:r>
    </w:p>
    <w:p>
      <w:pPr>
        <w:spacing w:after="0" w:line="183"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closing of the August 2023 Private Placement occurred on August 16, 2023 (the “PIPE Closing”). The total gross proceeds to the Company at the PIPE Closing were $150.0 million, and after deducting placement agent commissions and offering expenses payable by the Company, net proceeds were $140.3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left="760"/>
        <w:spacing w:after="0"/>
        <w:rPr>
          <w:sz w:val="20"/>
          <w:szCs w:val="20"/>
          <w:color w:val="auto"/>
        </w:rPr>
      </w:pPr>
      <w:r>
        <w:rPr>
          <w:rFonts w:ascii="Times New Roman" w:cs="Times New Roman" w:eastAsia="Times New Roman" w:hAnsi="Times New Roman"/>
          <w:sz w:val="18"/>
          <w:szCs w:val="18"/>
          <w:color w:val="auto"/>
        </w:rPr>
        <w:t>In April 2025, 9,615,000 of the 2023 Pre-Funded Warrants were exercised on a cashless basis in exchange for 9,607,145 shares of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SSI Warrants</w:t>
      </w:r>
    </w:p>
    <w:p>
      <w:pPr>
        <w:spacing w:after="0" w:line="12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April 2023, the Company entered into a securities purchase agreement (the “SSI Securities Purchase Agreement”), with two affiliates of SSI Strategy Holdings LLC (“SSI”), named therein (the “SSI Investors”) pursuant to which the Company agreed to issue and sell to the SSI Investors in a private placement (the “SSI Private Placement”), 705,218 shares of its common stock (the “SSI Shares”) and warrants (the “SSI Warrants”) to purchase an aggregate of 525,000 shares of the Company’s common stock (the “Warrant Shares”). SSI provides certain consulting services to the Company. Each SSI Warrant has an exercise price of $0.7090 per Warrant Share, which was the closing price of the Company’s common stock on the Nasdaq Global Market on April 4, 2023 and expire ten years after issuance. The SSI Warrants issued in the SSI Private Placement provide that the holder of the SSI Warrants will not have the right to exercise any portion of its SSI Warrants until the achievement of certain clinical and regulatory milestones related to the Company’s clinical programs. The SSI Private Placement closed on April 5, 2023. Gross proceeds of the SSI Private Placement were $0.5 million.</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concluded that the SSI Warrants do not meet the criteria for equity classification under the guidance of ASC 815 due to settlement provisions that permit the holder to receive a variable number of shares in the event of a specified fundamental transaction as well as provisions that permit the holder to participate in dividends. As the SSI Warrants do not meet the criteria for equity classification, the Company recorded the warrants as liabilities at their fair value. This liability is subject to remeasurement at each balance sheet date until the warrants are exercised or expire, and any change in fair value is recognized in the Company’s condensed consolidated statements of operations.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determined the fair value of the SSI Warrants at issuance was $0.3 million using the Black-Scholes-Merton option pricing model.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estimate the fair value of the warrants at issuance: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0.71</w:t>
            </w:r>
          </w:p>
        </w:tc>
      </w:tr>
    </w:tbl>
    <w:p>
      <w:pPr>
        <w:spacing w:after="0" w:line="198"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fair value adjustment as of June 30, 2025 was $0.2 million using the Black-Scholes-Merton option pricing model. As of June 30, 2025, 316,667 of the SSI Warrants have vested and are exercisable. No warrants were exercised during the period.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estimated the fair value of the SSI Warrant liability using the following assumptions as of June 30,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8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88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common stock (per share)</w:t>
            </w:r>
          </w:p>
        </w:tc>
        <w:tc>
          <w:tcPr>
            <w:tcW w:w="388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changes in the Company’s warrant liability during the six months ended June 30, 2025 (in thousands):</w:t>
      </w:r>
    </w:p>
    <w:p>
      <w:pPr>
        <w:sectPr>
          <w:pgSz w:w="11900" w:h="16838" w:orient="portrait"/>
          <w:cols w:equalWidth="0" w:num="1">
            <w:col w:w="11240"/>
          </w:cols>
          <w:pgMar w:left="320" w:top="1201" w:right="339" w:bottom="1440" w:gutter="0" w:footer="0" w:header="0"/>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11—Net Loss Per Common Share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3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216"/>
        </w:trPr>
        <w:tc>
          <w:tcPr>
            <w:tcW w:w="440" w:type="dxa"/>
            <w:vAlign w:val="bottom"/>
            <w:gridSpan w:val="2"/>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4"/>
        </w:trPr>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9"/>
        </w:trPr>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845" w:lineRule="exact"/>
        <w:rPr>
          <w:sz w:val="20"/>
          <w:szCs w:val="20"/>
          <w:color w:val="auto"/>
        </w:rPr>
      </w:pPr>
    </w:p>
    <w:p>
      <w:pPr>
        <w:sectPr>
          <w:pgSz w:w="11900" w:h="16838" w:orient="portrait"/>
          <w:cols w:equalWidth="0" w:num="2">
            <w:col w:w="7680" w:space="720"/>
            <w:col w:w="2840"/>
          </w:cols>
          <w:pgMar w:left="320" w:top="1201" w:right="339" w:bottom="1440" w:gutter="0" w:footer="0" w:header="0"/>
          <w:type w:val="continuous"/>
        </w:sect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5" w:name="page26"/>
    <w:bookmarkEnd w:id="25"/>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shares issuable for little to no cash consideration should be included in the number of outstanding shares used to calculate basic loss per share as long as all conditions necessary for exercise are met. The 2023 Pre-Funded Warrants, the June 2024 Pre-Funded Warrants and the May 2025 Pre-Funded Warrants are therefore included as outstanding shares as of June 30, 2025 to calculate the weighted average number of shares outstanding to calculate basic loss per share.</w:t>
      </w:r>
    </w:p>
    <w:p>
      <w:pPr>
        <w:spacing w:after="0" w:line="18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for the three and six months ended June 30, 2025 and 2024, respectively (in thousands, except share and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2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40" w:type="dxa"/>
            <w:vAlign w:val="bottom"/>
          </w:tcPr>
          <w:p>
            <w:pPr>
              <w:spacing w:after="0"/>
              <w:rPr>
                <w:sz w:val="13"/>
                <w:szCs w:val="13"/>
                <w:color w:val="auto"/>
              </w:rPr>
            </w:pPr>
          </w:p>
        </w:tc>
        <w:tc>
          <w:tcPr>
            <w:tcW w:w="256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(26,882)</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(20,928)</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(48,411)</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(44,989)</w:t>
            </w:r>
          </w:p>
        </w:tc>
        <w:tc>
          <w:tcPr>
            <w:tcW w:w="0" w:type="dxa"/>
            <w:vAlign w:val="bottom"/>
          </w:tcPr>
          <w:p>
            <w:pPr>
              <w:spacing w:after="0"/>
              <w:rPr>
                <w:sz w:val="1"/>
                <w:szCs w:val="1"/>
                <w:color w:val="auto"/>
              </w:rPr>
            </w:pPr>
          </w:p>
        </w:tc>
      </w:tr>
      <w:tr>
        <w:trPr>
          <w:trHeight w:val="178"/>
        </w:trPr>
        <w:tc>
          <w:tcPr>
            <w:tcW w:w="516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outstanding used to</w:t>
            </w:r>
          </w:p>
        </w:tc>
        <w:tc>
          <w:tcPr>
            <w:tcW w:w="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297,988,978</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232,821,553</w:t>
            </w: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283,726,888</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232,035,448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compute net loss per common share, basic and diluted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-462280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-445135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-462280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-445135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-462280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-445135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60" w:firstLine="749"/>
        <w:spacing w:after="0" w:line="239" w:lineRule="exact"/>
        <w:rPr>
          <w:sz w:val="20"/>
          <w:szCs w:val="20"/>
          <w:color w:val="auto"/>
        </w:rPr>
      </w:pPr>
      <w:r>
        <w:rPr>
          <w:rFonts w:ascii="Times New Roman" w:cs="Times New Roman" w:eastAsia="Times New Roman" w:hAnsi="Times New Roman"/>
          <w:sz w:val="18"/>
          <w:szCs w:val="18"/>
          <w:color w:val="auto"/>
        </w:rPr>
        <w:t>The following common stock equivalents outstanding as of June 30, 2025 and 2024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7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6,271,178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4,631,935</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25,248,452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16,151,088</w:t>
            </w:r>
          </w:p>
        </w:tc>
        <w:tc>
          <w:tcPr>
            <w:tcW w:w="100" w:type="dxa"/>
            <w:vAlign w:val="bottom"/>
          </w:tcPr>
          <w:p>
            <w:pPr>
              <w:spacing w:after="0"/>
              <w:rPr>
                <w:sz w:val="18"/>
                <w:szCs w:val="18"/>
                <w:color w:val="auto"/>
              </w:rPr>
            </w:pP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SSI Warrants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2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31,836,297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21,099,690</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12—Income Taxes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As of June 30, 2025, there were no material changes to either the nature or the amounts of the uncertain tax positions previously determined for the year ended December 31, 2024.</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such as the permanent extension of certain expiring provisions of the Tax Cuts and Jobs Act, modifications to certain aspects of the international tax framework and the restoration of favorable tax treatment for certain business expense provisions. The legislation has multiple effective dates, with certain provisions effective in 2025 and others implemented through 2027. The Company is currently assessing its impact on its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its business activities. The Company records a liability when a particular contingency is probable and estimable.</w:t>
      </w:r>
    </w:p>
    <w:p>
      <w:pPr>
        <w:spacing w:after="0" w:line="16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6" w:name="page27"/>
    <w:bookmarkEnd w:id="26"/>
    <w:p>
      <w:pPr>
        <w:spacing w:after="0" w:line="254" w:lineRule="auto"/>
        <w:rPr>
          <w:sz w:val="20"/>
          <w:szCs w:val="20"/>
          <w:color w:val="auto"/>
        </w:rPr>
      </w:pPr>
      <w:r>
        <w:rPr>
          <w:rFonts w:ascii="Times New Roman" w:cs="Times New Roman" w:eastAsia="Times New Roman" w:hAnsi="Times New Roman"/>
          <w:sz w:val="18"/>
          <w:szCs w:val="18"/>
          <w:color w:val="auto"/>
        </w:rPr>
        <w:t>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On April 30, 2025, the court extended the stay until September 30, 2025.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directors, officers, employees, licensors, suppliers and service providers. The Company’s maximum exposure under these arrangements is unknown at June 30, 2025. The Company does not anticipate recognizing any significant losses relating to these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Retirement Plan</w:t>
      </w:r>
    </w:p>
    <w:p>
      <w:pPr>
        <w:spacing w:after="0" w:line="121"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$0.1 million to the 401(k) retirement savings plan for each of the three months ended June 30, 2025 and 2024. The Company contributed $0.3 million to the 401(k) retirement savings plan for each of the six months ended June 30, 2025 and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Information</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the Chief Operating Decision Maker (“CODM”). The CODM allocates resources and makes operating decisions based on financial information presented on a consolidated basis. The CODM does not evaluate profitability below the level of the consolidated company. Accordingly, the Company has determined that it has a single reportable segment and operating segment structure. The Company views its operations and manages its business as a single operating segment, the gene therapy segment, which is the business of developing AAV-based gene therapies for the treatment of severe monogenic diseases of the central nervous system.</w:t>
      </w:r>
    </w:p>
    <w:p>
      <w:pPr>
        <w:spacing w:after="0" w:line="183"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The gene therapy segment derives revenue solely from the Astellas Agreements (see Note 6). The accounting policies of the gene therapy segment are the same as those described in the summary of significant accounting policies.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CODM reviews significant segment expenses including direct program expenses and compensation expenses as part of the assessment of segment profit and loss. The measure of segment assets is reported on the balance sheet as total consolidated assets.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18"/>
          <w:szCs w:val="18"/>
          <w:color w:val="auto"/>
        </w:rPr>
        <w:t>The following table presents significant segment expenses for the three and six months ended June 30,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1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3"/>
                <w:szCs w:val="13"/>
                <w:color w:val="auto"/>
              </w:rPr>
            </w:pPr>
          </w:p>
        </w:tc>
        <w:tc>
          <w:tcPr>
            <w:tcW w:w="26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73"/>
        </w:trPr>
        <w:tc>
          <w:tcPr>
            <w:tcW w:w="5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 program expense</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 expense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15,486</w:t>
            </w:r>
          </w:p>
        </w:tc>
        <w:tc>
          <w:tcPr>
            <w:tcW w:w="100" w:type="dxa"/>
            <w:vAlign w:val="bottom"/>
          </w:tcPr>
          <w:p>
            <w:pPr>
              <w:spacing w:after="0"/>
              <w:rPr>
                <w:sz w:val="18"/>
                <w:szCs w:val="18"/>
                <w:color w:val="auto"/>
              </w:rPr>
            </w:pPr>
          </w:p>
        </w:tc>
      </w:tr>
      <w:tr>
        <w:trPr>
          <w:trHeight w:val="216"/>
        </w:trPr>
        <w:tc>
          <w:tcPr>
            <w:tcW w:w="5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Consultants and contractors expense</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00" w:type="dxa"/>
            <w:vAlign w:val="bottom"/>
          </w:tcPr>
          <w:p>
            <w:pPr>
              <w:spacing w:after="0"/>
              <w:rPr>
                <w:sz w:val="18"/>
                <w:szCs w:val="18"/>
                <w:color w:val="auto"/>
              </w:rPr>
            </w:pPr>
          </w:p>
        </w:tc>
      </w:tr>
      <w:tr>
        <w:trPr>
          <w:trHeight w:val="216"/>
        </w:trPr>
        <w:tc>
          <w:tcPr>
            <w:tcW w:w="504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Other segment expense</w:t>
            </w:r>
            <w:r>
              <w:rPr>
                <w:rFonts w:ascii="Times New Roman" w:cs="Times New Roman" w:eastAsia="Times New Roman" w:hAnsi="Times New Roman"/>
                <w:sz w:val="24"/>
                <w:szCs w:val="24"/>
                <w:color w:val="auto"/>
                <w:vertAlign w:val="superscript"/>
              </w:rPr>
              <w:t>(a)</w:t>
            </w: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(26,882)</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(20,928)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(48,411)</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(44,989)</w:t>
            </w: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120" w:firstLine="8"/>
        <w:spacing w:after="0" w:line="281" w:lineRule="auto"/>
        <w:tabs>
          <w:tab w:leader="none" w:pos="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 included in consolidated net loss includes interest income, depreciation, insurance, travel, software and subscription services, legal, professional and consulting expense, rent and facilities expense, other general and administrative expense, impairment of long-lived assets, change in fair value of term loan, change in fair value of warrant liability and other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21"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On August 7, 2025 (the “Trinity Refinance Date”), the Company entered into a Loan and Security Agreement (the “New Trinity Term Loan Agreement”), by and among the Company, the lenders party thereto from time to time (the “New Trinity Lenders”) and Trinity Capital Inc., as administrative agent and collateral agent for the New Trinity Lenders (“Trinity”). The New Trinity Term Loan Agreement provides for (i) on the Trinity Refinance Date, $50.0 million aggregate principal amount of term loans (“Tranche A”), (ii) from the Trinity Refinance Date until March 31, 2028 an additional $25.0 million term loan facility contingent on delivering evidence satisfactory to Trinity that the Company has submitted a biologics license application (“BLA”) to the FDA for TSHA-102 in Rett Syndrome (“Tranche B”), (iii) from the Trinity Refinance Date until March 31, 2029, an additional $25.0 million term loan facility contingent on delivering evidence satisfactory to Trinity that the Company has received BLA approval from the FDA for TSHA-102 in Rett Syndrome (collectively, the “New Trinity Term Loans”). The Company drew $50.0 million in term loans on the Trinity Refinance Date. The existing Trinity Term Loan Agreement was terminated and the existing Trinity Term Loans were repaid concurrently with entry into the New Trinity Term Loan Agreement and the draw of Tranche A.</w:t>
      </w:r>
    </w:p>
    <w:p>
      <w:pPr>
        <w:spacing w:after="0" w:line="194"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interest rate applicable to the New Trinity Term Loans is the greater of (a) the WSJ Prime Rate plus 4.00% or (b) 11.50% per annum. The New Trinity Term Loans are interest only from the Trinity Refinance Date through 48 months from the Trinity Refinance Date, which may be extended to 60 months from the Trinity Refinance Date upon the satisfaction of certain milestones set forth in the New Trinity Term Loan Agreement, after which the Company is required to pay equal monthly installments of principal through August 1, 2030 (the “New Maturity Date”).</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On the Trinity Refinance Date, the Company paid a commitment fee of $100,000 to Trinity. Upon any future draw of New Trinity Term Loans, the Company is required to pay an additional commitment fee of 1.00% of the aggregate principal amount of such New Trinity Term Loans.</w:t>
      </w:r>
    </w:p>
    <w:p>
      <w:pPr>
        <w:spacing w:after="0" w:line="16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New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New Trinity Term Loans, the Company will pay to Trinity an end of term payment equal to 5.00% of the original principal amount of the New Trinity Term Loans.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New Trinity Term Loan Agreement, the Company entered into a Success Fee Agreement with Trinity which specifies the terms regarding a fee in the amount of $500,000 plus 5% of the principal amount of the funded New Trinity Term Loans under Tranche B (the “New Success Fee”). The New Success Fee is payable upon the achievement of certain corporate development value-inflection milestones. The New Success Fee survives the termination of the New Trinity Term Loans and expires on the earlier of ten years from the Trinity Refinance Date, or payment in full in cash of the New Success Fee.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New Trinity Term Loan Agreement are secured by a perfected security interest in all of the Company’s assets except for certain customarily excluded property pursuant to the terms of the New Trinity Term Loan Agreement. There are no financial or minimum cash balance covenants and no warrants associated with the New Trinity Term Loan Agreement. The New Trinity Term Loan Agreement contains various covenants that limit the Company’s ability to engage in specified types of transactions without the consent of Trinity and the New Trinity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New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New Trinity Lenders may declare all outstanding obligations immediately due and payable and exercise all of its rights and remedies as set forth in the New Trinity Term Loan Agreement and under applicable law.</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2024 and the related Management’s Discussion and Analysis of Financial Condition and Results of Operations, included in our Annual Report on Form 10-K for the year ended December 31, 2024, or Annual Report, filed with the Securities and Exchange Commission, or the SEC, on February 26, 2025.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 Item 1A, “Risk Factors” in our Annual Report. The forward-looking statements are applicable only as of the date on which they are made, and we do not assume any obligation to update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 clinical-stage biotechnology company focused on advancing AAV-based gene therapies for the treatment of severe monogenic diseases of the central nervous system, or CNS. Our lead clinical program TSHA-102 is in development for the treatment of Rett syndrome, a rare neurodevelopmental disorder with no approved disease-modifying therapies that address the genetic root cause of the disease. With a singular focus on developing transformative medicines, we aim to address severe unmet medical needs and dramatically improve the lives of patients and their caregivers. Our management team has proven experience in gene therapy development and commercialization. We leverage this experience, our manufacturing process and a clinically and commercially proven AAV9 capsid in an effort to rapidly translate treatments from bench to bedside.</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are evaluating TSHA-102 for the treatment of females with Rett syndrome in our REVEAL clinical trials. The clinical trials are divided into two parts – Part A and Part B.</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Part A includes the REVEAL Phase 1/2 Adolescent and Adult Trial, which is a first-in-human, open-label, randomized, dose-escalation and dose-expansion study evaluating the safety and preliminary efficacy of TSHA-102 as a single lumbar intrathecal administration in adolescent and adult females aged 12 years and older with Rett syndrome due to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loss-of-function mutation. The trial is taking place in Canada and the United States. A total of six participants aged 15 to 21 years were treated with TSHA-102 in this study, and enrollment for this trial is complete. Part A also includes the REVEAL Phase 1/2 Pediatric Trial, which is a first-in-human, open-label, randomized, dose-escalation and dose-expansion study evaluating the safety and preliminary efficacy of TSHA-102 as a single lumbar intrathecal administration in pediatric females aged 5 to 8 years with Rett syndrome due to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loss-of-function mutation. The trial is taking place in the United States, Canada and the United Kingdom. A total of six participants aged 6 to 8 years were treated with TSHA-102 in this study, and enrollment for this trial is also complete.</w:t>
      </w:r>
    </w:p>
    <w:p>
      <w:pPr>
        <w:spacing w:after="0" w:line="198" w:lineRule="exact"/>
        <w:rPr>
          <w:sz w:val="20"/>
          <w:szCs w:val="20"/>
          <w:color w:val="auto"/>
        </w:rPr>
      </w:pPr>
    </w:p>
    <w:p>
      <w:pPr>
        <w:ind w:firstLine="749"/>
        <w:spacing w:after="0" w:line="224" w:lineRule="auto"/>
        <w:rPr>
          <w:sz w:val="20"/>
          <w:szCs w:val="20"/>
          <w:color w:val="auto"/>
        </w:rPr>
      </w:pPr>
      <w:r>
        <w:rPr>
          <w:rFonts w:ascii="Times New Roman" w:cs="Times New Roman" w:eastAsia="Times New Roman" w:hAnsi="Times New Roman"/>
          <w:sz w:val="18"/>
          <w:szCs w:val="18"/>
          <w:color w:val="auto"/>
        </w:rPr>
        <w:t>We have completed dosing of the 12 patients in Part A of both REVEAL trials, which includes eight patients in cohort two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and four patients in cohort one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As of the August 4, 2025 data cutoff, TSHA-102 continues to be generally well tolerated with no treatment-related serious adverse events, or SAEs, or dose-limiting toxicities, or DLTs, in the 12 patients dosed in Part A of the REVEAL trials. We plan to report new supplemental REVEAL Part A clinical data in the fourth quarter of 2025.</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0" w:name="page31"/>
    <w:bookmarkEnd w:id="30"/>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Part B is the pivotal phase of the trial, which includes the REVEAL Part B pivotal trial, a single-arm, open-label study evaluating the efficacy and safety of TSHA-102 in females with Rett syndrome, with each patient serving as their own control. Each participant will receive a single administration of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of TSHA-102 delivered by lumbar intrathecal injection. The study will enroll 15 females aged 6 to &lt;22 years in the developmental plateau population of Rett syndrome; these patients have an exceedingly low likelihood (0% to &lt;6.7%) of gaining new or regaining developmental milestones that were lost after a defined number of years, based on our analysis of the NIH-funded International Rett Syndrome Foundation’s natural history study data. The primary endpoint will assess response rate, defined as the percentage of patients who gain or regain ≥ one developmental milestone from a list of 28 defined milestones across the core functional domains of communication, fine motor and gross motor, following TSHA-102. We have commenced site activation for the REVEAL pivotal trial evaluating TSHA-102, and patient enrollment is expected to begin in the fourth quarter of 2025.</w:t>
      </w:r>
    </w:p>
    <w:p>
      <w:pPr>
        <w:spacing w:after="0" w:line="19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are also planning a safety-focused study evaluating the safety and preliminary efficacy of TSHA-102 in the pre-developmental plateau population (aged 2 to &lt;6 years) of females with Rett syndrome, who are in ongoing development. With the goal of enabling treatment across a broad population of patients with Rett syndrome, efficacy data will be extrapolated from the REVEAL pivotal trial evaluating TSHA-102 in the developmental plateau population.</w:t>
      </w:r>
    </w:p>
    <w:p>
      <w:pPr>
        <w:spacing w:after="0" w:line="18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United States Food and Drug Administration, or FDA, and orphan drug designation from the European Commission for TSHA-102 for the treatment of Rett syndrome. We also received Fast Track Designation from the FDA for TSHA-102 for the treatment of Rett syndrome. We also received CTA clearance from the United Kingdom’s Medicines and Healthcare Products Regulatory Agency, or U.K. MHRA, in early 2024 for pediatric patients with Rett syndrome. In February 2024, we received Innovative Licensing and Access Pathway, or ILAP, designation for TSHA-102 from the U.K. MHRA. The ILAP aims to facilitate patient access to novel treatments by accelerating time to market through opportunities for enhanced engagements with U.K. regulatory authorities and other stakeholders. In April 2024, the FDA granted Regenerative Medicine Advanced Therapy, or RMAT, designation for TSHA-102 in Rett syndrome following the FDA’s review of available safety and efficacy data from the first three patients with Rett syndrome dosed with the low dose of TSHA-102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across the REVEAL Phase 1/2 Adolescent and Adult trial and the REVEAL Phase 1/2 Pediatric trial.</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are focused on discovering, developing and commercializing gene therapies for the treatment of monogenic diseases of the CNS, in both rare and large patient populations. Our primary focus is advancing our lead TSHA-102 clinical program in Rett syndrome, while our pipeline of CNS programs offers the potential for additional development opportunities in the future. The stage of development of our Rett syndrome program, including the progress in our ongoing clinical trials,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6172200" cy="14319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17220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7"/>
          <w:szCs w:val="17"/>
          <w:color w:val="auto"/>
        </w:rPr>
        <w:t>We have a limited operating history. Since our inception, our operations have focused on organizing and staffing our company, business planning, raising capital and entering into collaboration agreements for conducting preclinical and clinical development activities for our product candidates. Our lead product candidate is still in the clinical stage. We do not have any product candidates approved for sale and have not generated any revenue from product sales. Through June 30, 2025, we have funded our operations primarily through: (i) the sale of equity, raising an aggregate of $901.0 million of gross proceeds from our initial public offering, or the IPO, sales of common stock pursuant to our Sales Agreement (as defined below), our October 2022 follow-on offering, our 2023 private placement, our June 2024 Offering (as defined below) and our May 2025 Offering (as defined below);</w:t>
      </w:r>
    </w:p>
    <w:p>
      <w:pPr>
        <w:spacing w:after="0" w:line="5" w:lineRule="exact"/>
        <w:rPr>
          <w:sz w:val="20"/>
          <w:szCs w:val="20"/>
          <w:color w:val="auto"/>
        </w:rPr>
      </w:pPr>
    </w:p>
    <w:p>
      <w:pPr>
        <w:ind w:right="220" w:firstLine="8"/>
        <w:spacing w:after="0" w:line="26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pre-IPO private placements of our convertible preferred stock; (iii) our Term Loan Agreement (as defined below) and subsequently the Trinity Term Loan Agreement (as defined below); and (iv) the Astellas Transactions.</w:t>
      </w:r>
    </w:p>
    <w:p>
      <w:pPr>
        <w:spacing w:after="0" w:line="181"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On November 13, 2023, or the Trinity Closing Date, we entered into a Loan and Security Agreement, or the Trinity Term Loan Agreement, by and among us, the lenders party thereto from time to time, or the Trinity Lenders, and Trinity Capital Inc., as administrative agent and collateral agent for the Trinity Lenders, or Trinity. The Trinity Term Loan Agreement provided for, on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1" w:name="page32"/>
    <w:bookmarkEnd w:id="31"/>
    <w:p>
      <w:pPr>
        <w:ind w:right="20"/>
        <w:spacing w:after="0" w:line="254" w:lineRule="auto"/>
        <w:rPr>
          <w:sz w:val="20"/>
          <w:szCs w:val="20"/>
          <w:color w:val="auto"/>
        </w:rPr>
      </w:pPr>
      <w:r>
        <w:rPr>
          <w:rFonts w:ascii="Times New Roman" w:cs="Times New Roman" w:eastAsia="Times New Roman" w:hAnsi="Times New Roman"/>
          <w:sz w:val="18"/>
          <w:szCs w:val="18"/>
          <w:color w:val="auto"/>
        </w:rPr>
        <w:t>Trinity Closing Date, $40.0 million aggregate principal amount of term loans, or, collectively, the Trinity Term Loans. We drew the Trinity Term Loans in full on the Trinity Closing Date. The proceeds of the Trinity Term Loans were used to repay our obligations under the Loan and Security Agreement, or the Term Loan Agreement, with the lenders party thereto from time to time, or the Lenders, and Silicon Valley Bank, as administrative agent and collateral agent for the Lenders, or the Agent, in full. The Term Loan Agreement with Silicon Valley Bank was terminated concurrently with entry into the Trinity Term Loan Agreement. On August 7, 2025, we entered into the New Trinity Term Loan Agreement (as defined below) with the New Trinity Lenders (as defined below). We drew $50.0 million in term loans on the Trinity Refinance Date (as defined below). The existing Trinity Term Loan Agreement with the Trinity Lenders was terminated and the existing Trinity Term Loans were repaid in full concurrently with entry into the New Trinity Term Loans. See “—Recent Developments”.</w:t>
      </w:r>
    </w:p>
    <w:p>
      <w:pPr>
        <w:spacing w:after="0" w:line="19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$48.4 million for the six months ended June 30, 2025. As of June 30, 2025, we had an accumulated deficit of $650.7 million. We expect to continue to incur significant expenses and operating losses for the foreseeable future. We anticipate that our expenses will increase significantly in connection with our ongoing activities, as we:</w:t>
      </w:r>
    </w:p>
    <w:p>
      <w:pPr>
        <w:spacing w:after="0" w:line="68" w:lineRule="exact"/>
        <w:rPr>
          <w:sz w:val="20"/>
          <w:szCs w:val="20"/>
          <w:color w:val="auto"/>
        </w:rPr>
      </w:pPr>
    </w:p>
    <w:p>
      <w:pPr>
        <w:ind w:left="1020" w:right="8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clinical development of our product candidates and, if we determine to do so in the future, reprioritize the advancement of our preclinical and discovery programs;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and any other current and future product candidates that we advance;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contract manufacturing organizations, or CMOs, for the manufacture of current Good Manufacturing Practice, or cGMP, material for clinical trials or potential commercial sales;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Regulatory Update on TSHA-102</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May 28, 2025, we announced new clinical data from Part A of the REVEAL Phase 1/2 Adolescent/Adult and Pediatric trials evaluating TSHA-102 in Rett syndrome, as well as key elements of the planned REVEAL pivotal Part B trial design for TSHA-102 following written alignment from the FDA. The alignment reached with the FDA was supported by our analysis of the longitudinal Rett syndrome natural history study, or NHS, data from the International Rett Syndrome Foundation, or IRSF, as well as clinical data from the ongoing REVEAL Phase 1/2 trials. Subsequently, on August 12, 2025, we announced that we commenced site activation activities for the REVEAL pivotal part B trial in accordance with previously aligned upon key design elements, following receipt of a No Objection Letter, or NOL, from Health Canada and feedback from the FDA. As a result, we anticipate beginning patient enrollment for the pivotal trial in the fourth quarter of 2025.</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Natural History Study</w:t>
      </w:r>
    </w:p>
    <w:p>
      <w:pPr>
        <w:spacing w:after="0" w:line="11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NHS dataset from the IRSF contains data from approximately 1,100 females with confirmed Rett syndrome diagnosis and has up to 14 years of follow-up data. The NHS captures longitudinal data examining the gain, loss, and regain of developmental milestones across core functional domains of Rett syndrome: communication, fine motor function and gross motor function. According to independent third-party caregiver research, these functional skills and activities of daily living are highly important to caregivers of girls with Rett syndrome.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leveraged a cohort of approximately 1,100 females with up to 14 years of follow up that met our REVEAL trial criteria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160"/>
        <w:spacing w:after="0" w:line="261" w:lineRule="auto"/>
        <w:rPr>
          <w:sz w:val="20"/>
          <w:szCs w:val="20"/>
          <w:color w:val="auto"/>
        </w:rPr>
      </w:pPr>
      <w:r>
        <w:rPr>
          <w:rFonts w:ascii="Times New Roman" w:cs="Times New Roman" w:eastAsia="Times New Roman" w:hAnsi="Times New Roman"/>
          <w:sz w:val="18"/>
          <w:szCs w:val="18"/>
          <w:color w:val="auto"/>
        </w:rPr>
        <w:t>develop age- and time-based cumulative incidence curves that demonstrate the incidence of gaining a new milestone or regaining a milestone that was previously lost. The cumulative incidence models demonstrated distinct age-and time-based trends in developmental milestone acquisition that strengthened our understanding of the longitudinal disease progression in Rett syndrome, substantiated the disease-modifying potential of TSHA-102 and informed our discussions with the FDA on the proposed pivotal trial design for TSHA-102.</w:t>
      </w:r>
    </w:p>
    <w:p>
      <w:pPr>
        <w:spacing w:after="0" w:line="180"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NHS cumulative incidence models demonstrated that patients of six years of age or greater have reached a developmental plateau, with an exceedingly low (ranging from 0% to &lt;6.7%) likelihood of gaining new developmental milestones and regaining developmental milestones that were lost after a defined number of years. We leveraged these findings to establish the developmental plateau population of patients who are six or more years of age.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models of developmental milestone NHS data informed our discussion with the FDA on our proposed pivotal trial design for TSHA-102.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NHS models provide a data-driven, objective approach to assessing clinically meaningful functional gains in a single-arm trial.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Update and Pivotal Part B Trial Design</w:t>
      </w:r>
    </w:p>
    <w:p>
      <w:pPr>
        <w:spacing w:after="0" w:line="11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May 28, 2025, we announced that we obtained written alignment from the FDA on key elements of our pivotal Part B REVEAL clinical trial design, following formal discussions enabled by the Regenerative Medicine Advanced Therapy, or RMAT, mechanism. Per guidance from the FDA, we submitted our IND application amendment to the FDA and CTA amendment to Health Canada in the second quarter of 2025. Taysha commenced site activation activities for the REVEAL pivotal trial in accordance with previously aligned upon key design elements, following receipt of a NOL from Health Canada and feedback from the FDA. We anticipate beginning patient enrollment for the REVEAL pivotal trial in the fourth quarter of 2025.</w:t>
      </w:r>
    </w:p>
    <w:p>
      <w:pPr>
        <w:spacing w:after="0" w:line="183"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REVEAL pivotal trial is a single-arm, open-label trial that will enroll 15 females aged 6 to &lt;22 years who are in the developmental plateau population of Rett syndrome. Each patient will serve as their own control, and the primary endpoint will assess response rate, defined as the percentage of patients who gain or regain ≥ one developmental milestone from a list of 28 defined milestones across the core functional domains of communication, fine motor and gross motor, following TSHA-102. Standardized milestone assessments will be administered and captured on video at pre- and post-treatment timepoints. Video-evidenced determination of milestone gain/regain will be determined by independent, blinded central raters based on prespecified definitions of achievement for each milestone.</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following 28 developmental milestones are being evaluated in the REVEAL pivotal Part B trial as part of the primary endpoint. These 28 developmental milestones from the NHS dataset were selected based on our caregiver research that demonstrated these milestones would reflect meaningful functional gains and are closely linked to activities of daily living, and based on our cumulative incidence models of the NHS data that demonstrated these milestones have a 0% to &lt;6.7% likelihood of being achieved in the untreated population of females with Rett syndrome aged six years and older. The 28 developmental milestones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128270</wp:posOffset>
            </wp:positionV>
            <wp:extent cx="5186045" cy="2168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860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Key secondary endpoints in the REVEAL pivotal trial include the average number of total developmental milestones gained or regained per patient following TSHA-102, as well as clinician-assessed outcome measures, including the Revised Motor Behavior Assessment, or R-MBA, and Clinician Global Impression – Improvement, or CGI-I. We plan to perform a 12-month primary analysis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and a 6-month interim analysis.</w:t>
      </w:r>
    </w:p>
    <w:p>
      <w:pPr>
        <w:spacing w:after="0" w:line="225"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also obtained written alignment from the FDA on an extrapolation approach in a separate safety-focused study, which is planned in addition to the REVEAL pivotal trial. The study will evaluate the safety and preliminary efficacy of TSHA-102 in females aged 2 to &lt;6 years who are in the pre-developmental plateau population of Rett syndrome. Efficacy will be extrapolated from the REVEAL pivotal trial. This approach is intended to enable access across a broad population of patients with Rett syndrome.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Data from Part A of Ongoing REVEAL Phase 1/2 Adolescent/Adult and Pediatric Trials</w:t>
      </w:r>
    </w:p>
    <w:p>
      <w:pPr>
        <w:spacing w:after="0" w:line="11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The clinical trial efficacy data is based on the May 19, 2025, data cutoff, and included a total of 10 females with Rett syndrome (high dose, N=6; low dose, N=4) aged 6-21 years at dosing treated with the high dose (1x10</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total vg) or low dose (5.7x10</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total vg) of TSHA-102. In both clinical trials, 100% of the pediatric, adolescent and adult patients gained or regained one or more defined developmental milestone across the core functional domains of communication, fine motor function, and gross motor function post-TSHA-102 administration, with an approximately 0% likelihood of being achieved without treatment based on natural history data. The developmental milestone gains and regains were determined by multiple independent, central raters, who evaluated functional skills through video evidence at baseline and post-treatment, against predefined binary criteria.</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Milestones achieved post TSHA-102 treatment for all 10 patients are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154305</wp:posOffset>
            </wp:positionV>
            <wp:extent cx="5212080" cy="18688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 total of 22 developmental milestones were achieved across the 10 patients. Developmental milestones were achieved early post-TSHA-102 administration, with new gains/regains demonstrated over time. The high dose cohort achieved a 100% responder rate 25% faster than the low dose cohort, supporting the accelerated functional benefit observed with the high dose.</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A summary of the developmental milestones that were gained or regained in the REVEAL trials across the core functional domains of Rett syndrome post-TSHA-102 treatment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114300</wp:posOffset>
            </wp:positionV>
            <wp:extent cx="5186045" cy="21170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4" w:name="page35"/>
    <w:bookmarkEnd w:id="34"/>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high dose cohort consistently outperformed the low dose cohort in Part A of the REVEAL trials across multiple outcome measures. Specifically, improvements were observed across multiple clinician-assessed outcome measures, including R-MBA, and CGI-I, which corroborated the developmental milestone gains/regains demonstrated post-TSHA-102.</w:t>
      </w:r>
    </w:p>
    <w:p>
      <w:pPr>
        <w:spacing w:after="0" w:line="176"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auto"/>
        </w:rPr>
        <w:t>Patients demonstrated a statistically significant mean R-MBA score improvement post-TSHA-102 administration compared to natural history data at both six- and 12-months post-treatment. The improvement in R-MBA score at six- and 12-months post-treatment is depicted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31750</wp:posOffset>
            </wp:positionV>
            <wp:extent cx="4834890" cy="1705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3489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TSHA-102 also demonstrated early global improvement, with dose-dependent effects deepening over time, in CGI-I. The high dose cohort consistently outperformed the low dose cohort in CGI-I at the comparable time points of three months, six months and nine months post-treatment. The CGI-I score improvement for both cohorts are summarized in the below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54610</wp:posOffset>
            </wp:positionV>
            <wp:extent cx="5186045" cy="1423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8604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high dose cohort continually outperformed the low dose cohort across key outcome measures six months post-treatment, with dose-dependent effects deepening over time at nine months or greater post-treatment. A summary of the dose-dependent effects is depicted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45720</wp:posOffset>
            </wp:positionV>
            <wp:extent cx="5186045" cy="22199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8604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R-MBA mean score change post-TSHA-102 is relative to baseline; lower score=improvement from baseline</w:t>
      </w: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01" w:right="559" w:bottom="1440" w:gutter="0" w:footer="0" w:header="0"/>
        </w:sectPr>
      </w:pPr>
    </w:p>
    <w:bookmarkStart w:id="35" w:name="page36"/>
    <w:bookmarkEnd w:id="35"/>
    <w:p>
      <w:pPr>
        <w:ind w:firstLine="749"/>
        <w:spacing w:after="0" w:line="266" w:lineRule="auto"/>
        <w:rPr>
          <w:sz w:val="20"/>
          <w:szCs w:val="20"/>
          <w:color w:val="auto"/>
        </w:rPr>
      </w:pPr>
      <w:r>
        <w:rPr>
          <w:rFonts w:ascii="Times New Roman" w:cs="Times New Roman" w:eastAsia="Times New Roman" w:hAnsi="Times New Roman"/>
          <w:sz w:val="18"/>
          <w:szCs w:val="18"/>
          <w:color w:val="auto"/>
        </w:rPr>
        <w:t>In both the high dose and low dose cohorts of the TSHA-102 REVEAL clinical trials, TSHA-102 was generally well tolerated with no treatment-related serious adverse events, or SAEs, or dose limiting toxicities, or DLTs, as of the August 4, 2025 data cutoff for 12 patients aged 6-21 years (high dose, N=8; low dose, N=4).</w:t>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Detailed safety data from the May 20, 2025 data cutoff for 12 patients aged 6-21 years (high dose, N=8; low dose, N=4) are detailed below. The treatment-emergent adverse events, or AEs, related to TSHA-102 were mild to moderate in severity. In addition, seizures have generally been well controlled following TSHA-102 administration. The number of adverse events across 12 pediatric, adolescent and adult patients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194310</wp:posOffset>
            </wp:positionV>
            <wp:extent cx="5186045" cy="18776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6045"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The University of Texas Southwestern Medical Center, or UT Southwestern, as amended in April 2020.</w:t>
      </w:r>
    </w:p>
    <w:p>
      <w:pPr>
        <w:spacing w:after="0" w:line="17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April 2, 2020, we amended the UT Southwestern Agreement to include the addition of another licensed product and certain indications, and a right of first refusal to us over certain patient dosing patents. No additional consideration was transferred in connection with this amendment. In March 2022, we and UT Southwestern mutually agreed to revise the payment schedules and current performance expectations of the current sponsored research agreements under the UT Southwestern Agreement and defer payments by fifteen months. In December 2023, we and UT Southwestern mutually agreed to terminate specific sponsored research agreements. There are no outstanding payments due for these terminated programs as of June 30, 2025.</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insolvency of the other party. In December 2023 and March 2025, we transferred rights to specific indications back to UT Southwestern.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183"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obligated to use commercially reasonable efforts to develop at least one product and commercialize at least one product in the United States.</w:t>
      </w:r>
    </w:p>
    <w:p>
      <w:pPr>
        <w:spacing w:after="0" w:line="162"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188"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December 2021, our CTA filing for TSHA-118 for the treatment of CLN1 disease was approved by Health Canada and therefore triggered a $3.0 million regulatory milestone payment in connection with the Abeona CLN1 Agreement. No additional milestone payments were made or triggered during the six months ended June 30, 2025.</w:t>
      </w:r>
    </w:p>
    <w:p>
      <w:pPr>
        <w:spacing w:after="0" w:line="17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16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18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of $1.0 million in connection with the Rett Agreement. In May 2023, we dosed the first patient with TSHA-102 in the Phase 1/2 REVEAL trial evaluating the safety and preliminary efficacy of TSHA-102 in adult patients with Rett syndrome and therefore triggered a milestone payment of $3.5 million in connection with the Rett Agreement, which was paid in August 2023. No additional milestone payments were made during the six months ended June 30, 2025.</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7" w:name="page38"/>
    <w:bookmarkEnd w:id="37"/>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in such country.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Agreement with Astellas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21, 2022, or the Effective Date, we entered into an Option Agreement, or the Option Agreement, with Astellas Gene Therapies,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(f/k/a Audentes Therapeutics, Inc. (d/b/a Astellas Gene Therapy)), or Astellas.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TSHA-120 Giant Axonal Neuropathy</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Option Agreement, we granted to Astellas an exclusive option to obtain an exclusive, worldwide, royalty and milestone-bearing right and license (A) to research, develop, make, have made, use, sell, offer for sale, have sold, import, export and otherwise exploit, or, collectively, Exploit or the Exploitation, the product known, as of the Effective Date, as TSHA-120, or the 120 GAN Product, and any backup products with respect thereto for use in the treatment of GAN or any other gene therapy product for use in the treatment of GAN that is controlled by us or any of our affiliates or with respect to which we or any of our affiliates controls intellectual property rights covering the Exploitation thereof, or a GAN Product, and (B) under any intellectual property rights controlled by us or any of our affiliates with respect to such Exploitation, or the GAN Option. Subject to certain extensions, the GAN Option was exercisable from the Effective Date through a specified period of time following Astellas’ receipt of (i) the formal minutes from the Type B end-of-Phase 2 meeting between us and the FDA in response to our meeting request sent to the FDA on September 19, 2022 for the 120 GAN Product, (ii) all written feedback from the FDA with respect to the Type B end-of-Phase 2 Meeting, and (iii) all briefing documents sent by us to the FDA with respect to the Type B end-of-Phase 2 Meeting. Following the receipt of Type C meeting feedback from the FDA regarding a registrational path for TSHA-120 in September 2023, Astellas elected not to exercise the GAN Option, and we recognized revenue related to this expiration during the third quarter of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TSHA-102 Rett Syndrome</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Under the Option Agreement, we also granted to Astellas an exclusive option to obtain an exclusive, worldwide, royalty and milestone-bearing right and license (A) to Exploit any Rett Product (as defined below), and (B) under any intellectual property rights controlled by us or any of our affiliates with respect to such Exploitation, or the Rett Option. Subject to certain extensions, the Rett Option is exercisable from the Effective Date through a specified period of time following Astellas’ receipt of (1) certain clinical data from the female pediatric trial and (2) certain specified data with respect to TSHA-102, such data package the “Rett Data Package” and such period the Rett Option Period, related to (i) the product known, as of the Effective Date, as TSHA-102 and any backup products with respect thereto for use in the treatment of Rett syndrome, and (ii) any other gene therapy product for use in the treatment of Rett syndrome that is controlled by us or any of our affiliates or with respect to which we or any of our affiliates controls intellectual property rights covering the Exploitation thereof, or a Rett Product. We delivered the Rett Data Package to Astellas in mid-2025. Under the Option Agreement, Astellas must decide whether to exercise the Rett Option within 90 days after Astellas’ receipt of the Rett Data Package.</w:t>
      </w:r>
    </w:p>
    <w:p>
      <w:pPr>
        <w:spacing w:after="0" w:line="188"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The parties have agreed that, if Astellas exercises the Rett Option, the parties will, for a specified period, negotiate a license agreement in good faith on the terms and conditions outlined in the Option Agreement, including payments by Astellas of a to-be-determined upfront payment, certain to-be-determined milestone payments, and certain to-be-determined royalties on net sales of Rett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August 7, 2025, or the Trinity Refinance Date, we entered into a Loan and Security Agreement, or the New Trinity Term Loan Agreement, by and among us, the lenders party thereto from time to time, or the New Trinity Lenders, and Trinity Capital Inc., as administrative agent and collateral agent for the New Trinity Lenders, or Trinity. The New Trinity Term Loan Agreement provides for (i) on the Trinity Refinance Date, $50.0 million aggregate principal amount of term loans, or Tranche A (ii) from the Trinity Refinance Date until March 31, 2028 an additional $25.0 million term loan facility contingent on delivering evidence satisfactory to Trinity that we have submitted a biologics license application, or BLA, acceptance to the FDA for TSHA-102 in Rett Syndrome, or Tranche B, (iii) from the Trinity Refinance Date until March 31, 2029, an additional $25.0 million term loan facility contingent on delivering evidence satisfactory to Trinity that we have received BLA approval from the FDA for TSHA-102 in Rett Syndrome (collectively, the “New Trinity Term Loans”). We drew $50.0 million in term loans on the Trinity Refinance Date. The existing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8" w:name="page39"/>
    <w:bookmarkEnd w:id="38"/>
    <w:p>
      <w:pPr>
        <w:ind w:right="220"/>
        <w:spacing w:after="0" w:line="282" w:lineRule="auto"/>
        <w:rPr>
          <w:sz w:val="20"/>
          <w:szCs w:val="20"/>
          <w:color w:val="auto"/>
        </w:rPr>
      </w:pPr>
      <w:r>
        <w:rPr>
          <w:rFonts w:ascii="Times New Roman" w:cs="Times New Roman" w:eastAsia="Times New Roman" w:hAnsi="Times New Roman"/>
          <w:sz w:val="18"/>
          <w:szCs w:val="18"/>
          <w:color w:val="auto"/>
        </w:rPr>
        <w:t>Trinity Term Loan Agreement was terminated and the existing Trinity Term Loans were repaid concurrently with entry into the New Trinity Term Loan Agreement and the draw of Tranche A.</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interest rate applicable to the New Trinity Term Loans is the greater of (a) the WSJ Prime Rate plus 4.00% or (b) 11.50% per annum. The New Trinity Term Loans are interest only from the Trinity Refinance Date through 48 months from the Trinity Refinance Date, which may be extended to 60 months from the Trinity Refinance Date upon the satisfaction of certain milestones set forth in the New Trinity Term Loan Agreement, after which we are required to pay equal monthly installments of principal through August 1, 2030, or the New Maturity Date.</w:t>
      </w:r>
    </w:p>
    <w:p>
      <w:pPr>
        <w:spacing w:after="0" w:line="180"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On the Trinity Refinance Date, we paid a commitment fee of $100,000 to Trinity. Upon any future draw of New Trinity Term Loans, we are required to pay an additional commitment fee of 1.00% of the aggregate principal amount of such New Trinity Term Loans.</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New Trinity Term Loans may be prepaid in full (i) from the Trinity Refinance Date through August 7, 2026, with payment of a 3.00% prepayment premium, (ii) from August 8, 2026 through August 7, 2027, with payment of a 2.00% prepayment premium, and (iii) from August 8, 2027 through, but excluding, the New Maturity Date, with payment of a 1.00% prepayment premium. Upon repayment in full of the New Trinity Term Loans, we will pay to Trinity an end of term payment equal to 5.00% of the original principal amount of the New Trinity Term Loans.</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New Trinity Term Loan Agreement, we entered into a Success Fee Agreement with Trinity which specifies the terms regarding a fee in the amount of $500,000 plus 5% of the principal amount of the funded New Trinity Term Loans under Tranche B, or the New Success Fee. The New Success Fee is payable upon the achievement of certain corporate development value-inflection milestones. The New Success Fee survives the termination of the New Trinity Term Loans and expires on the earlier of ten years from the Trinity Refinance Date, or payment in full in cash of the New Success Fee.</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New Trinity Term Loan Agreement are secured by a perfected security interest in all of our assets except for certain customarily excluded property pursuant to the terms of the New Trinity Term Loan Agreement. There are no financial covenants and no warrants associated with the New Trinity Term Loan Agreement. The New Trinity Term Loan Agreement contains various covenants that limit our ability to engage in specified types of transactions without the consent of Trinity and the New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New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New Trinity Lenders may declare all outstanding obligations immediately due and payable and exercise all of its rights and remedies as set forth in the New Trinity Term Loan Agreement and under applicable law.</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Revenue for the six months ended June 30, 2025 and 2024 was derived from the Astellas Transactions. We recognize revenue as research and development activities related to our Rett program are performed. Revenue related to the material rights associated with the Rett Option and must be recognized at a point in time when the option is exercised or the option period expires.</w:t>
      </w:r>
    </w:p>
    <w:p>
      <w:pPr>
        <w:spacing w:after="0" w:line="176"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primarily consist of clinical and preclinical development of our product candidates and discovery efforts, including conducting preclinical studies, manufacturing development efforts, preparing for and conducting clinical</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t>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72" w:lineRule="exact"/>
        <w:rPr>
          <w:sz w:val="20"/>
          <w:szCs w:val="20"/>
          <w:color w:val="auto"/>
        </w:rPr>
      </w:pPr>
    </w:p>
    <w:p>
      <w:pPr>
        <w:ind w:left="1020" w:right="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CMOs;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have increased, and expect to continue to increase for the foreseeable future, our research and development spend with respect to the Rett clinical trials as we continue the development of TSHA-102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84" w:lineRule="exact"/>
        <w:rPr>
          <w:sz w:val="20"/>
          <w:szCs w:val="20"/>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17" w:lineRule="exact"/>
        <w:rPr>
          <w:rFonts w:ascii="Times New Roman" w:cs="Times New Roman" w:eastAsia="Times New Roman" w:hAnsi="Times New Roman"/>
          <w:sz w:val="18"/>
          <w:szCs w:val="18"/>
          <w:color w:val="auto"/>
        </w:rPr>
      </w:pPr>
    </w:p>
    <w:p>
      <w:pPr>
        <w:ind w:left="1540" w:right="160" w:hanging="514"/>
        <w:spacing w:after="0" w:line="28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to manufacture our product candidates;</w:t>
      </w:r>
    </w:p>
    <w:p>
      <w:pPr>
        <w:spacing w:after="0" w:line="117" w:lineRule="exact"/>
        <w:rPr>
          <w:rFonts w:ascii="Times New Roman" w:cs="Times New Roman" w:eastAsia="Times New Roman" w:hAnsi="Times New Roman"/>
          <w:sz w:val="18"/>
          <w:szCs w:val="18"/>
          <w:color w:val="auto"/>
        </w:rPr>
      </w:pPr>
    </w:p>
    <w:p>
      <w:pPr>
        <w:ind w:left="1540" w:right="160" w:hanging="514"/>
        <w:spacing w:after="0" w:line="266"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left="1540" w:hanging="514"/>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17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may increase in the future as a result of payments for accounting, audit, legal, consulting services, costs associated with maintaining compliance with Nasdaq listing rules and SEC requirements, director and officer liability insurance, investor and public relations activities and other expenses associated with operating as a public company to support planned future Rett program development.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Other income (expense) consists primarily of dividends earned from our money market fund and interest income on our cash and cash equivalents, interest expense on borrowings under the Trinity Term Loan, and non-cash changes in the fair value of our outstanding warrant liability and the Trinity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June 30,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2025 and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50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r>
      <w:tr>
        <w:trPr>
          <w:trHeight w:val="173"/>
        </w:trPr>
        <w:tc>
          <w:tcPr>
            <w:tcW w:w="77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(21,299)</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9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18"/>
                <w:szCs w:val="18"/>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(26,882)</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(20,928)</w:t>
            </w: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$2.0 million for the three months ended June 30, 2025, compared to $1.1 million for the three months ended June 30, 2024. The revenue recorded is the result of Rett research and development activities performed during the respective three month periods ended June 30, 2025 and 2024.</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$20.1 million for the three months ended June 30, 2025, compared to $15.1 million for the three months ended June 30, 2024. The $5.0 million increase was primarily driven by BLA-enabling process performance qualification manufacturing initiatives, clinical trial activities and higher compensation expenses during the three months ended June 30, 2025.</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$8.6 million for the three months ended June 30, 2025, compared to $7.3 million for the three months ended June 30, 2024. The increase of $1.3 million was primarily due increases in legal and professional fees.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liability was a non-cash expense totaling $0.3 million for the three months ended June 30, 2025 related to the SSI Warrants (as defined below). Change in fair value of warrant liability was a non-cash gain totaling $0.2 million for the three months ended June 30, 2024 due to the increase in the fair value of the common stock underlying the SSI Warrants.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 and changes to fair value, other than changes that were directly attributed to instrument-specific credit risk, were recorded as a component of other income (expense). The change in fair value was $1.5 million of expense for the three months ended June 30, 2025 compared to $1.3 million of expense for the three months ended June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$1.9 million for the three months ended June 30, 2025 compared to $1.4 million for the three months ended June 30, 2024. The increase in income was attributable to higher dividends earned from our money market fund and higher interest earned on our savings account due to the May 2025 financing proceeds.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June 30, 2025 and 2024</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2025 and 2024 (in thousands):</w:t>
      </w:r>
    </w:p>
    <w:p>
      <w:pPr>
        <w:spacing w:after="0" w:line="2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0" w:type="dxa"/>
        <w:tblCellMar>
          <w:top w:w="0" w:type="dxa"/>
          <w:left w:w="0" w:type="dxa"/>
          <w:bottom w:w="0" w:type="dxa"/>
          <w:right w:w="0" w:type="dxa"/>
        </w:tblCellMar>
      </w:tblPr>
      <w:tr>
        <w:trPr>
          <w:trHeight w:val="142"/>
        </w:trPr>
        <w:tc>
          <w:tcPr>
            <w:tcW w:w="77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4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35,706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120" w:type="dxa"/>
            <w:vAlign w:val="bottom"/>
          </w:tcPr>
          <w:p>
            <w:pPr>
              <w:spacing w:after="0"/>
              <w:rPr>
                <w:sz w:val="18"/>
                <w:szCs w:val="18"/>
                <w:color w:val="auto"/>
              </w:rPr>
            </w:pPr>
          </w:p>
        </w:tc>
      </w:tr>
      <w:tr>
        <w:trPr>
          <w:trHeight w:val="210"/>
        </w:trPr>
        <w:tc>
          <w:tcPr>
            <w:tcW w:w="7760" w:type="dxa"/>
            <w:vAlign w:val="bottom"/>
            <w:tcBorders>
              <w:bottom w:val="single" w:sz="8" w:color="CFF0FC"/>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52,462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(45,629)</w:t>
            </w: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term loan</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(2,332)</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 income</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(48,411)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(44,989)</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-1293495</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Revenue related to the Astellas Transactions was $4.3 million for the six months ended June 30, 2025, compared to $4.5 million for the three months ended June 30, 2024. The revenue recorded is the result of Rett research and development activities performed during the respective six month periods ended June 30, 2025 and 2024.</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$35.7 million for each of the six months ended June 30, 2025 and 2024, respectively. Compensation expenses increased during the six months ended June 30, 2025 as a result of higher research and development headcount. Clinical trial expenses also increased during the six months ended June 30, 2025 due to ongoing clinical trial efforts in the Rett REVEAL adult and pediatric studies. The increases in compensation and clinical trial expenses for the six months ended June 30, 2025 were offset by lower GMP manufacturing expenses and other research and development expenses as compared to the six months ended June 30,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$16.8 million for the six months ended June 30, 2025, compared to $14.4 million for the six months ended June 30, 2024. The increase of $2.4 million was primarily due to increases in legal and professional fees.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Change in fair value of warrant liability was a non-cash loss totaling $0.2 million for the six months ended June 30, 2025 related to the SSI Warrants (as defined below). Change in fair value of warrant liability was a non-cash loss totaling $0.1 million for the six months ended June 30, 2024.</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Change in fair value of term loan</w:t>
      </w:r>
    </w:p>
    <w:p>
      <w:pPr>
        <w:spacing w:after="0" w:line="11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elected the fair value option for the Trinity Term Loan and changes to fair value, other than changes that were directly attributed to instrument-specific credit risk, were recorded as a component of other income (expense). The change in fair value was $3.0 million of expense for the six months ended June 30, 2025 compared to $2.3 million of expense for the six months ended June 30, 2024.</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income was $3.2 million for the six months ended June 30, 2025 compared to $3.1 million for the six months ended June 30, 2024. The increase in income was attributable higher dividends earned from our money market fund and higher interest earned on our savings account due to the May 2025 financing proceeds.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As of June 30, 2025, we had cash and cash equivalents of $312.8 million. We have funded our operations primarily through equity financings, raising an aggregate of $901.0 million in gross proceeds from equity financings, including from pre-IPO private placements of convertible preferred stock, our IPO, and subsequent sales of common stock in public and private securities offerings, our term loans and the Astellas Transactions.</w:t>
      </w:r>
    </w:p>
    <w:p>
      <w:pPr>
        <w:spacing w:after="0" w:line="18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the Trinity Closing Date, we entered into the Trinity Term Loan Agreement. The Trinity Term Loan Agreement provided for, on the Trinity Closing Date, $40.0 million aggregate principal amount of the Trinity Term Loans. We drew the Trinity Term Loans in full on the Trinity Closing Date. The interest rate applicable to the Trinity Term Loans is the greater of (a) the Wall Street Journal Prime Rate plus 4.50% or (b) 12.75% per annum. The Trinity Term Loans were interest only from the Trinity Closing Date through 36 months from the Trinity Closing Date, which could have been extended to 48 months from the Trinity Closing Date upon the satisfaction of certain milestones set forth in the Trinity Term Loan Agreement, after which we are required to pay equal monthly installments of principal through November 13, 2028, or the Maturity Date. The Trinity Term Loans could have been prepaid in full (i) from the Trinity Closing Date through November 13, 2024, with payment of a 3.00% prepayment premium, (ii) from November 13, 2024 through November 13, 2025, with payment of a 2.00% prepayment premium, and (iii) from November 13, 2025 through, but excluding, the Maturity Date, with payment of a 1.00% prepayment premium. On the Trinity Closing Date, we paid Trinity a commitment fee of 1.00% of the original principal amount of the Trinity Term Loans.</w:t>
      </w:r>
    </w:p>
    <w:p>
      <w:pPr>
        <w:spacing w:after="0" w:line="194"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August 7, 2025, we entered into the New Trinity Term Loan Agreement. Pursuant to the terms of the New Trinity Term Loan Agreement, on the Trinity Refinance Date, we repaid our existing Trinity Term Loans concurrently with entry into the New Trinity Term Loan Agreement and the $50.0 million draw of Tranche A. The New Trinity Term Loans are interest only from the Trinity Refinance Date through 48 months from the Trinity Refinance Date, which may be extended to 60 months from the Trinity Refinance Date upon the satisfaction of certain milestones set forth in the New Trinity Term Loan Agreement, after which we are required to pay equal monthly installments of principal through August 1, 2030, or the New Maturity Date. See “— Recent Developments.”</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t>Sales Agreement to, among other things, include Goldman Sachs &amp; Co. LLC as an additional Sales Agent. In April 2022, we sold 2,000,000 shares of common stock pursuant to the Sales Agreement and received net proceeds of $11.6 million. No other shares of common stock have been issued and sold pursuant to the Sales Agreement as of June 30, 2025. On December 13, 2024, we filed a new shelf registration statement on Form S-3 following the expiration of our prior registration statement, in relation to the registration of common stock, preferred stock, debt securities, warrants and units or any combination thereof up to a total aggregate offering price of $300.0 million, including up to $100.0 million shares of common stock that may be offered and sold pursuant to the Sales Agreement. On May 28, 2025, we notified the Sales Agents that we were suspending and terminating the prospectus, or the ATM Prospectus, related to up to $100.0 million of our common stock issuable pursuant to the Sales Agreement. We will not make any sales of our securities pursuant to the Sales Agreement unless and until a new prospectus, prospectus supplement or a new registration statement is filed. Other than the termination of the ATM Prospectus, the Sales Agreement remains in full force and effect.</w:t>
      </w:r>
    </w:p>
    <w:p>
      <w:pPr>
        <w:spacing w:after="0" w:line="188"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On October 21, 2022, we entered into the Option Agreement with Astellas granting Astellas an exclusive option to obtain exclusive, worldwide, royalty and milestone-bearing rights and licenses related to TSHA-120 and TSHA-102. As partial consideration for the rights granted to Astellas under the Option Agreement, Astellas paid us a one-time payment in the amount of $20.0 million, or the Upfront Payment, in November 2022.</w:t>
      </w:r>
    </w:p>
    <w:p>
      <w:pPr>
        <w:spacing w:after="0" w:line="176"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Also on October 21, 2022, we entered into a securities Purchase Agreement with Astellas, or the Astellas Securities Purchase Agreement, and together with the Option Agreement, the Astellas Transactions, pursuant to which we agreed to issue and sell to Astellas in a private placement, or the Astellas Private Placement, an aggregate of 7,266,342 shares of our common stock, or the Astellas Private Placement Shares, for aggregate proceeds of approximately $30.0 million. The Astellas Private Placement closed on October 24, 2022. Pursuant to the Astellas Securities Purchase Agreement, in connection with the Astellas Private Placement, Astellas has the right to designate one individual to attend all meetings of the Board in a non-voting observer capacity. We also granted Astellas certain registration rights with respect to the Astellas Private Placement Shares.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October 26, 2022, we entered into an Underwriting Agreement to issue and sell 14,000,000 shares of our common stock, par value $0.00001 per share, in an underwritten public offering pursuant to effective registration statement on Form S-3 and a related prospectus and prospectus supplement, or the Underwriting Agreement. The offering price to the public was $2.00 per share and the Underwriter purchased the shares from us pursuant to the Underwriting Agreement at a price of $1.88 per share. In addition, we granted the Underwriter an option to purchase, for a period of 30 days, up to an additional 2,100,000 shares of our common stock. The Follow-on Offering closed on October 31, 2022 and we received net proceeds of $26.0 million after deducting underwriting discounts, commissions and offering expenses. On November 10, 2022, the Underwriter exercised their option to purchase an additional 765,226 shares of our common stock and we received net proceeds of $1.4 million after deducting underwriting discounts and commissions.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April 2023, we entered into a securities purchase agreement, or the SSI Securities Purchase Agreement, with two affiliates of SSI Strategy Holdings LLC, or SSI, named therein, or the SSI Investors, pursuant to which we agreed to issue and sell to the SSI Investors in a private placement, or the SSI Private Placement, 705,218 shares of our common stock, or the SSI Shares, and warrants, or the SSI Warrants, to purchase an aggregate of 525,000 shares of our common stock, or the Warrant Shares. SSI provides certain consulting services to us. Each SSI Warrant has an exercise price of $0.7090 per Warrant Share, which was the closing price of our common stock on the Nasdaq Global Market on April 4, 2023. The SSI Warrants issued in the SSI Private Placement provide that the holder of the SSI Warrants will not have the right to exercise any portion of its SSI Warrants until the achievement of certain clinical and regulatory milestones related to our clinical programs. The SSI Private Placement closed on April 5, 2023. Gross proceeds of the SSI Private Placement were $0.5 million.</w:t>
      </w:r>
    </w:p>
    <w:p>
      <w:pPr>
        <w:spacing w:after="0" w:line="192"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or the August 2023 Securities Purchase Agreement, with certain institutional and other accredited investors, or the Purchasers, pursuant to which we agreed to sell and issue to the Purchasers in a private placement transaction, or the August 2023 Private Placement, that closed on August 16, 2023: (i) 122,412,376 shares of our common stock and (ii) with respect to certain Purchasers, pre-funded warrants, or the 2023 Pre-Funded Warrants, to purchase 44,250,978 shares of common stock in lieu of shares of common stock. The closing of the August 2023 Private Placement, or the PIPE Closing, occurred on August 16, 2023. The total gross proceeds to us at the PIPE Closing were $150.0 million, and after deducting placement agent commissions and offering expenses payable by us, net proceeds were $140.3 million.</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June 26, 2024, we entered into an underwriting agreement, or the June 2024 Underwriting Agreement, with Jefferies LLC and Goldman Sachs &amp; Co. LLC, as representatives of the several underwriters set forth therein, or, collectively, the Underwriters, to issue and sell 14,361,113 shares of our common stock and pre-funded warrants to purchase 18,972,221 shares of our common stock, or the June 2024 Pre-Funded Warrants, pursuant to an effective shelf registration statement on Form S-3 and a related prospectus and prospectus supplement, or the June 2024 Offering. The offering price to the public was $2.25 per share of common stock and $2.249 per June 2024 Pre-Funded Warrant, which is the price to the public of each share of common stock sold in the June 2024 Offering, minus the $0.001 exercise price per June 2024 Pre-Funded Warrant. The Underwriters purchased the shares and the June 2024 Pre-Funded Warrants from us pursuant to the June 2024 Underwriting Agreement at a price of $2.115 per share and $2.114 per pre-funded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4" w:name="page45"/>
    <w:bookmarkEnd w:id="44"/>
    <w:p>
      <w:pPr>
        <w:ind w:right="180"/>
        <w:spacing w:after="0" w:line="256" w:lineRule="auto"/>
        <w:rPr>
          <w:sz w:val="20"/>
          <w:szCs w:val="20"/>
          <w:color w:val="auto"/>
        </w:rPr>
      </w:pPr>
      <w:r>
        <w:rPr>
          <w:rFonts w:ascii="Times New Roman" w:cs="Times New Roman" w:eastAsia="Times New Roman" w:hAnsi="Times New Roman"/>
          <w:sz w:val="18"/>
          <w:szCs w:val="18"/>
          <w:color w:val="auto"/>
        </w:rPr>
        <w:t>warrant, respectively. The initial closing of the June 2024 Offering occurred on June 27, 2024 and we received net proceeds of $70.0 million, after deducting underwriting discounts and commissions and offering expenses. In addition, we granted the Underwriters an option to purchase, for a period of 30 days, up to an additional 5,000,000 shares of our common stock. On July 9, 2024, the Underwriters exercised their option to purchase an additional 3,235,000 shares of common stock and we received additional net proceeds of $6.7 million, after deducting underwriting discounts and commissions and offering expenses. The total net proceeds received from the June 2024 Offering were $76.7 million after deducting underwriting discounts, commissions and other offering expenses payable by us.</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May 28, 2025, we entered into an underwriting agreement, or the May 2025 Underwriting Agreement, with Jefferies LLC, BofA Securities, Inc., Piper Sandler &amp; Co. and Barclays Capital Inc., as representatives of the several underwriters set forth therein, or, collectively, the Underwriters, to issue and sell 46,868,687 shares of our common stock and pre-funded warrants to purchase 25,858,586 shares of our common stock, or the May 2025 Pre-Funded Warrants, pursuant to an effective shelf registration statement on Form S-3 and a related prospectus and prospectus supplement, or the May 2025 Offering. The offering price to the public was $2.75 per share of common stock and $2.749 per May 2025 Pre-Funded Warrant, which is the price to the public of each share of common stock sold in the May 2025 Offering, minus the $0.001 exercise price per May 2025 Pre-Funded Warrant. The Underwriters purchased the shares and the May 2025 Pre-Funded Warrants from us pursuant to the May 2025 Underwriting Agreement at a price of $2.585 per share and $2.584 per pre-funded warrant, respectively. The initial closing of the May 2025 Offering occurred on May 30, 2025. In addition, we granted the Underwriters an option to purchase, for a period of 30 days, up to an additional 10,909,090 shares of our common stock, which the Underwriters exercised in full on June 6, 2025. The total net proceeds received from the May 2025 Offering were $215.6 million after deducting underwriting discounts, commissions and other offering expenses payable by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have increased and expect to continue to increase our research and development and general and administrative expenses, particularly with respect to the Rett clinical trials, for the foreseeable future as we continue the development of our product candidates and manufacturing processes and conduct discovery and research activities for our preclinical programs. If we obtain approval for any of our product candidates, we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9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As of June 30, 2025, our material cash requirements consisted of $26.9 million in total lease payments under our noncancelable leases for equipment, laboratory space and office space. These leases are described in further detail in Note 5 to our unaudited condensed consolidated financial statements located in “Part I – Financial Information, Item 1. Financial Statements” in this Quarterly Report on Form 10-Q. Our most significant purchase commitments consist of approximately $19.5 million in cancellable purchase obligations to our CROs and other clinical trial vendors.</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will enable us to fund our operating expenses and capital requirements into 2028. We will require additional capital to fund the research and development of our product candidates,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1020" w:right="4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right="10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incurred in defending ourselves in any legal proceedings that we may be subject 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Trinity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2025 and 2024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(42,202)</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(41,302)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216,236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173,725</w:t>
            </w:r>
          </w:p>
        </w:tc>
        <w:tc>
          <w:tcPr>
            <w:tcW w:w="160" w:type="dxa"/>
            <w:vAlign w:val="bottom"/>
          </w:tcPr>
          <w:p>
            <w:pPr>
              <w:spacing w:after="0"/>
              <w:rPr>
                <w:sz w:val="18"/>
                <w:szCs w:val="18"/>
                <w:color w:val="auto"/>
              </w:rPr>
            </w:pP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28,803</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2025, our net cash used in operating activities of $42.2 million primarily consisted of a net loss of $48.4 million, primarily attributable to our spending on research and development expenses. The net loss of $48.4 million was partially offset by adjustments for non-cash items, primarily stock-based compensation expense of $6.5 million and other non-cash items of $2.1 million, net. Additional cash used in operating assets and liabilities of $2.3 million was primarily attributable to a decrease in deferred revenue of $4.3 million, partially offset by an increase in accounts payable of $3.9 million.</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our net cash used in operating activities of $41.3 million primarily consisted of a net loss of $45.0 million, primarily attributable to our spending on research and development expenses. The net loss of $45.0 million was partially offset by adjustments for non-cash items, primarily stock-based compensation expense of $6.5 million and other non-cash items of $1.1 million, net. Additional cash used in operating assets and liabilities of $4.0 million was primarily attributable to a decrease in deferred revenue of $4.5 million, partially offset by an increase in accounts payable of $2.4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investing activities used $0.3 million of cash primarily attributable to the purchase of lab equipment and computer equipment.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six months ended June 30, 2024, investing activities used $0.3 million of cash primarily attributable to the purchase of lab equipment.</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financing activities provided $216.2 million of cash, which is primarily attributable to the closing of the May 2025 Offering.</w:t>
      </w:r>
    </w:p>
    <w:p>
      <w:pPr>
        <w:spacing w:after="0" w:line="162"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financing activities provided $70.4 million of cash, which is primarily attributable to the closing of the June 2024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 A description of our significant accounting policies is included in our Annual Report. Please read the unaudited condensed consolidated financial statements in conjunction with our audited financial statements and accompanying notes in our Annual Report.</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that require significant judgments and estimates are more fully described under the heading “Management’s Discussion and Analysis of Financial Condition and Results of Operations—Critical Accounting Policies and Significant Judgments and Estimates” in our Annual Report and in Note 2 to our audited consolidated financial statements contained in our Annual Report. There have been no significant changes to our critical accounting policies that require significant judgments and estimates from those disclosed in our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83"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6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Quarterly Report on Form 10-Q. Based on such evaluation, our Chief Executive Officer and Chief Financial Officer have concluded that as of June 30, 2025, our disclosure controls and procedures were effective to provide reasonable assurance that the information required to be disclosed by us in this Quarterly Report on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January 2024 and April 2024, the Company was named a nominal defendant in two putative stockholder derivative actions filed by stockholders of the Company in the Court of Chancery of the State of Delaware. The lawsuits have since been consolidated and a lead plaintiff has been appointed. In October 2024, the lead plaintiff filed an amended complaint asserting claims relating to the Company’s August 2023 Private Placement against (i) certain of the Company’s current and former directors and officers for breach of fiduciary duty and unjust enrichment; and (ii) certain participants in the Company’s August 2023 Private Placement for aiding and abetting breach of fiduciary duty and unjust enrichment. The complaints seek an unspecified award of damages in the Company’s favor, plus pre-judgment and post-judgment interest, and an award to the plaintiffs for the costs and disbursement of the action, including fees for their attorneys and experts. The board of directors of the Company has formed a special litigation committee to investigate the claims and allegations in the amended complaint. On January 27, 2025, the court entered an order staying the litigation until June 30, 2025, while the special litigation committee conducts its investigation. On April 30, 2025, the court extended the stay until September 30, 2025. The Company has not recorded a liability related to these lawsuits because, at this time, the Company is unable to reasonably estimate possible losses or gains or determine whether an unfavorable outcome is either probable or remote.</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an investigation captioned In the Matter of Taysha Gene Therapies, Inc. (D-04192), Taysha and certain of its officers and directors received subpoenas in late 2024 from the United States Securities and Exchange Commission (“SEC”) for materials relating to Taysha’s August 2023 PIPE and certain public offerings. Production of materials in response to the subpoenas was completed in April 2025. The SEC investigation is neither a determination that the Company or any individuals have violated any law nor a charge of any wrongdoing.</w:t>
      </w:r>
    </w:p>
    <w:p>
      <w:pPr>
        <w:spacing w:after="0" w:line="18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additional legal or regulatory proceedings. Regardless of outcome, litigation can have an adverse impact on us because of defense and settlement costs, diversion of management resources and other factors.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for the fiscal year ended December 31, 2024, filed with the Securities and Exchange Commission on February 26,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22" w:lineRule="exact"/>
        <w:rPr>
          <w:sz w:val="20"/>
          <w:szCs w:val="20"/>
          <w:color w:val="auto"/>
        </w:rPr>
      </w:pPr>
    </w:p>
    <w:p>
      <w:pPr>
        <w:ind w:right="280"/>
        <w:spacing w:after="0" w:line="321" w:lineRule="auto"/>
        <w:rPr>
          <w:sz w:val="20"/>
          <w:szCs w:val="20"/>
          <w:color w:val="auto"/>
        </w:rPr>
      </w:pPr>
      <w:r>
        <w:rPr>
          <w:rFonts w:ascii="Times New Roman" w:cs="Times New Roman" w:eastAsia="Times New Roman" w:hAnsi="Times New Roman"/>
          <w:sz w:val="16"/>
          <w:szCs w:val="16"/>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3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For example, in May 2025, we announced clinical data from adult/adolescent and pediatric patients treated in the Phase 1/2 REVEAL trials of TSHA-102. However, those observations may not endure as patients continue their follow-up visits as part of the trial. Initial clinical observations also may not translate into success on primary endpoints of the REVEAL trial.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top-line data that we report differ from actual results, or if others, including regulatory authorities, disagree with the conclusions reached, our ability to obtain approval for and commercialize any of our product candidates, our business, operating results, prospects or financial condition may be harmed.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9" w:name="page50"/>
    <w:bookmarkEnd w:id="49"/>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 of our lead product candidate, TSHA-102. There is no guarantee that we will be able to successfully develop and commercialize TSHA-102. If we are unable to complete development of, obtain regulatory approval for and commercialize TSHA-102 in one or more indications and in a timely manner, our business, financial condition, results of operations and prospects will be significantly harmed.</w:t>
      </w:r>
    </w:p>
    <w:p>
      <w:pPr>
        <w:spacing w:after="0" w:line="15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the success of our lead product candidate, TSHA-102, which is currently our sole product candidate in clinical development. We are still developing TSHA-102 and it cannot be marketed or sold in the United States or in foreign markets until regulatory approval has been obtained from the FDA or applicable foreign regulatory agencies. The process of obtaining regulatory approval is expensive and time consuming. The FDA and foreign regulatory authorities may never approve TSHA-102 for sale and marketing, and even if TSHA-102 is ultimately approved, regulatory approval may be delayed or limited in the United States or in other jurisdictions. Even if we are authorized to sell and market TSHA-102 in one or more markets, there is no assurance that we will be able to successfully market TSHA-102 or that TSHA-102 will achieve market acceptance sufficient to generate profits. If we are unable to successfully develop and commercialize TSHA-102 due to failure to obtain regulatory approval for TSHA-102, to successfully market TSHA-102, to generate profits from the sale of TSHA-102, or due to other risk factors outlined in this report, it would have material adverse effects on our business, financial condition, and results of operations.</w:t>
      </w:r>
    </w:p>
    <w:p>
      <w:pPr>
        <w:spacing w:after="0" w:line="18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October 2022, we entered into the Option Agreement, pursuant to which we granted the Rett Option to Astellas. Subject to certain limited extensions, Astellas may exercise the Rett Option through the Rett Option Period, following Astellas’ receipt of the Rett Data Package. We delivered the Rett Data Package to Astellas in mid-2025. Under the Option Agreement, Astellas must decide whether to exercise the Rett Option within 90 days after Astellas’ receipt of the Rett Data Package, which would then trigger a good faith negotiation period. Under the Option Agreement, we also granted to Astellas certain rights with respect to a change of control of our company during the Rett Option Period. These rights include, but are not limited to, a right of first offer in the event that we receive an offer or proposal from a third party that would result in a change of control, and we have agreed to (A) not solicit or encourage any inquiries, offers or proposals for, or that could reasonably be expected to lead to, a change of control, or (B) otherwise initiate a process for a potential change of control, in each case, without first notifying Astellas and offering Astellas the opportunity to submit an offer or proposal to us for a transaction that would result in a change of control. If Astellas fails or declines to submit any such offer within a specified period after the receipt of such notice, we will have the ability to solicit third party bids for a change of control transaction. In addition, we have agreed that if, during the Rett Option Period, Astellas submits an offer for a transaction that would result in a change of control of our company, we will negotiate with Astellas in good faith the potential terms and conditions of such a transaction for 45 days. If we are unable to mutually agree on such terms, such right of first offer will expire.</w:t>
      </w:r>
    </w:p>
    <w:p>
      <w:pPr>
        <w:spacing w:after="0" w:line="200" w:lineRule="exact"/>
        <w:rPr>
          <w:sz w:val="20"/>
          <w:szCs w:val="20"/>
          <w:color w:val="auto"/>
        </w:rPr>
      </w:pPr>
    </w:p>
    <w:p>
      <w:pPr>
        <w:spacing w:after="0" w:line="20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Because we are substantially dependent on TSHA-102, which is our sole product candidate in clinical development, we believe that if Astellas exercises the Rett Option, such exclusive license of TSHA-102 would constitute a sale of substantially all of the assets of our company, which would result in a change of control requiring stockholder approval. It is possible that Astellas will not exercise the Rett Option. If Astellas does exercise the Rett Option, Astellas may not agree with our assessment that the exercise of the Rett Option for the exclusive license of TSHA-102 would result in a change of control, and we cannot predict whether or how the parties would resolve such dispute. While it is inherently difficult to assess the potential outcome of any such dispute, we may be exposed to additional risks as a result, including, but not limited to, reputational harm and litigation, and we can provide no assurances that we will prevail in any such litigation. If Astellas exercises the Rett option and it were determined that such exclusive license does not constitute a sale of substantially all of the assets of our company, and the exercise of the Rett Option is not an offer that would result in a change of control, under the Option Agreement, the parties are obligated to negotiate the terms of the license agreement in good faith for a period of 130 days. If the parties are unable to mutually agree on such terms within 120 days, the terms of such license agreement may, at Astellas’ discretion, be determined by “baseball arbitration,” wherein each party is required to submit a proposed final license agreement to the arbitrators, and the arbitrators are required to select one of the proposed license agreements without modification. Given our substantial reliance on TSHA-102, if we enter into a license agreement for TSHA-102 and we are unable to develop other product candidates at that time, it could have a material adverse effect on our business, financial condition, results of operations and prospects, including, but not limited to, the potential cessation of our operations or the need to begin development of any of our preclinical programs.</w:t>
      </w:r>
    </w:p>
    <w:p>
      <w:pPr>
        <w:spacing w:after="0" w:line="200" w:lineRule="exact"/>
        <w:rPr>
          <w:sz w:val="20"/>
          <w:szCs w:val="20"/>
          <w:color w:val="auto"/>
        </w:rPr>
      </w:pPr>
    </w:p>
    <w:p>
      <w:pPr>
        <w:spacing w:after="0" w:line="2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testing of any product candidate in clinical trials. Success in preclinical studies or earlier clinical trials, including our Phase 1/2 REVEAL trials of TSHA-102, may not be indicative of results in future clinical trials, or provide support for the submission of a marketing application.</w:t>
      </w:r>
    </w:p>
    <w:p>
      <w:pPr>
        <w:spacing w:after="0" w:line="175" w:lineRule="exact"/>
        <w:rPr>
          <w:sz w:val="20"/>
          <w:szCs w:val="20"/>
          <w:color w:val="auto"/>
        </w:rPr>
      </w:pPr>
    </w:p>
    <w:p>
      <w:pPr>
        <w:jc w:val="both"/>
        <w:ind w:right="120" w:firstLine="749"/>
        <w:spacing w:after="0" w:line="257"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0" w:name="page51"/>
    <w:bookmarkEnd w:id="50"/>
    <w:p>
      <w:pPr>
        <w:ind w:right="20"/>
        <w:spacing w:after="0" w:line="256" w:lineRule="auto"/>
        <w:rPr>
          <w:sz w:val="20"/>
          <w:szCs w:val="20"/>
          <w:color w:val="auto"/>
        </w:rPr>
      </w:pPr>
      <w:r>
        <w:rPr>
          <w:rFonts w:ascii="Times New Roman" w:cs="Times New Roman" w:eastAsia="Times New Roman" w:hAnsi="Times New Roman"/>
          <w:sz w:val="18"/>
          <w:szCs w:val="18"/>
          <w:color w:val="auto"/>
        </w:rPr>
        <w:t>trials or obtain marketing approval. Our product candidates, including TSHA-102, may fail to show the desired safety and efficacy in clinical development despite positive results in preclinical studies or having successfully advanced through initial clinical trials. Any such outcome would cause us to cease development of TSHA-102, which is currently our only product candidate in clinical development. Our Phase 1/2 clinical trials of TSHA-102 involve small patient populations and duration of treatment has been relatively short. Because of the small sample sizes, the results of these trials may not be indicative of results of future clinical trials. Further, although other gene therapy clinical trials conducted by others also utilized AAV9 vectors, these trials should not be relied upon as evidence that our planned clinical trials will succeed.</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organization, we have never conducted pivotal clinical trials, and may be unable to do so for any product candidates we may develop, including TSHA-102.</w:t>
      </w:r>
    </w:p>
    <w:p>
      <w:pPr>
        <w:spacing w:after="0" w:line="51"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will need to successfully complete our ongoing and planned clinical trials, including pivotal clinical trials, in order to obtain FDA and comparable foreign regulatory approval to market our product candidates. Carrying out later-stage clinical trials and the submission of a successful biologics license application, or BLA, and comparable foreign application is a complicated process. As an organization, we have initiated Phase 1/2 clinical trials, have not previously conducted any later stage or pivotal clinical trials, but have limited experience in preparing, submitting and prosecuting regulatory filings and have not previously submitted a BLA or comparable foreign application for any product candidate.</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In addition, we have had limited interactions with the FDA and comparable foreign regulatory authorities and cannot be certain how many additional clinical trials of TSHA-102 will be required or how such trials should be designed. Although we have received feedback from the FDA on the design of Part B of our clinical trial of TSHA-102, there is no assurance that our trial design will be sufficient for FDA approval. Consequently, we may be unable to successfully and efficiently execute and complete necessary clinical trials in a way that leads to BLA submission or comparable foreign application and approval of TSHA-102. We may require more time and incur greater costs than our competitors and may not succeed in obtaining regulatory approvals of TSHA-102. Failure to commence or complete, or delays in, our planned clinical trials, could prevent us from or delay us in commercializing TSHA-102.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claims from time to time that may seek material damages or otherwise may have a material adverse effect on our business. The costs we incur in defending ourselves or associated with settling any of these proceedings, as well as a material final judgment or decree against us, could materially adversely affect our financial condition.</w:t>
      </w:r>
    </w:p>
    <w:p>
      <w:pPr>
        <w:spacing w:after="0" w:line="2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subject to legal proceedings and claims from time to time that may seek material damages or otherwise may have a material adverse effect on our business. For example, in January 2024 and April 2024, we were named a nominal defendant in stockholder derivative lawsuits asserting claims against certain of our current and former directors, among others, in the Court of Chancery of the State of Delaware. These lawsuits, which have since been consolidated, seek, among other relief, a declaration that certain defendants were unjustly enriched, unspecified monetary damages, disgorgement of certain alleged profits received by defendants, and reasonable costs and expenses, including attorneys’ fees, and other relief. We have not recorded a liability related to these lawsuits because, at this time, we are unable to reasonably estimate possible losses or gains or determine whether an unfavorable outcome is either probable or remote. Our board of directors has formed a special litigation committee to investigate the claims and allegations in the amended complaint, which is ongoing. In connection with an investigation captioned In the Matter of Taysha Gene Therapies, Inc. (D-04192), we and certain of our officers and directors received subpoenas in late 2024 from the SEC for materials relating to our August 2023 PIPE and certain public offerings. The SEC investigation is neither a determination that the Company or any individuals have violated any law nor a charge of any wrongdoing. See “Item 3-Legal Proceedings” and “Part II, Item 8, Note 13-Commitments and Contingencies” in the 2024 Form 10-K for more information and “Part I, Item 2, Note 13-Commitments and Contingencies” in our First Quarter 2025 Form 10-Q for more information about each of these matters.</w:t>
      </w:r>
    </w:p>
    <w:p>
      <w:pPr>
        <w:spacing w:after="0" w:line="190"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Due to the inherent uncertainties in legal proceedings, we cannot accurately predict the duration, scope or ultimate outcome of any such proceedings. This or any future litigation, regardless of the merits of any such proceeding, could harm our reputation and result in substantial costs and diversion of management’s attention and resources, which could adversely impact our business. Although we have directors’ and officers’ liability insurance, it provides for a substantial retention of liability and is subject to limitations and may not cover a significant portion, or any, of the expenses or liabilities we may incur or be subject to in connection with these lawsuits or other litigation to which we are party. The costs we incur in defending ourselves or associated with settling such</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120"/>
        <w:spacing w:after="0" w:line="261" w:lineRule="auto"/>
        <w:rPr>
          <w:sz w:val="20"/>
          <w:szCs w:val="20"/>
          <w:color w:val="auto"/>
        </w:rPr>
      </w:pPr>
      <w:r>
        <w:rPr>
          <w:rFonts w:ascii="Times New Roman" w:cs="Times New Roman" w:eastAsia="Times New Roman" w:hAnsi="Times New Roman"/>
          <w:sz w:val="18"/>
          <w:szCs w:val="18"/>
          <w:color w:val="auto"/>
        </w:rPr>
        <w:t>proceedings, as well as a material final judgment or decree against us, that are not covered by our directors’ and officers’ liability insurance could materially adversely affect our financial condition. In addition, additional lawsuits may be filed, the conclusion of which in a manner adverse to us and for which we incur substantial costs or damages not covered by our directors’ and officers’ liability insurance could have a material adverse effect on our financial condition and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Patient Protection and Affordable Care Act, as amended by the Health Care and Education Reconciliation Act, or collectively the ACA, substantially changed the way healthcare is financed by both the government and private insurers, and significantly impacts the U.S. pharmaceutical industry.</w:t>
      </w:r>
    </w:p>
    <w:p>
      <w:pPr>
        <w:spacing w:after="0" w:line="183"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There have been judicial, congressional, and executive branch challenges to certain aspects of the ACA, including efforts to repeal or replace certain aspects of the ACA. For example, on August 16, 2022, the Inflation Reduction Act of 2022, or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also unclear how any additional healthcare reform measures of the second Trump administration will impact the ACA and our business.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will remain in effect until 2032, unless additional congressional action is taken. These laws may result in additional reductions in Medicare and other healthcare funding, which could have an adverse effect on customers for our product candidates, if approved, and, accordingly, our financial operations.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IRA, among other things, (i) directs Health and Human Services, or HHS, to negotiate the price of certain high-expenditure, single-source biologics that have been on the market for at least 11 years covered under Medicare, or the Medicare Drug Price Negotiation Program,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The current Trump administration is pursuing policies to reduce regulations and expenditures across government including at HHS, the FDA, Centers for Medicare &amp; Medicaid Services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Center for Medicare &amp; Medicaid Innovation to consider new payment and healthcare models to limit drug spending and eliminating the Biden administration’s executive order that directed HHS to establishing an AI task force and developing a strategic plan, directing HHS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w:t>
      </w:r>
    </w:p>
    <w:p>
      <w:pPr>
        <w:spacing w:after="0" w:line="196"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addition, FDA and comparable foreign regulatory regulations and guidance may be revised or reinterpreted by the FDA or the comparable foreign regulatory in ways that may significantly affect our business and our products. Any new regulations or guidance, or revisions or reinterpretations of existing regulations or guidance, may impose additional costs or lengthen FDA review times for TSHA-102 or any future product candidates. We cannot determine how changes in regulations, statutes, policies, or interpretations when and if issued, enacted or adopted, may affect our business in the future. Such changes could, among other things, require:</w:t>
      </w:r>
    </w:p>
    <w:p>
      <w:pPr>
        <w:spacing w:after="0" w:line="183" w:lineRule="exact"/>
        <w:rPr>
          <w:sz w:val="20"/>
          <w:szCs w:val="20"/>
          <w:color w:val="auto"/>
        </w:rPr>
      </w:pPr>
    </w:p>
    <w:p>
      <w:pPr>
        <w:ind w:left="1120" w:hanging="363"/>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and</w:t>
      </w:r>
    </w:p>
    <w:p>
      <w:pPr>
        <w:spacing w:after="0" w:line="11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22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For instance, the regulatory landscape related to clinical trials in the European Union recently evolved. The EU Clinical Trials Regulation, or CTR, which was adopted in April 2014 and repeals the EU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foresees a three-year transition period. The extent to which ongoing and new clinical trials will be governed by the CTR varies. For clinical trials in relation to which application for approval was made on the basis of the Clinical Trials Directive before January 31, 2023, the Clinical Trials Directive continued to apply on a transitional basis until January 31, 2025, by which date all ongoing trials under the Clinical Trials Directive became subject to the provisions of the CTR and all new trials since January 31, 2023 have been subject to the CTR. Compliance with the CTR requirements by us and our third-party service providers, such as CROs, may impact our developments plans.</w:t>
      </w:r>
    </w:p>
    <w:p>
      <w:pPr>
        <w:spacing w:after="0" w:line="19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on April 26, 2023, the European Commission adopted a proposal for a new Directive and Regulation to revise the existing pharmaceutical legislation.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decrease in data and market exclusivity opportunities for our product candidates in the European Union and make them open to generic or biosimilar competition earlier than is currently the case with a related reduction in reimbursement status.</w:t>
      </w:r>
    </w:p>
    <w:p>
      <w:pPr>
        <w:spacing w:after="0" w:line="18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our development plans may be impacted.</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TSHA-102 or other product candidates, and could materially harm our business and our financial results. In addition, delays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3" w:name="page54"/>
    <w:bookmarkEnd w:id="53"/>
    <w:p>
      <w:pPr>
        <w:ind w:right="380"/>
        <w:spacing w:after="0" w:line="282" w:lineRule="auto"/>
        <w:rPr>
          <w:sz w:val="20"/>
          <w:szCs w:val="20"/>
          <w:color w:val="auto"/>
        </w:rPr>
      </w:pPr>
      <w:r>
        <w:rPr>
          <w:rFonts w:ascii="Times New Roman" w:cs="Times New Roman" w:eastAsia="Times New Roman" w:hAnsi="Times New Roman"/>
          <w:sz w:val="18"/>
          <w:szCs w:val="18"/>
          <w:color w:val="auto"/>
        </w:rPr>
        <w:t>in receipt of or failure to receive regulatory clearances or approvals for any other products would harm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Elections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Sukumar Nagendran, our President and Head of Research and Development and a member of our board of directors, adopted a prearranged stock trading plan on June 11, 2025. The trading plan provides for the potential exercise and sale of up to 800,000 shares of our common stock, subject to certain price limitations set forth in the plan. The trading plan expires on September 9, 2026, unless terminated sooner in accordance with its terms. This trading plan was entered into during an open insider trading window and is intended to satisfy the affirmative defense of Rule 10b5-1(c) under the Exchange Act and our policies regarding insider transactions.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Trinity Term Loans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August 7, 2025, we entered into the New Trinity Term Loan Agreement, by and among us, the New Trinity Lenders, and Trinity, as administrative agent and collateral agent for the New Trinity Lenders. The New Trinity Term Loan Agreement provides for (i) on the Trinity Refinance Date, $50.0 million aggregate principal amount of term loans (“Tranche A”), (ii) from the Trinity Refinance Date until March 31, 2028, an additional $25.0 million term loan facility contingent on delivering evidence satisfactory to Trinity that we have submitted a BLA to the FDA for TSHA-102 in Rett Syndrome (“Tranche B”), (iii) from the Trinity Refinance Date until March 31, 2029, an additional $25.0 million term loan facility contingent on delivering evidence satisfactory to Trinity that we have received BLA approval from the FDA of TSHA-102 in Rett Syndrome (collectively, the “New Trinity Term Loans”). We drew $50.0 million in term loans on the Trinity Refinance Date. The existing Trinity Term Loan Agreement was terminated and the existing Trinity Term Loans were repaid concurrently with entry into the New Trinity Term Loan Agreement and the draw of Tranche A.</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interest rate applicable to the New Trinity Term Loans is the greater of (a) the WSJ Prime Rate plus 4.00% or (b) 11.50% per annum. The New Trinity Term Loans are interest only from the Trinity Refinance Date through 48 months from the Trinity Refinance Date, which may be extended to 60 months from the Trinity Refinance Date upon the satisfaction of certain milestones set forth in the New Trinity Term Loan Agreement, after which we are required to pay equal monthly installments of principal through August 1, 2030, or the New Maturity Date.</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On the Trinity Refinance Date, we paid a commitment fee of $100,000 to Trinity. Upon any future draw of New Trinity Term Loans, we are required to pay an additional commitment fee of 1.00% of the aggregate principal amount of such New Trinity Term Loans.</w:t>
      </w:r>
    </w:p>
    <w:p>
      <w:pPr>
        <w:spacing w:after="0" w:line="162"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New Trinity Term Loans may be prepaid in full (i) from the Trinity Refinance Date through August 7, 2026, with payment of a 3.00% prepayment premium, (ii) from August 8, 2026 through August 7, 2027, with payment of a 2.00% prepayment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right="140"/>
        <w:spacing w:after="0" w:line="266" w:lineRule="auto"/>
        <w:rPr>
          <w:sz w:val="20"/>
          <w:szCs w:val="20"/>
          <w:color w:val="auto"/>
        </w:rPr>
      </w:pPr>
      <w:r>
        <w:rPr>
          <w:rFonts w:ascii="Times New Roman" w:cs="Times New Roman" w:eastAsia="Times New Roman" w:hAnsi="Times New Roman"/>
          <w:sz w:val="18"/>
          <w:szCs w:val="18"/>
          <w:color w:val="auto"/>
        </w:rPr>
        <w:t>premium, and (iii) from August 8, 2027 through, but excluding, the New Maturity Date, with payment of a 1.00% prepayment premium. Upon repayment in full of the New Trinity Term Loans, we will pay Trinity an end of term payment equal to 5.00% of the original principal amount of the New Trinity Term Loans.</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New Trinity Term Loan Agreement, we entered into a Success Fee Agreement with Trinity which specifies the terms regarding a fee in the amount of $500,000 plus 5% of the principal amount of the funded New Trinity Term Loans under Tranche B (the “New Success Fee”). The New Success Fee is payable upon the achievement of certain corporate development value-inflection milestones. The New Success Fee survives the termination of the New Trinity Term Loans and expires on the earlier of ten years from the Trinity Refinance Date, or payment in full in cash of the New Success Fee.</w:t>
      </w:r>
    </w:p>
    <w:p>
      <w:pPr>
        <w:spacing w:after="0" w:line="183"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New Trinity Term Loan Agreement are secured by a perfected security interest in all of our assets except for certain customarily excluded property pursuant to the terms of the New Trinity Term Loan Agreement. There are no financial covenants and no warrants associated with the New Trinity Term Loan Agreement. The New Trinity Term Loan Agreement contains various covenants that limit our ability to engage in specified types of transactions without the consent of Trinity and the New Trinity Lenders which include, among others, incurring or assuming certain debt; merging, consolidating or acquiring all or substantially all of the capital stock or property of another entity; changing the nature of our business; changing our organizational structure or type; licensing, transferring or disposing of certain assets; granting certain types of liens on our assets; making certain investments; and paying cash dividends.</w:t>
      </w:r>
    </w:p>
    <w:p>
      <w:pPr>
        <w:spacing w:after="0" w:line="18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New Trinity Term Loan Agreement contains customary representations and warranties, affirmative and negative covenants, and events of default, including payment default, breach of covenants, change of control, and material adverse effects. Upon the occurrence of an event of default, a default interest rate of an additional 5.00% per annum may be applied to the outstanding loan balances, and the New Trinity Lenders may declare all outstanding obligations immediately due and payable and exercise all of their rights and remedies as set forth in the New Trinity Term Loan Agreement and under applicable law.</w:t>
      </w:r>
    </w:p>
    <w:p>
      <w:pPr>
        <w:spacing w:after="0" w:line="18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Trinity Term Loan Agreement does not purport to be complete and is qualified in its entirety by reference to the text of the New Trinity Term Loan Agreement, a copy of which is to be filed as an exhibit to our next periodic report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Existing Trinity Term Loan Agreement</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August 7, 2025, in connection with the closing of the New Trinity Term Loan Agreement, existing Trinity Term Loan Agreement with the Trinity Lenders was terminated and the existing Trinity Term Loans were repaid in full. For a description of the existing Trinity Term Loan Agreement see Note 7 to our unaudited condensed consolidated financial statements located in “Part I – Financial Information, Item 1. Financial Statements” in this Quarterly Report on Form 10-Q.</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9300" w:type="dxa"/>
            <w:vAlign w:val="bottom"/>
            <w:tcBorders>
              <w:bottom w:val="single" w:sz="8" w:color="auto"/>
            </w:tcBorders>
            <w:gridSpan w:val="12"/>
          </w:tcPr>
          <w:p>
            <w:pPr>
              <w:ind w:left="3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4"/>
                <w:szCs w:val="14"/>
                <w:color w:val="auto"/>
              </w:rPr>
            </w:pPr>
          </w:p>
        </w:tc>
        <w:tc>
          <w:tcPr>
            <w:tcW w:w="1014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 8-K</w:t>
              </w:r>
            </w:hyperlink>
          </w:p>
        </w:tc>
        <w:tc>
          <w:tcPr>
            <w:tcW w:w="60" w:type="dxa"/>
            <w:vAlign w:val="bottom"/>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(File No. 001-39536),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Amended and Restated Bylaws (incorporated by reference to Exhibit 3.4 to the Company’s Current Report on Form 8-K (File No. 001-</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39536)</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29, 2020).</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Certificate of Amendment to the Amended and Restated Certificate of Incorporation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Company’s Current Report on Form 8-K (File No. 001-39536), filed with the Securities and Exchange Commission on November 15, 2023).</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Certificate of amendment to the Amended and Restated Certificate of Incorporation (incorporated by reference to Exhibit 3.1 to the</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Company’s Current Report on Form 8-K (File No. 001-39536), filed with the Securities and Exchange Commission on June 3, 2025).</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of Pre-Funded Warrant to Purchase Common Stock (incorporated by reference to Exhibit 4.1 to the Company’s Current Report on</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540" w:type="dxa"/>
            <w:vAlign w:val="bottom"/>
            <w:tcBorders>
              <w:right w:val="single" w:sz="8" w:color="0000FF"/>
            </w:tcBorders>
            <w:gridSpan w:val="3"/>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Form 8-K (File No. 001-39536), filed with the Securities and Exchange Commission on May 29, 2025).</w:t>
              </w:r>
            </w:hyperlink>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2540" w:type="dxa"/>
            <w:vAlign w:val="bottom"/>
            <w:tcBorders>
              <w:right w:val="single" w:sz="8" w:color="0000EE"/>
            </w:tcBorders>
            <w:gridSpan w:val="3"/>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6"/>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9"/>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10"/>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2"/>
          </w:tcPr>
          <w:p>
            <w:pPr>
              <w:spacing w:after="0" w:line="20" w:lineRule="exact"/>
              <w:rPr>
                <w:sz w:val="1"/>
                <w:szCs w:val="1"/>
                <w:color w:val="auto"/>
              </w:rPr>
            </w:pPr>
          </w:p>
        </w:tc>
      </w:tr>
      <w:tr>
        <w:trPr>
          <w:trHeight w:val="2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660" w:firstLine="319"/>
        <w:spacing w:after="0" w:line="412"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5855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ind w:firstLine="8"/>
        <w:spacing w:after="0" w:line="266" w:lineRule="auto"/>
        <w:tabs>
          <w:tab w:leader="none" w:pos="1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9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Taysha Gene Therapies, Inc.</w:t>
            </w:r>
          </w:p>
        </w:tc>
        <w:tc>
          <w:tcPr>
            <w:tcW w:w="394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39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color w:val="auto"/>
              </w:rPr>
              <w:t>/s/ Sean Nolan</w:t>
            </w:r>
          </w:p>
        </w:tc>
      </w:tr>
      <w:tr>
        <w:trPr>
          <w:trHeight w:val="187"/>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Sean Nolan</w:t>
            </w:r>
          </w:p>
        </w:tc>
      </w:tr>
      <w:tr>
        <w:trPr>
          <w:trHeight w:val="218"/>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6"/>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2025</w:t>
            </w:r>
          </w:p>
        </w:tc>
        <w:tc>
          <w:tcPr>
            <w:tcW w:w="39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Pr>
          <w:p>
            <w:pPr>
              <w:jc w:val="center"/>
              <w:ind w:right="1610"/>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187"/>
        </w:trPr>
        <w:tc>
          <w:tcPr>
            <w:tcW w:w="3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3940" w:type="dxa"/>
            <w:vAlign w:val="bottom"/>
            <w:tcBorders>
              <w:top w:val="single" w:sz="8" w:color="auto"/>
            </w:tcBorders>
          </w:tcPr>
          <w:p>
            <w:pPr>
              <w:jc w:val="center"/>
              <w:ind w:right="1610"/>
              <w:spacing w:after="0" w:line="188" w:lineRule="exact"/>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Nolan,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120" w:val="left"/>
        </w:tabs>
        <w:rPr>
          <w:sz w:val="20"/>
          <w:szCs w:val="20"/>
          <w:color w:val="auto"/>
        </w:rPr>
      </w:pPr>
      <w:r>
        <w:rPr>
          <w:rFonts w:ascii="Times New Roman" w:cs="Times New Roman" w:eastAsia="Times New Roman" w:hAnsi="Times New Roman"/>
          <w:sz w:val="18"/>
          <w:szCs w:val="18"/>
          <w:color w:val="auto"/>
        </w:rPr>
        <w:t>Date: August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Date: August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Sean Nolan, Chief Executive Officer of Taysha Gene Therapies, Inc. (the “Company”) hereby certifies that, to the best of his knowledge:</w:t>
      </w:r>
    </w:p>
    <w:p>
      <w:pPr>
        <w:spacing w:after="0" w:line="176" w:lineRule="exact"/>
        <w:rPr>
          <w:sz w:val="20"/>
          <w:szCs w:val="20"/>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8"/>
          <w:szCs w:val="18"/>
          <w:color w:val="auto"/>
        </w:rPr>
        <w:t>Date: August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Sean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Sean Nolan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2025, to which this Certification is attached as Exhibit 32.2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August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Roman"/>
      <w:start w:val="2"/>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lvl w:ilvl="1">
      <w:lvlJc w:val="left"/>
      <w:lvlText w:val="%2"/>
      <w:numFmt w:val="decimal"/>
      <w:start w:val="104"/>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70" Type="http://schemas.openxmlformats.org/officeDocument/2006/relationships/hyperlink" Target="https://www.sec.gov/Archives/edgar/data/1806310/000119312520257858/d78879dex31.htm" TargetMode="External"/><Relationship Id="rId271" Type="http://schemas.openxmlformats.org/officeDocument/2006/relationships/hyperlink" Target="https://www.sec.gov/Archives/edgar/data/1806310/000119312520247565/d938924dex34.htm" TargetMode="External"/><Relationship Id="rId272" Type="http://schemas.openxmlformats.org/officeDocument/2006/relationships/hyperlink" Target="https://www.sec.gov/Archives/edgar/data/1806310/000119312523277914/d941656dex31.htm" TargetMode="External"/><Relationship Id="rId273" Type="http://schemas.openxmlformats.org/officeDocument/2006/relationships/hyperlink" Target="https://www.sec.gov/Archives/edgar/data/1806310/000119312525133745/d843671dex31.htm" TargetMode="External"/><Relationship Id="rId274" Type="http://schemas.openxmlformats.org/officeDocument/2006/relationships/hyperlink" Target="https://www.sec.gov/Archives/edgar/data/1806310/000119312525130709/d94898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2025-08-12T09:53:26Z</dcterms:created>
  <dcterms:modified xsi:type="dcterms:W3CDTF">2025-08-12T09:53:26Z</dcterms:modified>
</cp:coreProperties>
</file>