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tsha-20230930.htm"/>
      <w:bookmarkStart w:id="1" w:name="kstsha202309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9874" w:type="dxa"/>
            <w:tcBorders/>
            <w:vAlign w:val="center"/>
          </w:tcPr>
          <w:p>
            <w:pPr>
              <w:pStyle w:val="TableContents"/>
              <w:bidi w:val="0"/>
              <w:spacing w:before="1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001-39536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3016"/>
        <w:gridCol w:w="1246"/>
      </w:tblGrid>
      <w:tr>
        <w:trPr/>
        <w:tc>
          <w:tcPr>
            <w:tcW w:w="30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84-3199512</w:t>
            </w:r>
          </w:p>
        </w:tc>
      </w:tr>
      <w:tr>
        <w:trPr/>
        <w:tc>
          <w:tcPr>
            <w:tcW w:w="301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16" w:type="dxa"/>
            <w:tcBorders/>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3000 Pegasus Park Drive</w:t>
            </w:r>
            <w:r>
              <w:rPr>
                <w:rFonts w:ascii="Times New Roman" w:hAnsi="Times New Roman"/>
                <w:color w:val="000000"/>
                <w:sz w:val="20"/>
              </w:rPr>
              <w:t xml:space="preserve"> </w:t>
            </w:r>
            <w:r>
              <w:rPr>
                <w:rFonts w:ascii="Times New Roman" w:hAnsi="Times New Roman"/>
                <w:b/>
                <w:color w:val="000000"/>
                <w:sz w:val="20"/>
              </w:rPr>
              <w:t>Ste 1430</w:t>
            </w:r>
          </w:p>
          <w:p>
            <w:pPr>
              <w:pStyle w:val="TableContents"/>
              <w:bidi w:val="0"/>
              <w:spacing w:before="0" w:after="15"/>
              <w:jc w:val="center"/>
              <w:rPr>
                <w:rFonts w:ascii="Times New Roman" w:hAnsi="Times New Roman"/>
                <w:sz w:val="20"/>
              </w:rPr>
            </w:pPr>
            <w:r>
              <w:rPr>
                <w:rFonts w:ascii="Times New Roman" w:hAnsi="Times New Roman"/>
                <w:b/>
                <w:color w:val="000000"/>
                <w:sz w:val="20"/>
              </w:rPr>
              <w:t>Dallas, Texas</w:t>
            </w:r>
            <w:r>
              <w:rPr>
                <w:rFonts w:ascii="Times New Roman" w:hAnsi="Times New Roman"/>
                <w:color w:val="000000"/>
                <w:sz w:val="20"/>
              </w:rPr>
              <w:t xml:space="preserve"> </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75247</w:t>
            </w:r>
          </w:p>
        </w:tc>
      </w:tr>
      <w:tr>
        <w:trPr/>
        <w:tc>
          <w:tcPr>
            <w:tcW w:w="301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(214) 612-0000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3346"/>
        <w:gridCol w:w="146"/>
        <w:gridCol w:w="826"/>
        <w:gridCol w:w="146"/>
        <w:gridCol w:w="3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par value $0.00001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TSHA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7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As of November 14, 2023, the registrant had 186,960,193</w:t>
      </w:r>
      <w:r>
        <w:rPr>
          <w:rFonts w:ascii="Times New Roman" w:hAnsi="Times New Roman"/>
          <w:color w:val="000000"/>
          <w:sz w:val="20"/>
        </w:rPr>
        <w:t xml:space="preserve"> </w:t>
      </w:r>
      <w:r>
        <w:rPr>
          <w:rFonts w:ascii="Times New Roman" w:hAnsi="Times New Roman"/>
          <w:b w:val="false"/>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000FF"/>
                  <w:sz w:val="20"/>
                  <w:u w:val="single"/>
                </w:rPr>
                <w:t>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b w:val="false"/>
                  <w:color w:val="0000FF"/>
                  <w:sz w:val="20"/>
                  <w:u w:val="single"/>
                </w:rPr>
                <w:t>Statements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b w:val="false"/>
                  <w:color w:val="0000FF"/>
                  <w:sz w:val="20"/>
                  <w:u w:val="single"/>
                </w:rPr>
                <w:t>Statements of Stockholders’ (Deficit)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b w:val="false"/>
                  <w:color w:val="0000FF"/>
                  <w:sz w:val="20"/>
                  <w:u w:val="single"/>
                </w:rPr>
                <w:t>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organization_description_business_">
              <w:r>
                <w:rPr>
                  <w:rStyle w:val="InternetLink"/>
                  <w:rFonts w:ascii="Times New Roman" w:hAnsi="Times New Roman"/>
                  <w:b w:val="false"/>
                  <w:color w:val="0000FF"/>
                  <w:sz w:val="20"/>
                  <w:u w:val="single"/>
                </w:rPr>
                <w:t>Notes to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82"/>
        <w:gridCol w:w="146"/>
        <w:gridCol w:w="217"/>
        <w:gridCol w:w="867"/>
        <w:gridCol w:w="166"/>
        <w:gridCol w:w="146"/>
        <w:gridCol w:w="213"/>
        <w:gridCol w:w="854"/>
        <w:gridCol w:w="414"/>
      </w:tblGrid>
      <w:tr>
        <w:trPr/>
        <w:tc>
          <w:tcPr>
            <w:tcW w:w="7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71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1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164,278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87,880</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Assets held for sale</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96,417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414" w:type="dxa"/>
            <w:tcBorders/>
            <w:shd w:fill="CFF0FC"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14,963</w:t>
            </w:r>
          </w:p>
        </w:tc>
        <w:tc>
          <w:tcPr>
            <w:tcW w:w="414" w:type="dxa"/>
            <w:tcBorders/>
            <w:shd w:fill="FFFFFF" w:val="cle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10,943</w:t>
            </w:r>
          </w:p>
        </w:tc>
        <w:tc>
          <w:tcPr>
            <w:tcW w:w="414" w:type="dxa"/>
            <w:tcBorders/>
            <w:shd w:fill="CFF0FC"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126,276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 EQUITY</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71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18,287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33,557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62,790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net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37,967</w:t>
            </w:r>
          </w:p>
        </w:tc>
        <w:tc>
          <w:tcPr>
            <w:tcW w:w="414" w:type="dxa"/>
            <w:tcBorders/>
            <w:shd w:fill="FFFFFF" w:val="cle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liability, net of current portion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20,440</w:t>
            </w:r>
          </w:p>
        </w:tc>
        <w:tc>
          <w:tcPr>
            <w:tcW w:w="414" w:type="dxa"/>
            <w:tcBorders/>
            <w:shd w:fill="CFF0FC"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125,327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 Note 13</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(deficit) equity</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Preferred stock, $0.00001</w:t>
            </w:r>
            <w:r>
              <w:rPr>
                <w:rFonts w:ascii="Times New Roman" w:hAnsi="Times New Roman"/>
                <w:color w:val="000000"/>
                <w:sz w:val="20"/>
              </w:rPr>
              <w:t> </w:t>
            </w:r>
            <w:r>
              <w:rPr>
                <w:rFonts w:ascii="Times New Roman" w:hAnsi="Times New Roman"/>
                <w:b w:val="false"/>
                <w:color w:val="000000"/>
                <w:sz w:val="20"/>
              </w:rPr>
              <w:t>par value per share; 10,000,000</w:t>
            </w:r>
            <w:r>
              <w:rPr>
                <w:rFonts w:ascii="Times New Roman" w:hAnsi="Times New Roman"/>
                <w:color w:val="000000"/>
                <w:sz w:val="20"/>
              </w:rPr>
              <w:t> </w:t>
            </w:r>
            <w:r>
              <w:rPr>
                <w:rFonts w:ascii="Times New Roman" w:hAnsi="Times New Roman"/>
                <w:b w:val="false"/>
                <w:color w:val="000000"/>
                <w:sz w:val="20"/>
              </w:rPr>
              <w:t>shares authorized and no</w:t>
            </w:r>
            <w:r>
              <w:rPr>
                <w:rFonts w:ascii="Times New Roman" w:hAnsi="Times New Roman"/>
                <w:color w:val="000000"/>
                <w:sz w:val="20"/>
              </w:rPr>
              <w:t> </w:t>
            </w:r>
            <w:r>
              <w:rPr>
                <w:rFonts w:ascii="Times New Roman" w:hAnsi="Times New Roman"/>
                <w:b w:val="false"/>
                <w:color w:val="000000"/>
                <w:sz w:val="20"/>
              </w:rPr>
              <w:t>shares issued and outstanding as of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Common stock, $0.00001</w:t>
            </w:r>
            <w:r>
              <w:rPr>
                <w:rFonts w:ascii="Times New Roman" w:hAnsi="Times New Roman"/>
                <w:color w:val="000000"/>
                <w:sz w:val="20"/>
              </w:rPr>
              <w:t> </w:t>
            </w:r>
            <w:r>
              <w:rPr>
                <w:rFonts w:ascii="Times New Roman" w:hAnsi="Times New Roman"/>
                <w:b w:val="false"/>
                <w:color w:val="000000"/>
                <w:sz w:val="20"/>
              </w:rPr>
              <w:t>par value per share; 200,000,000</w:t>
            </w:r>
            <w:r>
              <w:rPr>
                <w:rFonts w:ascii="Times New Roman" w:hAnsi="Times New Roman"/>
                <w:color w:val="000000"/>
                <w:sz w:val="20"/>
              </w:rPr>
              <w:t> </w:t>
            </w:r>
            <w:r>
              <w:rPr>
                <w:rFonts w:ascii="Times New Roman" w:hAnsi="Times New Roman"/>
                <w:b w:val="false"/>
                <w:color w:val="000000"/>
                <w:sz w:val="20"/>
              </w:rPr>
              <w:t>shares authorized and 186,960,193</w:t>
            </w:r>
            <w:r>
              <w:rPr>
                <w:rFonts w:ascii="Times New Roman" w:hAnsi="Times New Roman"/>
                <w:color w:val="000000"/>
                <w:sz w:val="20"/>
              </w:rPr>
              <w:t> </w:t>
            </w:r>
            <w:r>
              <w:rPr>
                <w:rFonts w:ascii="Times New Roman" w:hAnsi="Times New Roman"/>
                <w:b w:val="false"/>
                <w:color w:val="000000"/>
                <w:sz w:val="20"/>
              </w:rPr>
              <w:t>and 63,207,507</w:t>
            </w:r>
            <w:r>
              <w:rPr>
                <w:rFonts w:ascii="Times New Roman" w:hAnsi="Times New Roman"/>
                <w:color w:val="000000"/>
                <w:sz w:val="20"/>
              </w:rPr>
              <w:t> </w:t>
            </w:r>
            <w:r>
              <w:rPr>
                <w:rFonts w:ascii="Times New Roman" w:hAnsi="Times New Roman"/>
                <w:b w:val="false"/>
                <w:color w:val="000000"/>
                <w:sz w:val="20"/>
              </w:rPr>
              <w:t>issued and outstanding as of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414" w:type="dxa"/>
            <w:tcBorders/>
            <w:shd w:fill="CFF0FC"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402,389</w:t>
            </w:r>
          </w:p>
        </w:tc>
        <w:tc>
          <w:tcPr>
            <w:tcW w:w="414" w:type="dxa"/>
            <w:tcBorders/>
            <w:shd w:fill="FFFFFF" w:val="cle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(401,441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18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stockholders’ (deficit) equity</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(deficit) equity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126,276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19"/>
        <w:gridCol w:w="146"/>
        <w:gridCol w:w="211"/>
        <w:gridCol w:w="1141"/>
        <w:gridCol w:w="166"/>
        <w:gridCol w:w="146"/>
        <w:gridCol w:w="211"/>
        <w:gridCol w:w="1036"/>
        <w:gridCol w:w="166"/>
        <w:gridCol w:w="146"/>
        <w:gridCol w:w="211"/>
        <w:gridCol w:w="1036"/>
        <w:gridCol w:w="166"/>
        <w:gridCol w:w="146"/>
        <w:gridCol w:w="211"/>
        <w:gridCol w:w="1036"/>
        <w:gridCol w:w="411"/>
      </w:tblGrid>
      <w:tr>
        <w:trPr/>
        <w:tc>
          <w:tcPr>
            <w:tcW w:w="3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36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36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78,462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6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30,019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6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6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(100,456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(100,456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6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6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(110,936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common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125,700,799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40,937,808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84,630,796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39,761,764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stockh"/>
      <w:bookmarkEnd w:id="6"/>
      <w:r>
        <w:rPr>
          <w:rFonts w:ascii="Times New Roman" w:hAnsi="Times New Roman"/>
          <w:b/>
          <w:color w:val="000000"/>
          <w:sz w:val="20"/>
        </w:rPr>
        <w:t>Condensed Consolidated Statements of Stockholders’ (Deficit)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September 30,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77"/>
        <w:gridCol w:w="146"/>
        <w:gridCol w:w="146"/>
        <w:gridCol w:w="1006"/>
        <w:gridCol w:w="146"/>
        <w:gridCol w:w="146"/>
        <w:gridCol w:w="228"/>
        <w:gridCol w:w="403"/>
        <w:gridCol w:w="146"/>
        <w:gridCol w:w="146"/>
        <w:gridCol w:w="196"/>
        <w:gridCol w:w="691"/>
        <w:gridCol w:w="146"/>
        <w:gridCol w:w="146"/>
        <w:gridCol w:w="196"/>
        <w:gridCol w:w="751"/>
        <w:gridCol w:w="166"/>
        <w:gridCol w:w="146"/>
        <w:gridCol w:w="199"/>
        <w:gridCol w:w="765"/>
        <w:gridCol w:w="213"/>
      </w:tblGrid>
      <w:tr>
        <w:trPr/>
        <w:tc>
          <w:tcPr>
            <w:tcW w:w="4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4"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3" w:type="dxa"/>
            <w:tcBorders/>
            <w:shd w:fill="FFFFFF" w:val="clear"/>
            <w:vAlign w:val="center"/>
          </w:tcPr>
          <w:p>
            <w:pPr>
              <w:pStyle w:val="TableContents"/>
              <w:bidi w:val="0"/>
              <w:spacing w:before="0" w:after="283"/>
              <w:jc w:val="center"/>
              <w:rPr/>
            </w:pPr>
            <w:r>
              <w:rPr/>
              <w:t> </w:t>
            </w:r>
          </w:p>
        </w:tc>
      </w:tr>
      <w:tr>
        <w:trPr/>
        <w:tc>
          <w:tcPr>
            <w:tcW w:w="40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4"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40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64,432,637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406,546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(443,661</w:t>
            </w:r>
          </w:p>
        </w:tc>
        <w:tc>
          <w:tcPr>
            <w:tcW w:w="1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65"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(37,114</w:t>
            </w:r>
          </w:p>
        </w:tc>
        <w:tc>
          <w:tcPr>
            <w:tcW w:w="21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07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2,040</w:t>
            </w:r>
          </w:p>
        </w:tc>
        <w:tc>
          <w:tcPr>
            <w:tcW w:w="213" w:type="dxa"/>
            <w:tcBorders/>
            <w:shd w:fill="CFF0FC" w:val="clear"/>
            <w:vAlign w:val="center"/>
          </w:tcPr>
          <w:p>
            <w:pPr>
              <w:pStyle w:val="TableContents"/>
              <w:bidi w:val="0"/>
              <w:spacing w:before="0" w:after="283"/>
              <w:jc w:val="left"/>
              <w:rPr/>
            </w:pPr>
            <w:r>
              <w:rPr/>
              <w:t> </w:t>
            </w:r>
          </w:p>
        </w:tc>
      </w:tr>
      <w:tr>
        <w:trPr/>
        <w:tc>
          <w:tcPr>
            <w:tcW w:w="407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in private placement, net of placement agent commission and offering costs of $7,098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122,412,376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103,029</w:t>
            </w:r>
          </w:p>
        </w:tc>
        <w:tc>
          <w:tcPr>
            <w:tcW w:w="213" w:type="dxa"/>
            <w:tcBorders/>
            <w:shd w:fill="FFFFFF" w:val="clear"/>
            <w:vAlign w:val="center"/>
          </w:tcPr>
          <w:p>
            <w:pPr>
              <w:pStyle w:val="TableContents"/>
              <w:bidi w:val="0"/>
              <w:spacing w:before="0" w:after="283"/>
              <w:jc w:val="left"/>
              <w:rPr/>
            </w:pPr>
            <w:r>
              <w:rPr/>
              <w:t> </w:t>
            </w:r>
          </w:p>
        </w:tc>
      </w:tr>
      <w:tr>
        <w:trPr/>
        <w:tc>
          <w:tcPr>
            <w:tcW w:w="407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vesting and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82,780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407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213" w:type="dxa"/>
            <w:tcBorders/>
            <w:shd w:fill="FFFFFF" w:val="clear"/>
            <w:vAlign w:val="center"/>
          </w:tcPr>
          <w:p>
            <w:pPr>
              <w:pStyle w:val="TableContents"/>
              <w:bidi w:val="0"/>
              <w:spacing w:before="0" w:after="283"/>
              <w:jc w:val="left"/>
              <w:rPr/>
            </w:pPr>
            <w:r>
              <w:rPr/>
              <w:t> </w:t>
            </w:r>
          </w:p>
        </w:tc>
      </w:tr>
      <w:tr>
        <w:trPr/>
        <w:tc>
          <w:tcPr>
            <w:tcW w:w="407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(117,087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7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186,960,193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(560,748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(49,114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September 30, 2022</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57"/>
        <w:gridCol w:w="146"/>
        <w:gridCol w:w="146"/>
        <w:gridCol w:w="916"/>
        <w:gridCol w:w="146"/>
        <w:gridCol w:w="146"/>
        <w:gridCol w:w="228"/>
        <w:gridCol w:w="403"/>
        <w:gridCol w:w="146"/>
        <w:gridCol w:w="146"/>
        <w:gridCol w:w="196"/>
        <w:gridCol w:w="691"/>
        <w:gridCol w:w="146"/>
        <w:gridCol w:w="146"/>
        <w:gridCol w:w="196"/>
        <w:gridCol w:w="751"/>
        <w:gridCol w:w="166"/>
        <w:gridCol w:w="146"/>
        <w:gridCol w:w="222"/>
        <w:gridCol w:w="753"/>
        <w:gridCol w:w="212"/>
      </w:tblGrid>
      <w:tr>
        <w:trPr/>
        <w:tc>
          <w:tcPr>
            <w:tcW w:w="4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1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2" w:type="dxa"/>
            <w:tcBorders/>
            <w:shd w:fill="FFFFFF" w:val="clear"/>
            <w:vAlign w:val="center"/>
          </w:tcPr>
          <w:p>
            <w:pPr>
              <w:pStyle w:val="TableContents"/>
              <w:bidi w:val="0"/>
              <w:spacing w:before="0" w:after="283"/>
              <w:jc w:val="center"/>
              <w:rPr/>
            </w:pPr>
            <w:r>
              <w:rPr/>
              <w:t> </w:t>
            </w:r>
          </w:p>
        </w:tc>
      </w:tr>
      <w:tr>
        <w:trPr/>
        <w:tc>
          <w:tcPr>
            <w:tcW w:w="41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41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41,020,086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352,342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(319,836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32,507</w:t>
            </w:r>
          </w:p>
        </w:tc>
        <w:tc>
          <w:tcPr>
            <w:tcW w:w="212" w:type="dxa"/>
            <w:tcBorders/>
            <w:shd w:fill="CFF0FC" w:val="clear"/>
            <w:vAlign w:val="center"/>
          </w:tcPr>
          <w:p>
            <w:pPr>
              <w:pStyle w:val="TableContents"/>
              <w:bidi w:val="0"/>
              <w:spacing w:before="0" w:after="283"/>
              <w:jc w:val="left"/>
              <w:rPr/>
            </w:pPr>
            <w:r>
              <w:rPr/>
              <w:t> </w:t>
            </w:r>
          </w:p>
        </w:tc>
      </w:tr>
      <w:tr>
        <w:trPr/>
        <w:tc>
          <w:tcPr>
            <w:tcW w:w="41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4,470</w:t>
            </w:r>
          </w:p>
        </w:tc>
        <w:tc>
          <w:tcPr>
            <w:tcW w:w="212" w:type="dxa"/>
            <w:tcBorders/>
            <w:shd w:fill="FFFFFF" w:val="clear"/>
            <w:vAlign w:val="center"/>
          </w:tcPr>
          <w:p>
            <w:pPr>
              <w:pStyle w:val="TableContents"/>
              <w:bidi w:val="0"/>
              <w:spacing w:before="0" w:after="283"/>
              <w:jc w:val="left"/>
              <w:rPr/>
            </w:pPr>
            <w:r>
              <w:rPr/>
              <w:t> </w:t>
            </w:r>
          </w:p>
        </w:tc>
      </w:tr>
      <w:tr>
        <w:trPr/>
        <w:tc>
          <w:tcPr>
            <w:tcW w:w="41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vesting and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82,780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415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w:t>
            </w:r>
          </w:p>
        </w:tc>
        <w:tc>
          <w:tcPr>
            <w:tcW w:w="212" w:type="dxa"/>
            <w:tcBorders/>
            <w:shd w:fill="FFFFFF" w:val="clear"/>
            <w:vAlign w:val="center"/>
          </w:tcPr>
          <w:p>
            <w:pPr>
              <w:pStyle w:val="TableContents"/>
              <w:bidi w:val="0"/>
              <w:spacing w:before="0" w:after="283"/>
              <w:jc w:val="left"/>
              <w:rPr/>
            </w:pPr>
            <w:r>
              <w:rPr/>
              <w:t> </w:t>
            </w:r>
          </w:p>
        </w:tc>
      </w:tr>
      <w:tr>
        <w:trPr/>
        <w:tc>
          <w:tcPr>
            <w:tcW w:w="41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(26,527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5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41,175,939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357,065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(346,363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10,703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(Deficit)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Nine Months Ended September 30,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32"/>
        <w:gridCol w:w="146"/>
        <w:gridCol w:w="146"/>
        <w:gridCol w:w="1006"/>
        <w:gridCol w:w="146"/>
        <w:gridCol w:w="146"/>
        <w:gridCol w:w="228"/>
        <w:gridCol w:w="403"/>
        <w:gridCol w:w="146"/>
        <w:gridCol w:w="146"/>
        <w:gridCol w:w="196"/>
        <w:gridCol w:w="691"/>
        <w:gridCol w:w="146"/>
        <w:gridCol w:w="146"/>
        <w:gridCol w:w="196"/>
        <w:gridCol w:w="751"/>
        <w:gridCol w:w="166"/>
        <w:gridCol w:w="146"/>
        <w:gridCol w:w="208"/>
        <w:gridCol w:w="801"/>
        <w:gridCol w:w="213"/>
      </w:tblGrid>
      <w:tr>
        <w:trPr/>
        <w:tc>
          <w:tcPr>
            <w:tcW w:w="4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9"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3" w:type="dxa"/>
            <w:tcBorders/>
            <w:shd w:fill="FFFFFF" w:val="clear"/>
            <w:vAlign w:val="center"/>
          </w:tcPr>
          <w:p>
            <w:pPr>
              <w:pStyle w:val="TableContents"/>
              <w:bidi w:val="0"/>
              <w:spacing w:before="0" w:after="283"/>
              <w:jc w:val="center"/>
              <w:rPr/>
            </w:pPr>
            <w:r>
              <w:rPr/>
              <w:t> </w:t>
            </w:r>
          </w:p>
        </w:tc>
      </w:tr>
      <w:tr>
        <w:trPr/>
        <w:tc>
          <w:tcPr>
            <w:tcW w:w="4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9"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4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63,207,507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402,389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(401,441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949</w:t>
            </w:r>
          </w:p>
        </w:tc>
        <w:tc>
          <w:tcPr>
            <w:tcW w:w="213" w:type="dxa"/>
            <w:tcBorders/>
            <w:shd w:fill="CFF0FC" w:val="clear"/>
            <w:vAlign w:val="center"/>
          </w:tcPr>
          <w:p>
            <w:pPr>
              <w:pStyle w:val="TableContents"/>
              <w:bidi w:val="0"/>
              <w:spacing w:before="0" w:after="283"/>
              <w:jc w:val="left"/>
              <w:rPr/>
            </w:pPr>
            <w:r>
              <w:rPr/>
              <w:t> </w:t>
            </w:r>
          </w:p>
        </w:tc>
      </w:tr>
      <w:tr>
        <w:trPr/>
        <w:tc>
          <w:tcPr>
            <w:tcW w:w="403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5,937</w:t>
            </w:r>
          </w:p>
        </w:tc>
        <w:tc>
          <w:tcPr>
            <w:tcW w:w="213" w:type="dxa"/>
            <w:tcBorders/>
            <w:shd w:fill="FFFFFF" w:val="clear"/>
            <w:vAlign w:val="center"/>
          </w:tcPr>
          <w:p>
            <w:pPr>
              <w:pStyle w:val="TableContents"/>
              <w:bidi w:val="0"/>
              <w:spacing w:before="0" w:after="283"/>
              <w:jc w:val="left"/>
              <w:rPr/>
            </w:pPr>
            <w:r>
              <w:rPr/>
              <w:t> </w:t>
            </w:r>
          </w:p>
        </w:tc>
      </w:tr>
      <w:tr>
        <w:trPr/>
        <w:tc>
          <w:tcPr>
            <w:tcW w:w="403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in private placement, net of placement agent commission and offering costs of $7,138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123,117,594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103,239</w:t>
            </w:r>
          </w:p>
        </w:tc>
        <w:tc>
          <w:tcPr>
            <w:tcW w:w="213" w:type="dxa"/>
            <w:tcBorders/>
            <w:shd w:fill="CFF0FC" w:val="clear"/>
            <w:vAlign w:val="center"/>
          </w:tcPr>
          <w:p>
            <w:pPr>
              <w:pStyle w:val="TableContents"/>
              <w:bidi w:val="0"/>
              <w:spacing w:before="0" w:after="283"/>
              <w:jc w:val="left"/>
              <w:rPr/>
            </w:pPr>
            <w:r>
              <w:rPr/>
              <w:t> </w:t>
            </w:r>
          </w:p>
        </w:tc>
      </w:tr>
      <w:tr>
        <w:trPr/>
        <w:tc>
          <w:tcPr>
            <w:tcW w:w="403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vesting and settlement of restricted stock units,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566,772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403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213" w:type="dxa"/>
            <w:tcBorders/>
            <w:shd w:fill="CFF0FC" w:val="clear"/>
            <w:vAlign w:val="center"/>
          </w:tcPr>
          <w:p>
            <w:pPr>
              <w:pStyle w:val="TableContents"/>
              <w:bidi w:val="0"/>
              <w:spacing w:before="0" w:after="283"/>
              <w:jc w:val="left"/>
              <w:rPr/>
            </w:pPr>
            <w:r>
              <w:rPr/>
              <w:t> </w:t>
            </w:r>
          </w:p>
        </w:tc>
      </w:tr>
      <w:tr>
        <w:trPr/>
        <w:tc>
          <w:tcPr>
            <w:tcW w:w="403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(159,307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3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186,960,193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(560,748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(49,114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Nine Months Ended September 30, 2022</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6"/>
        <w:gridCol w:w="146"/>
        <w:gridCol w:w="146"/>
        <w:gridCol w:w="916"/>
        <w:gridCol w:w="146"/>
        <w:gridCol w:w="146"/>
        <w:gridCol w:w="228"/>
        <w:gridCol w:w="403"/>
        <w:gridCol w:w="146"/>
        <w:gridCol w:w="146"/>
        <w:gridCol w:w="196"/>
        <w:gridCol w:w="691"/>
        <w:gridCol w:w="146"/>
        <w:gridCol w:w="146"/>
        <w:gridCol w:w="196"/>
        <w:gridCol w:w="751"/>
        <w:gridCol w:w="166"/>
        <w:gridCol w:w="146"/>
        <w:gridCol w:w="214"/>
        <w:gridCol w:w="822"/>
        <w:gridCol w:w="212"/>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4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2" w:type="dxa"/>
            <w:tcBorders/>
            <w:shd w:fill="FFFFFF" w:val="clear"/>
            <w:vAlign w:val="center"/>
          </w:tcPr>
          <w:p>
            <w:pPr>
              <w:pStyle w:val="TableContents"/>
              <w:bidi w:val="0"/>
              <w:spacing w:before="0" w:after="283"/>
              <w:jc w:val="center"/>
              <w:rPr/>
            </w:pPr>
            <w:r>
              <w:rPr/>
              <w:t> </w:t>
            </w:r>
          </w:p>
        </w:tc>
      </w:tr>
      <w:tr>
        <w:trPr/>
        <w:tc>
          <w:tcPr>
            <w:tcW w:w="4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4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38,473,945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331,032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(235,649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2"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95,383</w:t>
            </w:r>
          </w:p>
        </w:tc>
        <w:tc>
          <w:tcPr>
            <w:tcW w:w="212"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Adjustment to beginning accumulated deficit from the adoption of ASC 842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222</w:t>
            </w:r>
          </w:p>
        </w:tc>
        <w:tc>
          <w:tcPr>
            <w:tcW w:w="212"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14,172</w:t>
            </w:r>
          </w:p>
        </w:tc>
        <w:tc>
          <w:tcPr>
            <w:tcW w:w="212"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vesting and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628,921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net of sales commissions and other offering costs of $392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11,609</w:t>
            </w:r>
          </w:p>
        </w:tc>
        <w:tc>
          <w:tcPr>
            <w:tcW w:w="212"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w:t>
            </w:r>
          </w:p>
        </w:tc>
        <w:tc>
          <w:tcPr>
            <w:tcW w:w="212" w:type="dxa"/>
            <w:tcBorders/>
            <w:shd w:fill="FFFFFF" w:val="cle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(110,936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0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41,175,939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357,065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(346,363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10,703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611" w:type="dxa"/>
            <w:tcBorders/>
            <w:shd w:fill="FFFFFF" w:val="clear"/>
            <w:vAlign w:val="center"/>
          </w:tcPr>
          <w:p>
            <w:pPr>
              <w:pStyle w:val="TableContents"/>
              <w:bidi w:val="0"/>
              <w:spacing w:before="0" w:after="283"/>
              <w:jc w:val="center"/>
              <w:rPr/>
            </w:pPr>
            <w:r>
              <w:rPr/>
              <w:t> </w:t>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(159,307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(110,936</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 license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costs for pre-funded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research and development license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(4,250</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(18,310</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net of sales commissions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11,640</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and pre-funded warrants from private placement, net of placement agent commissions and other offering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140,713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from private placement, net of sales commissions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of shelf registration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common stock issuances under ESPP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76,398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(114,797</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beginning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151,740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166,915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36,943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164,278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34,306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166,915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36,943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1,758</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plant and equipment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3,366</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assets obtained in exchange for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23,035</w:t>
            </w:r>
          </w:p>
        </w:tc>
        <w:tc>
          <w:tcPr>
            <w:tcW w:w="611" w:type="dxa"/>
            <w:tcBorders/>
            <w:shd w:fill="CFF0FC" w:val="cle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Offering costs not yet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611" w:type="dxa"/>
            <w:tcBorders/>
            <w:shd w:fill="FFFFFF" w:val="cle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warrants in connection with private placement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note_1organization_description_business_"/>
      <w:bookmarkEnd w:id="8"/>
      <w:r>
        <w:rPr>
          <w:rFonts w:ascii="Times New Roman" w:hAnsi="Times New Roman"/>
          <w:b/>
          <w:color w:val="000000"/>
          <w:sz w:val="20"/>
        </w:rPr>
        <w:t>Note 1—Organization and Description of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Taysha is a patient-centric gene therapy company focused on developing and commercializing AAV-based gene therapies for the treatment of monogenic diseases of the central nervous system in both rare and large patient populations.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w:t>
      </w:r>
      <w:r>
        <w:rPr>
          <w:rFonts w:ascii="Times New Roman" w:hAnsi="Times New Roman"/>
          <w:color w:val="000000"/>
          <w:sz w:val="20"/>
        </w:rPr>
        <w:t xml:space="preserve"> </w:t>
      </w:r>
      <w:r>
        <w:rPr>
          <w:rFonts w:ascii="Times New Roman" w:hAnsi="Times New Roman"/>
          <w:b w:val="false"/>
          <w:color w:val="000000"/>
          <w:sz w:val="20"/>
        </w:rPr>
        <w:t>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Any shares of the Company’s common stock will be issued pursuant to the Company’s shelf registration statement on Form S-3 (File No. 333-260069) (the “Shelf Registration Statement”), which the Securities and Exchange Commission (“SEC”) declared effective on October 14, 2021; however the Company’s use of the Shelf Registration Statement will be limited for so long as the Company is subject to General Instruction I.B.6 of Form S-3, which limits the amounts that the Company may sell under the Shelf Registration Statement and in accordance with the Sales Agreement. The Sales Agents are entitled to receive 3.0% of the gross sales price per share of common stock sold under the Sales Agreement. In April 2022, the Company sold 2,000,000</w:t>
      </w:r>
      <w:r>
        <w:rPr>
          <w:rFonts w:ascii="Times New Roman" w:hAnsi="Times New Roman"/>
          <w:color w:val="000000"/>
          <w:sz w:val="20"/>
        </w:rPr>
        <w:t xml:space="preserve"> </w:t>
      </w:r>
      <w:r>
        <w:rPr>
          <w:rFonts w:ascii="Times New Roman" w:hAnsi="Times New Roman"/>
          <w:b w:val="false"/>
          <w:color w:val="000000"/>
          <w:sz w:val="20"/>
        </w:rPr>
        <w:t>shares of common stock under the Sales Agreement and received $11.6</w:t>
      </w:r>
      <w:r>
        <w:rPr>
          <w:rFonts w:ascii="Times New Roman" w:hAnsi="Times New Roman"/>
          <w:color w:val="000000"/>
          <w:sz w:val="20"/>
        </w:rPr>
        <w:t xml:space="preserve"> </w:t>
      </w:r>
      <w:r>
        <w:rPr>
          <w:rFonts w:ascii="Times New Roman" w:hAnsi="Times New Roman"/>
          <w:b w:val="false"/>
          <w:color w:val="000000"/>
          <w:sz w:val="20"/>
        </w:rPr>
        <w:t>million in net proceeds. No</w:t>
      </w:r>
      <w:r>
        <w:rPr>
          <w:rFonts w:ascii="Times New Roman" w:hAnsi="Times New Roman"/>
          <w:color w:val="000000"/>
          <w:sz w:val="20"/>
        </w:rPr>
        <w:t xml:space="preserve"> </w:t>
      </w:r>
      <w:r>
        <w:rPr>
          <w:rFonts w:ascii="Times New Roman" w:hAnsi="Times New Roman"/>
          <w:b w:val="false"/>
          <w:color w:val="000000"/>
          <w:sz w:val="20"/>
        </w:rPr>
        <w:t>other shares of common stock have been issued and sold pursuant to the Sales Agreement as of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Pursuant to ASC 205, </w:t>
      </w:r>
      <w:r>
        <w:rPr>
          <w:rFonts w:ascii="Times New Roman" w:hAnsi="Times New Roman"/>
          <w:b w:val="false"/>
          <w:i/>
          <w:color w:val="000000"/>
          <w:sz w:val="20"/>
        </w:rPr>
        <w:t>Presentation of Financial Statements</w:t>
      </w:r>
      <w:r>
        <w:rPr>
          <w:rFonts w:ascii="Times New Roman" w:hAnsi="Times New Roman"/>
          <w:b w:val="false"/>
          <w:color w:val="000000"/>
          <w:sz w:val="20"/>
        </w:rPr>
        <w:t>, the Company is required to and does evaluate at each annual and interim period whether there are conditions or events, considered in the aggregate, that raise substantial doubt about its ability to continue as a going concern within one year after the date that the condensed consolidated financial statements are issued. In its Quarterly Report on Form 10-Q for the quarter ended June 30, 2023, the Company concluded that due to inherent uncertainties in the Company’s forecast, and after considering both quantitative and qualitative factors that were known or reasonably knowable as of the date that such condensed consolidated financial statements were issued, there were conditions present in the aggregate that raised substantial doubt about the Company’s ability to continue as a going concern.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Following the closing of the Private Placement (as defined below) in August 2023 (see Note 10), the Company has concluded that after considering both qualitative and quantitative factors, there are no longer conditions present in the aggregate that raise substantial doubt about the Company’s ability to continue as a going concern. The Company has sufficient liquidity to satisfy its obligations for at least twelve months following the date of the issuance of these condensed consolidated financial statements. Accordingly, the Company has concluded that there is no longer substantial doubt about the Company’s ability to continue as a going concern.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incurred operating losses since inception and expects to continue to incur significant operating losses for the foreseeable future and may never become profitable. As of September 30, 2023, the Company had an accumulated deficit of $560.7</w:t>
      </w:r>
      <w:r>
        <w:rPr>
          <w:rFonts w:ascii="Times New Roman" w:hAnsi="Times New Roman"/>
          <w:color w:val="000000"/>
          <w:sz w:val="20"/>
        </w:rPr>
        <w:t xml:space="preserve"> </w:t>
      </w:r>
      <w:r>
        <w:rPr>
          <w:rFonts w:ascii="Times New Roman" w:hAnsi="Times New Roman"/>
          <w:b w:val="false"/>
          <w:color w:val="000000"/>
          <w:sz w:val="20"/>
        </w:rPr>
        <w:t>million. Losses are expected to continue as the Company continues to invest in its research and development activities. Future capital requirements will depend on many factors, including the timing and extent of spending on research and development and the market acceptance of the Company’s products. As of September 30, 2023, the Company had cash and cash equivalents of $164.3</w:t>
      </w:r>
      <w:r>
        <w:rPr>
          <w:rFonts w:ascii="Times New Roman" w:hAnsi="Times New Roman"/>
          <w:color w:val="000000"/>
          <w:sz w:val="20"/>
        </w:rPr>
        <w:t xml:space="preserve"> </w:t>
      </w:r>
      <w:r>
        <w:rPr>
          <w:rFonts w:ascii="Times New Roman" w:hAnsi="Times New Roman"/>
          <w:b w:val="false"/>
          <w:color w:val="000000"/>
          <w:sz w:val="20"/>
        </w:rPr>
        <w:t>million which the Company believes will be sufficient to fund its planned operations for a period of at least twelve months from the date of issuance of these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2022, filed with the SEC on March 28, 2023 (the “2022 Annual Report”). In the opinion of management, the unaudited condensed consolidated financial statements reflect all adjustments, which include only normal recurring adjustments necessary for the fair statement of the balances and results for the periods presented. The consolidated balance sheet as of December 31, 2022,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2022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interim condensed consolidated financial statements include the accounts of Taysha and its wholly owned subsidiaries. All intercompany transactions and balances have been eliminated in consolidation.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("IPO") (as an input into stock-based compensation), estimating manufacturing accruals and accrued or prepaid research and development expenses, the measurement of impairment of long-lived assets, the fair value of the warrant liability, and the allocation of consideration received in connection with the Astellas Transactions (as defined below) at contract inception.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changes in the Company’s significant accounting policies as disclosed in Note 2 to the audited consolidated financial statements included in the 2022 Annual Report, except as described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Cash and cash equivalents consist of funds held in a standard checking account, a standard savings account and a money market fund. The Company considers all highly liquid investments with an original maturity of three months or less at the date of purchase to be 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Assets Held for Sale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Assets and liabilities are classified as held for sale when all of the following criteria for a plan of sale have been met: (1) 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When all of these criteria have been met, the assets and liabilities are classified as held for sale in the balance sheet. Assets classified as held for sale are reported at the lower of their carrying value or fair value less costs to sell. The Company recorded a partial impairment of $0.6</w:t>
      </w:r>
      <w:r>
        <w:rPr>
          <w:rFonts w:ascii="Times New Roman" w:hAnsi="Times New Roman"/>
          <w:color w:val="000000"/>
          <w:sz w:val="20"/>
        </w:rPr>
        <w:t xml:space="preserve"> </w:t>
      </w:r>
      <w:r>
        <w:rPr>
          <w:rFonts w:ascii="Times New Roman" w:hAnsi="Times New Roman"/>
          <w:b w:val="false"/>
          <w:color w:val="000000"/>
          <w:sz w:val="20"/>
        </w:rPr>
        <w:t>million during the three months ended September 30, 2023 in connection with the classification of certain assets to assets held for sale. Depreciation and amortization of assets ceases upon designation as held for sale.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 accounts for warrants as either equity-classified or liability-classified instruments based on an assessment of the warrant’s specific terms and applicable authoritative guidance in FASB ASC 480, </w:t>
      </w:r>
      <w:r>
        <w:rPr>
          <w:rFonts w:ascii="Times New Roman" w:hAnsi="Times New Roman"/>
          <w:b w:val="false"/>
          <w:i/>
          <w:color w:val="000000"/>
          <w:sz w:val="20"/>
        </w:rPr>
        <w:t>Distinguishing Liabilities from Equity</w:t>
      </w:r>
      <w:r>
        <w:rPr>
          <w:rFonts w:ascii="Times New Roman" w:hAnsi="Times New Roman"/>
          <w:color w:val="000000"/>
          <w:sz w:val="20"/>
        </w:rPr>
        <w:t xml:space="preserve"> </w:t>
      </w:r>
      <w:r>
        <w:rPr>
          <w:rFonts w:ascii="Times New Roman" w:hAnsi="Times New Roman"/>
          <w:b w:val="false"/>
          <w:color w:val="000000"/>
          <w:sz w:val="20"/>
        </w:rPr>
        <w:t>(“ASC 480”) and ASC 815,</w:t>
      </w:r>
      <w:r>
        <w:rPr>
          <w:rFonts w:ascii="Times New Roman" w:hAnsi="Times New Roman"/>
          <w:color w:val="000000"/>
          <w:sz w:val="20"/>
        </w:rPr>
        <w:t xml:space="preserve"> </w:t>
      </w:r>
      <w:r>
        <w:rPr>
          <w:rFonts w:ascii="Times New Roman" w:hAnsi="Times New Roman"/>
          <w:b w:val="false"/>
          <w:i/>
          <w:color w:val="000000"/>
          <w:sz w:val="20"/>
        </w:rPr>
        <w:t>Derivatives and Hedging</w:t>
      </w:r>
      <w:r>
        <w:rPr>
          <w:rFonts w:ascii="Times New Roman" w:hAnsi="Times New Roman"/>
          <w:color w:val="000000"/>
          <w:sz w:val="20"/>
        </w:rPr>
        <w:t xml:space="preserve"> </w:t>
      </w:r>
      <w:r>
        <w:rPr>
          <w:rFonts w:ascii="Times New Roman" w:hAnsi="Times New Roman"/>
          <w:b w:val="false"/>
          <w:color w:val="000000"/>
          <w:sz w:val="20"/>
        </w:rPr>
        <w:t>(“ASC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reporting period while the warrants are outstanding.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classifies the warrants as liabilities at their fair value and adjusts the warrants to fair value at each reporting period. This liability is subject to remeasurement at each balance sheet date until the warrants are exercised or expire, and any change in fair value is recognized in the Company’s condensed consolidated statement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Comprehensive loss is equal to net loss as presented in the accompanying condensed consolidated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December 31, 2022, the Company adopted</w:t>
      </w:r>
      <w:r>
        <w:rPr>
          <w:rFonts w:ascii="Times New Roman" w:hAnsi="Times New Roman"/>
          <w:color w:val="000000"/>
          <w:sz w:val="20"/>
        </w:rPr>
        <w:t xml:space="preserve"> </w:t>
      </w:r>
      <w:r>
        <w:rPr>
          <w:rFonts w:ascii="Times New Roman" w:hAnsi="Times New Roman"/>
          <w:b w:val="false"/>
          <w:color w:val="000000"/>
          <w:sz w:val="20"/>
        </w:rPr>
        <w:t>ASU 2016-02 using the modified retrospective approach and utilizing the effective date as its date of initial application.</w:t>
      </w:r>
      <w:r>
        <w:rPr>
          <w:rFonts w:ascii="Times New Roman" w:hAnsi="Times New Roman"/>
          <w:color w:val="000000"/>
          <w:sz w:val="20"/>
        </w:rPr>
        <w:t xml:space="preserve"> </w:t>
      </w:r>
      <w:r>
        <w:rPr>
          <w:rFonts w:ascii="Times New Roman" w:hAnsi="Times New Roman"/>
          <w:b w:val="false"/>
          <w:color w:val="000000"/>
          <w:sz w:val="20"/>
        </w:rPr>
        <w:t>The Company has retrospectively changed its previously issued condensed consolidated financial statements as of September 30, 2022 as presented within the Company’s September 30, 2022 Quarterly Report on Form 10-Q to reflect the adoption of ASC 842 on January 1, 2022. The condensed consolidated financial statements for the three and nine months ended September 30, 2022 presented herein differ from the Company’s condensed consolidated financial statements included in the Company’s September 30, 2022 Quarterly Report on Form 10-Q as those condensed consolidated financial statements were prepared using the former accounting standard referred to as ASC Topic 840, Leases.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 For leases that existed prior to the date of initial application of ASC 842 (which were previously classified as operating leases), a lessee may elect to use either the total lease term measured at lease inception under ASC 840 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adoption of this standard resulted in the recognition of operating lease right-of-use assets and operating lease liabilities of $18.4</w:t>
      </w:r>
      <w:r>
        <w:rPr>
          <w:rFonts w:ascii="Times New Roman" w:hAnsi="Times New Roman"/>
          <w:color w:val="000000"/>
          <w:sz w:val="20"/>
        </w:rPr>
        <w:t xml:space="preserve"> </w:t>
      </w:r>
      <w:r>
        <w:rPr>
          <w:rFonts w:ascii="Times New Roman" w:hAnsi="Times New Roman"/>
          <w:b w:val="false"/>
          <w:color w:val="000000"/>
          <w:sz w:val="20"/>
        </w:rPr>
        <w:t>million and $19.1</w:t>
      </w:r>
      <w:r>
        <w:rPr>
          <w:rFonts w:ascii="Times New Roman" w:hAnsi="Times New Roman"/>
          <w:color w:val="000000"/>
          <w:sz w:val="20"/>
        </w:rPr>
        <w:t xml:space="preserve"> </w:t>
      </w:r>
      <w:r>
        <w:rPr>
          <w:rFonts w:ascii="Times New Roman" w:hAnsi="Times New Roman"/>
          <w:b w:val="false"/>
          <w:color w:val="000000"/>
          <w:sz w:val="20"/>
        </w:rPr>
        <w:t>million, respectively, on the Company’s condensed consolidated balance sheet at adoption relating to its operating leases. The lease liabilities were determined based on the present value of the remaining minimum lease payments. Upon adoption of ASC 842, the Company also (i) derecognized the build-to-suit lease asset of $26.3</w:t>
      </w:r>
      <w:r>
        <w:rPr>
          <w:rFonts w:ascii="Times New Roman" w:hAnsi="Times New Roman"/>
          <w:color w:val="000000"/>
          <w:sz w:val="20"/>
        </w:rPr>
        <w:t xml:space="preserve"> </w:t>
      </w:r>
      <w:r>
        <w:rPr>
          <w:rFonts w:ascii="Times New Roman" w:hAnsi="Times New Roman"/>
          <w:b w:val="false"/>
          <w:color w:val="000000"/>
          <w:sz w:val="20"/>
        </w:rPr>
        <w:t>million previously presented in property, plant and equipment, (ii) derecognized the build-to-suit lease liability of $26.5</w:t>
      </w:r>
      <w:r>
        <w:rPr>
          <w:rFonts w:ascii="Times New Roman" w:hAnsi="Times New Roman"/>
          <w:color w:val="000000"/>
          <w:sz w:val="20"/>
        </w:rPr>
        <w:t xml:space="preserve"> </w:t>
      </w:r>
      <w:r>
        <w:rPr>
          <w:rFonts w:ascii="Times New Roman" w:hAnsi="Times New Roman"/>
          <w:b w:val="false"/>
          <w:color w:val="000000"/>
          <w:sz w:val="20"/>
        </w:rPr>
        <w:t>million, and (iii) eliminated $0.7</w:t>
      </w:r>
      <w:r>
        <w:rPr>
          <w:rFonts w:ascii="Times New Roman" w:hAnsi="Times New Roman"/>
          <w:color w:val="000000"/>
          <w:sz w:val="20"/>
        </w:rPr>
        <w:t xml:space="preserve"> </w:t>
      </w:r>
      <w:r>
        <w:rPr>
          <w:rFonts w:ascii="Times New Roman" w:hAnsi="Times New Roman"/>
          <w:b w:val="false"/>
          <w:color w:val="000000"/>
          <w:sz w:val="20"/>
        </w:rPr>
        <w:t>million of deferred rent liabilities and tenant improvement allowances as of January 1, 2022, as these liabilities are reflected in the operating lease right-of-use assets. In adopting ASU 2016-02, the Company recorded a total one-time adjustment of $0.2</w:t>
      </w:r>
      <w:r>
        <w:rPr>
          <w:rFonts w:ascii="Times New Roman" w:hAnsi="Times New Roman"/>
          <w:color w:val="000000"/>
          <w:sz w:val="20"/>
        </w:rPr>
        <w:t xml:space="preserve"> </w:t>
      </w:r>
      <w:r>
        <w:rPr>
          <w:rFonts w:ascii="Times New Roman" w:hAnsi="Times New Roman"/>
          <w:b w:val="false"/>
          <w:color w:val="000000"/>
          <w:sz w:val="20"/>
        </w:rPr>
        <w:t>million to the opening balance of accumulated deficit as of January 1, 2022, related to the de-recognition of the build-to-suit lease asset and related build-to-suit lease obligation. The adoption did not</w:t>
      </w:r>
      <w:r>
        <w:rPr>
          <w:rFonts w:ascii="Times New Roman" w:hAnsi="Times New Roman"/>
          <w:color w:val="000000"/>
          <w:sz w:val="20"/>
        </w:rPr>
        <w:t xml:space="preserve"> </w:t>
      </w:r>
      <w:r>
        <w:rPr>
          <w:rFonts w:ascii="Times New Roman" w:hAnsi="Times New Roman"/>
          <w:b w:val="false"/>
          <w:color w:val="000000"/>
          <w:sz w:val="20"/>
        </w:rPr>
        <w:t>have a material impact on accumulated deficit and on the condensed consolidated statements of operations and cash flows.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summarizes the effect of the adoption of ASC 842 on the condensed consolidated statement of operations and statement of cash flows for the nine months ended September 30, 2022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8"/>
        <w:gridCol w:w="146"/>
        <w:gridCol w:w="368"/>
        <w:gridCol w:w="1468"/>
        <w:gridCol w:w="166"/>
        <w:gridCol w:w="146"/>
        <w:gridCol w:w="350"/>
        <w:gridCol w:w="1124"/>
        <w:gridCol w:w="166"/>
        <w:gridCol w:w="146"/>
        <w:gridCol w:w="379"/>
        <w:gridCol w:w="1514"/>
        <w:gridCol w:w="394"/>
      </w:tblGrid>
      <w:tr>
        <w:trPr/>
        <w:tc>
          <w:tcPr>
            <w:tcW w:w="3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83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 ASC 842 Nine Months Ended</w:t>
              <w:b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ASC 842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After ASC 842 Nine Months Ended</w:t>
              <w:br/>
              <w:t>September 30,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Condensed</w:t>
            </w:r>
            <w:r>
              <w:rPr>
                <w:rFonts w:ascii="Times New Roman" w:hAnsi="Times New Roman"/>
                <w:color w:val="000000"/>
                <w:sz w:val="20"/>
              </w:rPr>
              <w:t> </w:t>
            </w:r>
            <w:r>
              <w:rPr>
                <w:rFonts w:ascii="Times New Roman" w:hAnsi="Times New Roman"/>
                <w:b/>
                <w:color w:val="000000"/>
                <w:sz w:val="20"/>
              </w:rPr>
              <w:t>Consolidated Statement of Operations</w:t>
            </w:r>
          </w:p>
        </w:tc>
        <w:tc>
          <w:tcPr>
            <w:tcW w:w="146" w:type="dxa"/>
            <w:tcBorders/>
            <w:shd w:fill="CFF0FC" w:val="clear"/>
            <w:vAlign w:val="center"/>
          </w:tcPr>
          <w:p>
            <w:pPr>
              <w:pStyle w:val="TableContents"/>
              <w:bidi w:val="0"/>
              <w:spacing w:before="0" w:after="283"/>
              <w:jc w:val="left"/>
              <w:rPr/>
            </w:pPr>
            <w:r>
              <w:rPr/>
              <w:t> </w:t>
            </w:r>
          </w:p>
        </w:tc>
        <w:tc>
          <w:tcPr>
            <w:tcW w:w="18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93"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38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8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93"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8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78,462</w:t>
            </w:r>
          </w:p>
        </w:tc>
        <w:tc>
          <w:tcPr>
            <w:tcW w:w="394" w:type="dxa"/>
            <w:tcBorders/>
            <w:shd w:fill="CFF0FC" w:val="clear"/>
            <w:vAlign w:val="center"/>
          </w:tcPr>
          <w:p>
            <w:pPr>
              <w:pStyle w:val="TableContents"/>
              <w:bidi w:val="0"/>
              <w:spacing w:before="0" w:after="283"/>
              <w:jc w:val="left"/>
              <w:rPr/>
            </w:pPr>
            <w:r>
              <w:rPr/>
              <w:t> </w:t>
            </w:r>
          </w:p>
        </w:tc>
      </w:tr>
      <w:tr>
        <w:trPr/>
        <w:tc>
          <w:tcPr>
            <w:tcW w:w="38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8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93"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8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pPr>
            <w:r>
              <w:rPr/>
              <w:t> </w:t>
            </w:r>
          </w:p>
        </w:tc>
        <w:tc>
          <w:tcPr>
            <w:tcW w:w="14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5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(2,493</w:t>
            </w:r>
          </w:p>
        </w:tc>
        <w:tc>
          <w:tcPr>
            <w:tcW w:w="3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(110,291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(110,936</w:t>
            </w:r>
          </w:p>
        </w:tc>
        <w:tc>
          <w:tcPr>
            <w:tcW w:w="3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93"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383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Condensed Consolidated Statement of Cash Flows</w:t>
            </w:r>
          </w:p>
        </w:tc>
        <w:tc>
          <w:tcPr>
            <w:tcW w:w="146" w:type="dxa"/>
            <w:tcBorders/>
            <w:shd w:fill="CFF0FC" w:val="clear"/>
            <w:vAlign w:val="center"/>
          </w:tcPr>
          <w:p>
            <w:pPr>
              <w:pStyle w:val="TableContents"/>
              <w:bidi w:val="0"/>
              <w:spacing w:before="0" w:after="283"/>
              <w:jc w:val="left"/>
              <w:rPr/>
            </w:pPr>
            <w:r>
              <w:rPr/>
              <w:t> </w:t>
            </w:r>
          </w:p>
        </w:tc>
        <w:tc>
          <w:tcPr>
            <w:tcW w:w="18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93"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38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8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93"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8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8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8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8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93"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838"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(8,576</w:t>
            </w:r>
          </w:p>
        </w:tc>
        <w:tc>
          <w:tcPr>
            <w:tcW w:w="3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8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93"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8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3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8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93"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8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assets obtained in exchange for lease liabilities</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23,035</w:t>
            </w:r>
          </w:p>
        </w:tc>
        <w:tc>
          <w:tcPr>
            <w:tcW w:w="3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following table summarizes the effect of the adoption of ASC 842 on the condensed consolidated statement of operations for the three months ended September 30, 2022 (in thousands):</w:t>
      </w:r>
    </w:p>
    <w:tbl>
      <w:tblPr>
        <w:tblW w:w="10205" w:type="dxa"/>
        <w:jc w:val="left"/>
        <w:tblInd w:w="0" w:type="dxa"/>
        <w:tblLayout w:type="fixed"/>
        <w:tblCellMar>
          <w:top w:w="28" w:type="dxa"/>
          <w:left w:w="28" w:type="dxa"/>
          <w:bottom w:w="28" w:type="dxa"/>
          <w:right w:w="28" w:type="dxa"/>
        </w:tblCellMar>
      </w:tblPr>
      <w:tblGrid>
        <w:gridCol w:w="3295"/>
        <w:gridCol w:w="146"/>
        <w:gridCol w:w="459"/>
        <w:gridCol w:w="1602"/>
        <w:gridCol w:w="166"/>
        <w:gridCol w:w="146"/>
        <w:gridCol w:w="472"/>
        <w:gridCol w:w="1081"/>
        <w:gridCol w:w="166"/>
        <w:gridCol w:w="146"/>
        <w:gridCol w:w="475"/>
        <w:gridCol w:w="1658"/>
        <w:gridCol w:w="393"/>
      </w:tblGrid>
      <w:tr>
        <w:trPr/>
        <w:tc>
          <w:tcPr>
            <w:tcW w:w="3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 ASC 842 Three Months Ended</w:t>
              <w:b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ASC 842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After ASC 842 Three Months Ended</w:t>
              <w:br/>
              <w:t>September 30, 2022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Condensed</w:t>
            </w:r>
            <w:r>
              <w:rPr>
                <w:rFonts w:ascii="Times New Roman" w:hAnsi="Times New Roman"/>
                <w:color w:val="000000"/>
                <w:sz w:val="20"/>
              </w:rPr>
              <w:t> </w:t>
            </w:r>
            <w:r>
              <w:rPr>
                <w:rFonts w:ascii="Times New Roman" w:hAnsi="Times New Roman"/>
                <w:b/>
                <w:color w:val="000000"/>
                <w:sz w:val="20"/>
              </w:rPr>
              <w:t>Consolidated Statement of Operations</w:t>
            </w:r>
          </w:p>
        </w:tc>
        <w:tc>
          <w:tcPr>
            <w:tcW w:w="146" w:type="dxa"/>
            <w:tcBorders/>
            <w:shd w:fill="CFF0FC" w:val="clear"/>
            <w:vAlign w:val="center"/>
          </w:tcPr>
          <w:p>
            <w:pPr>
              <w:pStyle w:val="TableContents"/>
              <w:bidi w:val="0"/>
              <w:spacing w:before="0" w:after="283"/>
              <w:jc w:val="left"/>
              <w:rPr/>
            </w:pPr>
            <w:r>
              <w:rPr/>
              <w:t> </w:t>
            </w:r>
          </w:p>
        </w:tc>
        <w:tc>
          <w:tcPr>
            <w:tcW w:w="20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3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32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0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3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329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4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16,774</w:t>
            </w:r>
          </w:p>
        </w:tc>
        <w:tc>
          <w:tcPr>
            <w:tcW w:w="393" w:type="dxa"/>
            <w:tcBorders/>
            <w:shd w:fill="CFF0FC" w:val="clear"/>
            <w:vAlign w:val="center"/>
          </w:tcPr>
          <w:p>
            <w:pPr>
              <w:pStyle w:val="TableContents"/>
              <w:bidi w:val="0"/>
              <w:spacing w:before="0" w:after="283"/>
              <w:jc w:val="left"/>
              <w:rPr/>
            </w:pPr>
            <w:r>
              <w:rPr/>
              <w:t> </w:t>
            </w:r>
          </w:p>
        </w:tc>
      </w:tr>
      <w:tr>
        <w:trPr/>
        <w:tc>
          <w:tcPr>
            <w:tcW w:w="32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0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3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329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459" w:type="dxa"/>
            <w:tcBorders/>
            <w:shd w:fill="CFF0FC" w:val="clear"/>
            <w:vAlign w:val="center"/>
          </w:tcPr>
          <w:p>
            <w:pPr>
              <w:pStyle w:val="TableContents"/>
              <w:bidi w:val="0"/>
              <w:spacing w:before="0" w:after="283"/>
              <w:jc w:val="left"/>
              <w:rPr/>
            </w:pPr>
            <w:r>
              <w:rPr/>
              <w:t> </w:t>
            </w:r>
          </w:p>
        </w:tc>
        <w:tc>
          <w:tcPr>
            <w:tcW w:w="16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c>
          <w:tcPr>
            <w:tcW w:w="16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(26,527</w:t>
            </w:r>
          </w:p>
        </w:tc>
        <w:tc>
          <w:tcPr>
            <w:tcW w:w="3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3—Fair Value Measurements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p>
      <w:pPr>
        <w:pStyle w:val="TextBody"/>
        <w:bidi w:val="0"/>
        <w:jc w:val="left"/>
        <w:rPr/>
      </w:pPr>
      <w:r>
        <w:rPr/>
        <w:t> </w:t>
      </w:r>
    </w:p>
    <w:tbl>
      <w:tblPr>
        <w:tblW w:w="8319" w:type="dxa"/>
        <w:jc w:val="left"/>
        <w:tblInd w:w="0" w:type="dxa"/>
        <w:tblLayout w:type="fixed"/>
        <w:tblCellMar>
          <w:top w:w="28" w:type="dxa"/>
          <w:left w:w="28" w:type="dxa"/>
          <w:bottom w:w="28" w:type="dxa"/>
          <w:right w:w="28" w:type="dxa"/>
        </w:tblCellMar>
      </w:tblPr>
      <w:tblGrid>
        <w:gridCol w:w="3541"/>
        <w:gridCol w:w="211"/>
        <w:gridCol w:w="781"/>
        <w:gridCol w:w="146"/>
        <w:gridCol w:w="146"/>
        <w:gridCol w:w="211"/>
        <w:gridCol w:w="781"/>
        <w:gridCol w:w="146"/>
        <w:gridCol w:w="146"/>
        <w:gridCol w:w="211"/>
        <w:gridCol w:w="781"/>
        <w:gridCol w:w="146"/>
        <w:gridCol w:w="146"/>
        <w:gridCol w:w="245"/>
        <w:gridCol w:w="490"/>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Cash equivalents – 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 liability</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SSI Warrants</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Pre-funded warrants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classifies its money market funds, which are valued based on quoted market prices in an active market with no valuation adjustment, as Level 1 assets within the fair value hierarchy.</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uses the Black-Scholes-Merton option pricing model to determine the fair value of the SSI Warrants (as defined below). The Company classifies its Pre-Funded Warrants (as defined below), which are valued using quoted prices of similar financial instruments in the market, as Level 2 liabilities. See Note 10 for additional information on the SSI Warrants and the Pre-Funded Warrants.</w:t>
      </w:r>
    </w:p>
    <w:p>
      <w:pPr>
        <w:pStyle w:val="TextBody"/>
        <w:bidi w:val="0"/>
        <w:spacing w:before="360" w:after="283"/>
        <w:jc w:val="left"/>
        <w:rPr>
          <w:rFonts w:ascii="Times New Roman" w:hAnsi="Times New Roman"/>
          <w:sz w:val="20"/>
        </w:rPr>
      </w:pPr>
      <w:r>
        <w:rPr>
          <w:rFonts w:ascii="Times New Roman" w:hAnsi="Times New Roman"/>
          <w:b/>
          <w:color w:val="000000"/>
          <w:sz w:val="20"/>
        </w:rPr>
        <w:t>Note 4—Balance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 consisted of the following (in thousands):</w:t>
      </w:r>
    </w:p>
    <w:p>
      <w:pPr>
        <w:pStyle w:val="TextBody"/>
        <w:bidi w:val="0"/>
        <w:jc w:val="left"/>
        <w:rPr/>
      </w:pPr>
      <w:r>
        <w:rPr/>
        <w:t> </w:t>
      </w:r>
    </w:p>
    <w:tbl>
      <w:tblPr>
        <w:tblW w:w="7125" w:type="dxa"/>
        <w:jc w:val="left"/>
        <w:tblInd w:w="0" w:type="dxa"/>
        <w:tblLayout w:type="fixed"/>
        <w:tblCellMar>
          <w:top w:w="28" w:type="dxa"/>
          <w:left w:w="28" w:type="dxa"/>
          <w:bottom w:w="28" w:type="dxa"/>
          <w:right w:w="28" w:type="dxa"/>
        </w:tblCellMar>
      </w:tblPr>
      <w:tblGrid>
        <w:gridCol w:w="3931"/>
        <w:gridCol w:w="146"/>
        <w:gridCol w:w="351"/>
        <w:gridCol w:w="954"/>
        <w:gridCol w:w="146"/>
        <w:gridCol w:w="146"/>
        <w:gridCol w:w="339"/>
        <w:gridCol w:w="92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research and development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4,840</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clinical trial</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offering costs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prepaid expenses and other current assets</w:t>
            </w:r>
          </w:p>
        </w:tc>
        <w:tc>
          <w:tcPr>
            <w:tcW w:w="146" w:type="dxa"/>
            <w:tcBorders/>
            <w:shd w:fill="FFFFFF" w:val="cle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Property, plant and equipment, net consisted of the following (in thousands): </w:t>
      </w:r>
    </w:p>
    <w:p>
      <w:pPr>
        <w:pStyle w:val="TextBody"/>
        <w:bidi w:val="0"/>
        <w:jc w:val="left"/>
        <w:rPr/>
      </w:pPr>
      <w:r>
        <w:rPr/>
        <w:t> </w:t>
      </w:r>
    </w:p>
    <w:tbl>
      <w:tblPr>
        <w:tblW w:w="6160" w:type="dxa"/>
        <w:jc w:val="left"/>
        <w:tblInd w:w="0" w:type="dxa"/>
        <w:tblLayout w:type="fixed"/>
        <w:tblCellMar>
          <w:top w:w="28" w:type="dxa"/>
          <w:left w:w="28" w:type="dxa"/>
          <w:bottom w:w="28" w:type="dxa"/>
          <w:right w:w="28" w:type="dxa"/>
        </w:tblCellMar>
      </w:tblPr>
      <w:tblGrid>
        <w:gridCol w:w="2926"/>
        <w:gridCol w:w="146"/>
        <w:gridCol w:w="310"/>
        <w:gridCol w:w="995"/>
        <w:gridCol w:w="166"/>
        <w:gridCol w:w="146"/>
        <w:gridCol w:w="299"/>
        <w:gridCol w:w="961"/>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2,091</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2,868</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898</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16,605</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depreciation</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November 2022, the Company recognized a non-cash impairment charge of $36.4</w:t>
      </w:r>
      <w:r>
        <w:rPr>
          <w:rFonts w:ascii="Times New Roman" w:hAnsi="Times New Roman"/>
          <w:color w:val="000000"/>
          <w:sz w:val="20"/>
        </w:rPr>
        <w:t xml:space="preserve"> </w:t>
      </w:r>
      <w:r>
        <w:rPr>
          <w:rFonts w:ascii="Times New Roman" w:hAnsi="Times New Roman"/>
          <w:b w:val="false"/>
          <w:color w:val="000000"/>
          <w:sz w:val="20"/>
        </w:rPr>
        <w:t>million for the manufacturing facility asset group, of which $26.3</w:t>
      </w:r>
      <w:r>
        <w:rPr>
          <w:rFonts w:ascii="Times New Roman" w:hAnsi="Times New Roman"/>
          <w:color w:val="000000"/>
          <w:sz w:val="20"/>
        </w:rPr>
        <w:t xml:space="preserve"> </w:t>
      </w:r>
      <w:r>
        <w:rPr>
          <w:rFonts w:ascii="Times New Roman" w:hAnsi="Times New Roman"/>
          <w:b w:val="false"/>
          <w:color w:val="000000"/>
          <w:sz w:val="20"/>
        </w:rPr>
        <w:t>million relates to construction in progress and finance lease right-of-use assets. The impairment charge was estimated using a discounted cash flow model and recorded in the consolidated statements of operations for the year ended December 31, 2022. Property, plant and equipment, net includes $1.1</w:t>
      </w:r>
      <w:r>
        <w:rPr>
          <w:rFonts w:ascii="Times New Roman" w:hAnsi="Times New Roman"/>
          <w:color w:val="000000"/>
          <w:sz w:val="20"/>
        </w:rPr>
        <w:t xml:space="preserve"> </w:t>
      </w:r>
      <w:r>
        <w:rPr>
          <w:rFonts w:ascii="Times New Roman" w:hAnsi="Times New Roman"/>
          <w:b w:val="false"/>
          <w:color w:val="000000"/>
          <w:sz w:val="20"/>
        </w:rPr>
        <w:t>million and $1.3</w:t>
      </w:r>
      <w:r>
        <w:rPr>
          <w:rFonts w:ascii="Times New Roman" w:hAnsi="Times New Roman"/>
          <w:color w:val="000000"/>
          <w:sz w:val="20"/>
        </w:rPr>
        <w:t xml:space="preserve"> </w:t>
      </w:r>
      <w:r>
        <w:rPr>
          <w:rFonts w:ascii="Times New Roman" w:hAnsi="Times New Roman"/>
          <w:b w:val="false"/>
          <w:color w:val="000000"/>
          <w:sz w:val="20"/>
        </w:rPr>
        <w:t>million of assets capitalized as finance leases as of September 30, 2023 and December 31, 2022,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Depreciation expense was $0.3</w:t>
      </w:r>
      <w:r>
        <w:rPr>
          <w:rFonts w:ascii="Times New Roman" w:hAnsi="Times New Roman"/>
          <w:color w:val="000000"/>
          <w:sz w:val="20"/>
        </w:rPr>
        <w:t xml:space="preserve"> </w:t>
      </w:r>
      <w:r>
        <w:rPr>
          <w:rFonts w:ascii="Times New Roman" w:hAnsi="Times New Roman"/>
          <w:b w:val="false"/>
          <w:color w:val="000000"/>
          <w:sz w:val="20"/>
        </w:rPr>
        <w:t>million and $0.3</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Depreciation expense was</w:t>
      </w:r>
      <w:r>
        <w:rPr>
          <w:rFonts w:ascii="Times New Roman" w:hAnsi="Times New Roman"/>
          <w:color w:val="000000"/>
          <w:sz w:val="20"/>
        </w:rPr>
        <w:t xml:space="preserve"> </w:t>
      </w:r>
      <w:r>
        <w:rPr>
          <w:rFonts w:ascii="Times New Roman" w:hAnsi="Times New Roman"/>
          <w:b w:val="false"/>
          <w:color w:val="000000"/>
          <w:sz w:val="20"/>
        </w:rPr>
        <w:t>$1.0</w:t>
      </w:r>
      <w:r>
        <w:rPr>
          <w:rFonts w:ascii="Times New Roman" w:hAnsi="Times New Roman"/>
          <w:color w:val="000000"/>
          <w:sz w:val="20"/>
        </w:rPr>
        <w:t xml:space="preserve"> </w:t>
      </w:r>
      <w:r>
        <w:rPr>
          <w:rFonts w:ascii="Times New Roman" w:hAnsi="Times New Roman"/>
          <w:b w:val="false"/>
          <w:color w:val="000000"/>
          <w:sz w:val="20"/>
        </w:rPr>
        <w:t>million and $0.8</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months ended September 30, 2023, the Company committed to a plan to sell specific pieces of equipment originally intended for use in the Company’s manufacturing facility in Durham, NC. The Company determined that this equipment met the requirements to be classified as held for sale. The sale is expected to be completed within one year. During the three and nine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months ended September 30, 2023, the Company recorded an impairment loss of $0.6</w:t>
      </w:r>
      <w:r>
        <w:rPr>
          <w:rFonts w:ascii="Times New Roman" w:hAnsi="Times New Roman"/>
          <w:color w:val="000000"/>
          <w:sz w:val="20"/>
        </w:rPr>
        <w:t xml:space="preserve"> </w:t>
      </w:r>
      <w:r>
        <w:rPr>
          <w:rFonts w:ascii="Times New Roman" w:hAnsi="Times New Roman"/>
          <w:b w:val="false"/>
          <w:color w:val="000000"/>
          <w:sz w:val="20"/>
        </w:rPr>
        <w:t>million which was the difference between the carrying value and fair value less cost to sell.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Accrued expenses and other current liabilities consisted of the following (in thousands):</w:t>
      </w:r>
      <w:r>
        <w:rPr>
          <w:rFonts w:ascii="Times New Roman" w:hAnsi="Times New Roman"/>
          <w:color w:val="000000"/>
          <w:sz w:val="20"/>
        </w:rPr>
        <w:t xml:space="preserve"> </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4261"/>
        <w:gridCol w:w="146"/>
        <w:gridCol w:w="310"/>
        <w:gridCol w:w="995"/>
        <w:gridCol w:w="146"/>
        <w:gridCol w:w="146"/>
        <w:gridCol w:w="299"/>
        <w:gridCol w:w="9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8,190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2,519</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 current portion</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1,521</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clinical trial</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1,473</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severance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professional and consulting fees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property, plant and equipment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2,081</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leases certain office, laboratory, and manufacturing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January 11, 2021, the Company entered into a lease agreement (the “Dallas Lease”) with Pegasus Park, LLC, a Delaware limited liability company (the “Dallas Landlord”), pursuant to which the Company will lease approximately 15,000</w:t>
      </w:r>
      <w:r>
        <w:rPr>
          <w:rFonts w:ascii="Times New Roman" w:hAnsi="Times New Roman"/>
          <w:color w:val="000000"/>
          <w:sz w:val="20"/>
        </w:rPr>
        <w:t xml:space="preserve"> </w:t>
      </w:r>
      <w:r>
        <w:rPr>
          <w:rFonts w:ascii="Times New Roman" w:hAnsi="Times New Roman"/>
          <w:b w:val="false"/>
          <w:color w:val="000000"/>
          <w:sz w:val="20"/>
        </w:rPr>
        <w:t>square feet of office space at 3000 Pegasus Park Drive, Dallas, Texas 75247 (the “Office Space”).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Dallas Lease commenced on May 27, 2021, and has a term of approximately ten years. The Company has an option to extend the term of the Dallas Lease for one additional period of five years.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 Expansion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December 14, 2021, the Company amended the Dallas Lease (the “Dallas Lease Amendment”) with the Dallas Landlord, pursuant to which the Company will lease approximately 18,000</w:t>
      </w:r>
      <w:r>
        <w:rPr>
          <w:rFonts w:ascii="Times New Roman" w:hAnsi="Times New Roman"/>
          <w:color w:val="000000"/>
          <w:sz w:val="20"/>
        </w:rPr>
        <w:t xml:space="preserve"> </w:t>
      </w:r>
      <w:r>
        <w:rPr>
          <w:rFonts w:ascii="Times New Roman" w:hAnsi="Times New Roman"/>
          <w:b w:val="false"/>
          <w:color w:val="000000"/>
          <w:sz w:val="20"/>
        </w:rPr>
        <w:t>square feet of office space adjacent to the Office Space at 3000 Pegasus Park Drive, Dallas, Texas 75247 (the “Expansion Premises”).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Dallas Lease Amendment commenced on July 1, 2022, and has a term of approximately ten years.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is obligated to pay operating costs and utilities applicable to the Expansion Premises. Total future minimum lease payments under the Dallas Lease Amendment over the initial 10-year</w:t>
      </w:r>
      <w:r>
        <w:rPr>
          <w:rFonts w:ascii="Times New Roman" w:hAnsi="Times New Roman"/>
          <w:color w:val="000000"/>
          <w:sz w:val="20"/>
        </w:rPr>
        <w:t xml:space="preserve"> </w:t>
      </w:r>
      <w:r>
        <w:rPr>
          <w:rFonts w:ascii="Times New Roman" w:hAnsi="Times New Roman"/>
          <w:b w:val="false"/>
          <w:color w:val="000000"/>
          <w:sz w:val="20"/>
        </w:rPr>
        <w:t>term are approximately $6.0</w:t>
      </w:r>
      <w:r>
        <w:rPr>
          <w:rFonts w:ascii="Times New Roman" w:hAnsi="Times New Roman"/>
          <w:color w:val="000000"/>
          <w:sz w:val="20"/>
        </w:rPr>
        <w:t xml:space="preserve"> </w:t>
      </w:r>
      <w:r>
        <w:rPr>
          <w:rFonts w:ascii="Times New Roman" w:hAnsi="Times New Roman"/>
          <w:b w:val="false"/>
          <w:color w:val="000000"/>
          <w:sz w:val="20"/>
        </w:rPr>
        <w:t>million. The Company will be responsible for costs of constructing interior improvements within the Expansion Premises that exceed a $40.00</w:t>
      </w:r>
      <w:r>
        <w:rPr>
          <w:rFonts w:ascii="Times New Roman" w:hAnsi="Times New Roman"/>
          <w:color w:val="000000"/>
          <w:sz w:val="20"/>
        </w:rPr>
        <w:t xml:space="preserve"> </w:t>
      </w:r>
      <w:r>
        <w:rPr>
          <w:rFonts w:ascii="Times New Roman" w:hAnsi="Times New Roman"/>
          <w:b w:val="false"/>
          <w:color w:val="000000"/>
          <w:sz w:val="20"/>
        </w:rPr>
        <w:t>per rentable square foot construction allowance provided by the Dallas Landlord.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a right of first refusal with respect to certain additional office space on the 15</w:t>
      </w:r>
      <w:r>
        <w:rPr>
          <w:rFonts w:ascii="Times New Roman" w:hAnsi="Times New Roman"/>
          <w:b w:val="false"/>
          <w:color w:val="000000"/>
          <w:sz w:val="13"/>
        </w:rPr>
        <w:t>th</w:t>
      </w:r>
      <w:r>
        <w:rPr>
          <w:rFonts w:ascii="Times New Roman" w:hAnsi="Times New Roman"/>
          <w:color w:val="000000"/>
          <w:sz w:val="20"/>
        </w:rPr>
        <w:t xml:space="preserve"> </w:t>
      </w:r>
      <w:r>
        <w:rPr>
          <w:rFonts w:ascii="Times New Roman" w:hAnsi="Times New Roman"/>
          <w:b w:val="false"/>
          <w:color w:val="000000"/>
          <w:sz w:val="20"/>
        </w:rPr>
        <w:t>floor at 3000 Pegasus Park Drive, Dallas, Texas 75247 before the Dallas Landlord accepts any offer for such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Durham Lease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December 17, 2020, the Company entered into a lease agreement (the “Durham Lease”) with Patriot Park Partners II, LLC, a Delaware limited liability company (the “Durham Landlord”), pursuant to which the Company agreed to lease approximately 187,500</w:t>
      </w:r>
      <w:r>
        <w:rPr>
          <w:rFonts w:ascii="Times New Roman" w:hAnsi="Times New Roman"/>
          <w:color w:val="000000"/>
          <w:sz w:val="20"/>
        </w:rPr>
        <w:t xml:space="preserve"> </w:t>
      </w:r>
      <w:r>
        <w:rPr>
          <w:rFonts w:ascii="Times New Roman" w:hAnsi="Times New Roman"/>
          <w:b w:val="false"/>
          <w:color w:val="000000"/>
          <w:sz w:val="20"/>
        </w:rPr>
        <w:t>square feet of a manufacturing facility located at 5 National Way, Durham, North Carolina (the “Facility”). The Durham Lease commenced on April 1, 2021</w:t>
      </w:r>
      <w:r>
        <w:rPr>
          <w:rFonts w:ascii="Times New Roman" w:hAnsi="Times New Roman"/>
          <w:color w:val="000000"/>
          <w:sz w:val="20"/>
        </w:rPr>
        <w:t xml:space="preserve"> </w:t>
      </w:r>
      <w:r>
        <w:rPr>
          <w:rFonts w:ascii="Times New Roman" w:hAnsi="Times New Roman"/>
          <w:b w:val="false"/>
          <w:color w:val="000000"/>
          <w:sz w:val="20"/>
        </w:rPr>
        <w:t>and is expected to have a term of approximately fifteen years and six months. The Company has two options to extend the term of the Durham Lease, each for a period of an additional five years.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was not required to provide a security deposit in connection with its entry into the Durham Lease. The Company will be responsible for constructing interior improvements within the Facility. The Company was required to place $2.6</w:t>
      </w:r>
      <w:r>
        <w:rPr>
          <w:rFonts w:ascii="Times New Roman" w:hAnsi="Times New Roman"/>
          <w:color w:val="000000"/>
          <w:sz w:val="20"/>
        </w:rPr>
        <w:t xml:space="preserve"> </w:t>
      </w:r>
      <w:r>
        <w:rPr>
          <w:rFonts w:ascii="Times New Roman" w:hAnsi="Times New Roman"/>
          <w:b w:val="false"/>
          <w:color w:val="000000"/>
          <w:sz w:val="20"/>
        </w:rPr>
        <w:t>million in an escrow account which will be released when the improvements are substantially complete. The escrow funds are recorded as restricted cash on the condensed consolidated balance sheet as of September 30, 2023. The Durham Landlord has the right to terminate the Durham Lease upon specified events of default, including the Company’s failure to pay rent in a timely manner and upon the occurrence of certain events of insolvency with respect to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all lease costs recognized under ASC 842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summarizes the lease costs recognized under ASC 842 and other information pertaining to the Company’s operating leases for the three and nine months ended September 30, 2023 and 2022 (in thousands):</w:t>
      </w:r>
    </w:p>
    <w:p>
      <w:pPr>
        <w:pStyle w:val="TextBody"/>
        <w:bidi w:val="0"/>
        <w:spacing w:before="120" w:after="283"/>
        <w:jc w:val="left"/>
        <w:rPr/>
      </w:pPr>
      <w:r>
        <w:rPr/>
        <w:t> </w:t>
      </w:r>
    </w:p>
    <w:tbl>
      <w:tblPr>
        <w:tblW w:w="8101" w:type="dxa"/>
        <w:jc w:val="left"/>
        <w:tblInd w:w="0" w:type="dxa"/>
        <w:tblLayout w:type="fixed"/>
        <w:tblCellMar>
          <w:top w:w="28" w:type="dxa"/>
          <w:left w:w="28" w:type="dxa"/>
          <w:bottom w:w="28" w:type="dxa"/>
          <w:right w:w="28" w:type="dxa"/>
        </w:tblCellMar>
      </w:tblPr>
      <w:tblGrid>
        <w:gridCol w:w="1756"/>
        <w:gridCol w:w="363"/>
        <w:gridCol w:w="724"/>
        <w:gridCol w:w="251"/>
        <w:gridCol w:w="363"/>
        <w:gridCol w:w="983"/>
        <w:gridCol w:w="146"/>
        <w:gridCol w:w="146"/>
        <w:gridCol w:w="361"/>
        <w:gridCol w:w="978"/>
        <w:gridCol w:w="250"/>
        <w:gridCol w:w="250"/>
        <w:gridCol w:w="361"/>
        <w:gridCol w:w="978"/>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left"/>
              <w:rPr/>
            </w:pPr>
            <w:r>
              <w:rPr/>
              <w:t> </w:t>
            </w:r>
          </w:p>
        </w:tc>
        <w:tc>
          <w:tcPr>
            <w:tcW w:w="2684"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91" w:type="dxa"/>
            <w:tcBorders/>
            <w:shd w:fill="FFFFFF" w:val="cle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3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w:t>
            </w:r>
          </w:p>
        </w:tc>
        <w:tc>
          <w:tcPr>
            <w:tcW w:w="251"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2,088</w:t>
            </w:r>
          </w:p>
        </w:tc>
        <w:tc>
          <w:tcPr>
            <w:tcW w:w="2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2,079</w:t>
            </w:r>
          </w:p>
        </w:tc>
        <w:tc>
          <w:tcPr>
            <w:tcW w:w="191" w:type="dxa"/>
            <w:tcBorders/>
            <w:shd w:fill="FFFFFF" w:val="clear"/>
            <w:vAlign w:val="center"/>
          </w:tcPr>
          <w:p>
            <w:pPr>
              <w:pStyle w:val="TableContents"/>
              <w:bidi w:val="0"/>
              <w:spacing w:before="0" w:after="283"/>
              <w:jc w:val="left"/>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Variable lease cost</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729</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2,817</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Supplemental information related to the remaining lease term and discount rate are as follows:</w:t>
      </w:r>
    </w:p>
    <w:p>
      <w:pPr>
        <w:pStyle w:val="TextBody"/>
        <w:bidi w:val="0"/>
        <w:spacing w:before="120" w:after="283"/>
        <w:jc w:val="left"/>
        <w:rPr/>
      </w:pPr>
      <w:r>
        <w:rPr/>
        <w:t> </w:t>
      </w:r>
    </w:p>
    <w:tbl>
      <w:tblPr>
        <w:tblW w:w="9869" w:type="dxa"/>
        <w:jc w:val="left"/>
        <w:tblInd w:w="0" w:type="dxa"/>
        <w:tblLayout w:type="fixed"/>
        <w:tblCellMar>
          <w:top w:w="28" w:type="dxa"/>
          <w:left w:w="28" w:type="dxa"/>
          <w:bottom w:w="28" w:type="dxa"/>
          <w:right w:w="28" w:type="dxa"/>
        </w:tblCellMar>
      </w:tblPr>
      <w:tblGrid>
        <w:gridCol w:w="5641"/>
        <w:gridCol w:w="146"/>
        <w:gridCol w:w="359"/>
        <w:gridCol w:w="1411"/>
        <w:gridCol w:w="271"/>
        <w:gridCol w:w="350"/>
        <w:gridCol w:w="1375"/>
        <w:gridCol w:w="316"/>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 (in years) – Finance leases</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w:t>
            </w:r>
          </w:p>
        </w:tc>
        <w:tc>
          <w:tcPr>
            <w:tcW w:w="271"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w:t>
            </w:r>
          </w:p>
        </w:tc>
        <w:tc>
          <w:tcPr>
            <w:tcW w:w="316" w:type="dxa"/>
            <w:tcBorders/>
            <w:shd w:fill="CFF0FC" w:val="clear"/>
            <w:vAlign w:val="center"/>
          </w:tcPr>
          <w:p>
            <w:pPr>
              <w:pStyle w:val="TableContents"/>
              <w:bidi w:val="0"/>
              <w:spacing w:before="0" w:after="283"/>
              <w:jc w:val="left"/>
              <w:rPr/>
            </w:pPr>
            <w:r>
              <w:rPr/>
              <w:t> </w:t>
            </w:r>
          </w:p>
        </w:tc>
      </w:tr>
      <w:tr>
        <w:trPr/>
        <w:tc>
          <w:tcPr>
            <w:tcW w:w="5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 (in years) – Operating leases</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w:t>
            </w:r>
          </w:p>
        </w:tc>
        <w:tc>
          <w:tcPr>
            <w:tcW w:w="271"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w:t>
            </w:r>
          </w:p>
        </w:tc>
        <w:tc>
          <w:tcPr>
            <w:tcW w:w="316" w:type="dxa"/>
            <w:tcBorders/>
            <w:shd w:fill="FFFFFF" w:val="clear"/>
            <w:vAlign w:val="center"/>
          </w:tcPr>
          <w:p>
            <w:pPr>
              <w:pStyle w:val="TableContents"/>
              <w:bidi w:val="0"/>
              <w:spacing w:before="0" w:after="283"/>
              <w:jc w:val="left"/>
              <w:rPr/>
            </w:pPr>
            <w:r>
              <w:rPr/>
              <w:t> </w:t>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discount rate – Finance leases</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10.51</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discount rate – Operating leases</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Supplemental cash flow information related to the Company’s operating leases are as follows (in thousands):</w:t>
      </w:r>
    </w:p>
    <w:p>
      <w:pPr>
        <w:pStyle w:val="TextBody"/>
        <w:bidi w:val="0"/>
        <w:jc w:val="left"/>
        <w:rPr/>
      </w:pPr>
      <w:r>
        <w:rPr/>
        <w:t> </w:t>
      </w:r>
    </w:p>
    <w:tbl>
      <w:tblPr>
        <w:tblW w:w="7285" w:type="dxa"/>
        <w:jc w:val="left"/>
        <w:tblInd w:w="0" w:type="dxa"/>
        <w:tblLayout w:type="fixed"/>
        <w:tblCellMar>
          <w:top w:w="28" w:type="dxa"/>
          <w:left w:w="28" w:type="dxa"/>
          <w:bottom w:w="28" w:type="dxa"/>
          <w:right w:w="28" w:type="dxa"/>
        </w:tblCellMar>
      </w:tblPr>
      <w:tblGrid>
        <w:gridCol w:w="3436"/>
        <w:gridCol w:w="452"/>
        <w:gridCol w:w="1225"/>
        <w:gridCol w:w="313"/>
        <w:gridCol w:w="313"/>
        <w:gridCol w:w="452"/>
        <w:gridCol w:w="903"/>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3658"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191" w:type="dxa"/>
            <w:tcBorders/>
            <w:shd w:fill="FFFFFF" w:val="cle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cash flows for operating leases</w:t>
            </w:r>
          </w:p>
        </w:tc>
        <w:tc>
          <w:tcPr>
            <w:tcW w:w="4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2,109</w:t>
            </w:r>
          </w:p>
        </w:tc>
        <w:tc>
          <w:tcPr>
            <w:tcW w:w="313"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right"/>
              <w:rPr/>
            </w:pPr>
            <w:r>
              <w:rPr/>
              <w:t> </w:t>
            </w:r>
          </w:p>
        </w:tc>
        <w:tc>
          <w:tcPr>
            <w:tcW w:w="4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future minimum commitments under ASC 842 under the Company’s operating and finance leases were as follows (in thousands):</w:t>
      </w:r>
    </w:p>
    <w:p>
      <w:pPr>
        <w:pStyle w:val="TextBody"/>
        <w:bidi w:val="0"/>
        <w:spacing w:before="240" w:after="283"/>
        <w:jc w:val="left"/>
        <w:rPr/>
      </w:pPr>
      <w:r>
        <w:rPr/>
        <w:t> </w:t>
      </w:r>
    </w:p>
    <w:tbl>
      <w:tblPr>
        <w:tblW w:w="4581" w:type="dxa"/>
        <w:jc w:val="left"/>
        <w:tblInd w:w="0" w:type="dxa"/>
        <w:tblLayout w:type="fixed"/>
        <w:tblCellMar>
          <w:top w:w="28" w:type="dxa"/>
          <w:left w:w="28" w:type="dxa"/>
          <w:bottom w:w="28" w:type="dxa"/>
          <w:right w:w="28" w:type="dxa"/>
        </w:tblCellMar>
      </w:tblPr>
      <w:tblGrid>
        <w:gridCol w:w="2446"/>
        <w:gridCol w:w="217"/>
        <w:gridCol w:w="759"/>
        <w:gridCol w:w="166"/>
        <w:gridCol w:w="211"/>
        <w:gridCol w:w="571"/>
        <w:gridCol w:w="211"/>
      </w:tblGrid>
      <w:tr>
        <w:trPr/>
        <w:tc>
          <w:tcPr>
            <w:tcW w:w="24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217"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217"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217"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2,485</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217"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payments</w:t>
            </w:r>
          </w:p>
        </w:tc>
        <w:tc>
          <w:tcPr>
            <w:tcW w:w="217"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31,189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1,421</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 current</w:t>
            </w:r>
          </w:p>
        </w:tc>
        <w:tc>
          <w:tcPr>
            <w:tcW w:w="217"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1,193</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 non-current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6—Astellas Agreements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October 21, 2022 (the “Effective Date”), the Company entered into the Option Agreement (the “Option Agreement”) with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or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partial consideration for the rights granted to Astellas under the Option Agreement, Astellas paid the Company an upfront payment of $20.0</w:t>
      </w:r>
      <w:r>
        <w:rPr>
          <w:rFonts w:ascii="Times New Roman" w:hAnsi="Times New Roman"/>
          <w:color w:val="000000"/>
          <w:sz w:val="20"/>
        </w:rPr>
        <w:t xml:space="preserve"> </w:t>
      </w:r>
      <w:r>
        <w:rPr>
          <w:rFonts w:ascii="Times New Roman" w:hAnsi="Times New Roman"/>
          <w:b w:val="false"/>
          <w:color w:val="000000"/>
          <w:sz w:val="20"/>
        </w:rPr>
        <w:t>million (the “Upfront Payment”).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Astellas Securities Purchase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21, 2022, the Company entered into a securities purchase agreement with Astellas (the “Astellas Securities Purchase Agreement” and, together with the Option Agreement, the “Astellas Transactions”), pursuant to which the Company agreed to issue and sell to Astellas in a private placement (the “Astellas Private Placement”), an aggregate of 7,266,342</w:t>
      </w:r>
      <w:r>
        <w:rPr>
          <w:rFonts w:ascii="Times New Roman" w:hAnsi="Times New Roman"/>
          <w:color w:val="000000"/>
          <w:sz w:val="20"/>
        </w:rPr>
        <w:t xml:space="preserve"> </w:t>
      </w:r>
      <w:r>
        <w:rPr>
          <w:rFonts w:ascii="Times New Roman" w:hAnsi="Times New Roman"/>
          <w:b w:val="false"/>
          <w:color w:val="000000"/>
          <w:sz w:val="20"/>
        </w:rPr>
        <w:t>shares (the “Astellas Private Placement Shares”), of its common stock, for aggregate gross proceeds of $30.0</w:t>
      </w:r>
      <w:r>
        <w:rPr>
          <w:rFonts w:ascii="Times New Roman" w:hAnsi="Times New Roman"/>
          <w:color w:val="000000"/>
          <w:sz w:val="20"/>
        </w:rPr>
        <w:t xml:space="preserve"> </w:t>
      </w:r>
      <w:r>
        <w:rPr>
          <w:rFonts w:ascii="Times New Roman" w:hAnsi="Times New Roman"/>
          <w:b w:val="false"/>
          <w:color w:val="000000"/>
          <w:sz w:val="20"/>
        </w:rPr>
        <w:t>million. The Astellas Private Placement closed on October 24, 2022. Pursuant to the Astellas Securities Purchase Agreement, in connection with the Astellas Private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Placement, Astellas has the right to designate one individual to attend all meetings of the Board in a non-voting observer capacity. The Company also granted Astellas certain registration rights with respect to the Astellas Private Placement Shares.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Accounting Treatment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2022, upon closing of the Astellas Private Placement and transferring the 7,266,342</w:t>
      </w:r>
      <w:r>
        <w:rPr>
          <w:rFonts w:ascii="Times New Roman" w:hAnsi="Times New Roman"/>
          <w:color w:val="000000"/>
          <w:sz w:val="20"/>
        </w:rPr>
        <w:t xml:space="preserve"> </w:t>
      </w:r>
      <w:r>
        <w:rPr>
          <w:rFonts w:ascii="Times New Roman" w:hAnsi="Times New Roman"/>
          <w:b w:val="false"/>
          <w:color w:val="000000"/>
          <w:sz w:val="20"/>
        </w:rPr>
        <w:t xml:space="preserve">shares to Astellas, the Company recorded the issuance of shares at fair value. Fair value of the shares transferred to Astellas was calculated in accordance with ASC 820, </w:t>
      </w:r>
      <w:r>
        <w:rPr>
          <w:rFonts w:ascii="Times New Roman" w:hAnsi="Times New Roman"/>
          <w:b w:val="false"/>
          <w:i/>
          <w:color w:val="000000"/>
          <w:sz w:val="20"/>
        </w:rPr>
        <w:t xml:space="preserve">Fair Value Measurement </w:t>
      </w:r>
      <w:r>
        <w:rPr>
          <w:rFonts w:ascii="Times New Roman" w:hAnsi="Times New Roman"/>
          <w:b w:val="false"/>
          <w:color w:val="000000"/>
          <w:sz w:val="20"/>
        </w:rPr>
        <w:t>by analyzing the Company’s stock price for a short period of time prior to and after the transaction date as traded on the NASDAQ. The NASDAQ trading data is considered an active market and a Level 1 measurement under ASC 820. The fair value was determined to be approximately $13.95</w:t>
      </w:r>
      <w:r>
        <w:rPr>
          <w:rFonts w:ascii="Times New Roman" w:hAnsi="Times New Roman"/>
          <w:color w:val="000000"/>
          <w:sz w:val="20"/>
        </w:rPr>
        <w:t xml:space="preserve"> </w:t>
      </w:r>
      <w:r>
        <w:rPr>
          <w:rFonts w:ascii="Times New Roman" w:hAnsi="Times New Roman"/>
          <w:b w:val="false"/>
          <w:color w:val="000000"/>
          <w:sz w:val="20"/>
        </w:rPr>
        <w:t>million or $1.92</w:t>
      </w:r>
      <w:r>
        <w:rPr>
          <w:rFonts w:ascii="Times New Roman" w:hAnsi="Times New Roman"/>
          <w:color w:val="000000"/>
          <w:sz w:val="20"/>
        </w:rPr>
        <w:t xml:space="preserve"> </w:t>
      </w:r>
      <w:r>
        <w:rPr>
          <w:rFonts w:ascii="Times New Roman" w:hAnsi="Times New Roman"/>
          <w:b w:val="false"/>
          <w:color w:val="000000"/>
          <w:sz w:val="20"/>
        </w:rPr>
        <w:t>per share. The $16.1</w:t>
      </w:r>
      <w:r>
        <w:rPr>
          <w:rFonts w:ascii="Times New Roman" w:hAnsi="Times New Roman"/>
          <w:color w:val="000000"/>
          <w:sz w:val="20"/>
        </w:rPr>
        <w:t xml:space="preserve"> </w:t>
      </w:r>
      <w:r>
        <w:rPr>
          <w:rFonts w:ascii="Times New Roman" w:hAnsi="Times New Roman"/>
          <w:b w:val="false"/>
          <w:color w:val="000000"/>
          <w:sz w:val="20"/>
        </w:rPr>
        <w:t>million difference between the $30.0</w:t>
      </w:r>
      <w:r>
        <w:rPr>
          <w:rFonts w:ascii="Times New Roman" w:hAnsi="Times New Roman"/>
          <w:color w:val="000000"/>
          <w:sz w:val="20"/>
        </w:rPr>
        <w:t xml:space="preserve"> </w:t>
      </w:r>
      <w:r>
        <w:rPr>
          <w:rFonts w:ascii="Times New Roman" w:hAnsi="Times New Roman"/>
          <w:b w:val="false"/>
          <w:color w:val="000000"/>
          <w:sz w:val="20"/>
        </w:rPr>
        <w:t>million paid by Astellas and the fair market value of shares issued was allocated to the transaction price of the Option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Company determined that the Option Agreement falls within the scope of ASC 606, </w:t>
      </w:r>
      <w:r>
        <w:rPr>
          <w:rFonts w:ascii="Times New Roman" w:hAnsi="Times New Roman"/>
          <w:b w:val="false"/>
          <w:i/>
          <w:color w:val="000000"/>
          <w:sz w:val="20"/>
        </w:rPr>
        <w:t>Revenue from Contracts with Customers</w:t>
      </w:r>
      <w:r>
        <w:rPr>
          <w:rFonts w:ascii="Times New Roman" w:hAnsi="Times New Roman"/>
          <w:color w:val="000000"/>
          <w:sz w:val="20"/>
        </w:rPr>
        <w:t xml:space="preserve"> </w:t>
      </w:r>
      <w:r>
        <w:rPr>
          <w:rFonts w:ascii="Times New Roman" w:hAnsi="Times New Roman"/>
          <w:b w:val="false"/>
          <w:color w:val="000000"/>
          <w:sz w:val="20"/>
        </w:rPr>
        <w:t>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w:t>
      </w:r>
      <w:r>
        <w:rPr>
          <w:rFonts w:ascii="Times New Roman" w:hAnsi="Times New Roman"/>
          <w:color w:val="000000"/>
          <w:sz w:val="20"/>
        </w:rPr>
        <w:t xml:space="preserve"> </w:t>
      </w:r>
      <w:r>
        <w:rPr>
          <w:rFonts w:ascii="Times New Roman" w:hAnsi="Times New Roman"/>
          <w:b w:val="false"/>
          <w:color w:val="000000"/>
          <w:sz w:val="20"/>
        </w:rPr>
        <w:t>million which is comprised of the $20.0</w:t>
      </w:r>
      <w:r>
        <w:rPr>
          <w:rFonts w:ascii="Times New Roman" w:hAnsi="Times New Roman"/>
          <w:color w:val="000000"/>
          <w:sz w:val="20"/>
        </w:rPr>
        <w:t xml:space="preserve"> </w:t>
      </w:r>
      <w:r>
        <w:rPr>
          <w:rFonts w:ascii="Times New Roman" w:hAnsi="Times New Roman"/>
          <w:b w:val="false"/>
          <w:color w:val="000000"/>
          <w:sz w:val="20"/>
        </w:rPr>
        <w:t>million Upfront Payment and the $16.1</w:t>
      </w:r>
      <w:r>
        <w:rPr>
          <w:rFonts w:ascii="Times New Roman" w:hAnsi="Times New Roman"/>
          <w:color w:val="000000"/>
          <w:sz w:val="20"/>
        </w:rPr>
        <w:t xml:space="preserve"> </w:t>
      </w:r>
      <w:r>
        <w:rPr>
          <w:rFonts w:ascii="Times New Roman" w:hAnsi="Times New Roman"/>
          <w:b w:val="false"/>
          <w:color w:val="000000"/>
          <w:sz w:val="20"/>
        </w:rPr>
        <w:t>million allocated from the Astellas Private Placement.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 plus margin approach. The standalone selling prices of the material rights and Rett research and development activities were then used to proportionately allocate the $36.1</w:t>
      </w:r>
      <w:r>
        <w:rPr>
          <w:rFonts w:ascii="Times New Roman" w:hAnsi="Times New Roman"/>
          <w:color w:val="000000"/>
          <w:sz w:val="20"/>
        </w:rPr>
        <w:t xml:space="preserve"> </w:t>
      </w:r>
      <w:r>
        <w:rPr>
          <w:rFonts w:ascii="Times New Roman" w:hAnsi="Times New Roman"/>
          <w:b w:val="false"/>
          <w:color w:val="000000"/>
          <w:sz w:val="20"/>
        </w:rPr>
        <w:t>million transaction price to the three performance obligations. The $36.1</w:t>
      </w:r>
      <w:r>
        <w:rPr>
          <w:rFonts w:ascii="Times New Roman" w:hAnsi="Times New Roman"/>
          <w:color w:val="000000"/>
          <w:sz w:val="20"/>
        </w:rPr>
        <w:t xml:space="preserve"> </w:t>
      </w:r>
      <w:r>
        <w:rPr>
          <w:rFonts w:ascii="Times New Roman" w:hAnsi="Times New Roman"/>
          <w:b w:val="false"/>
          <w:color w:val="000000"/>
          <w:sz w:val="20"/>
        </w:rPr>
        <w:t>million transaction price was recorded as deferred revenue on the condensed consolidated balance sheet at the inception of the Astellas Transactions.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summarizes the allocation of the transaction price to the three performance obligations at contract inception (in thousands):</w:t>
      </w:r>
      <w:r>
        <w:rPr>
          <w:rFonts w:ascii="Times New Roman" w:hAnsi="Times New Roman"/>
          <w:color w:val="000000"/>
          <w:sz w:val="20"/>
        </w:rPr>
        <w:t xml:space="preserve"> </w:t>
      </w:r>
    </w:p>
    <w:p>
      <w:pPr>
        <w:pStyle w:val="TextBody"/>
        <w:bidi w:val="0"/>
        <w:jc w:val="left"/>
        <w:rPr/>
      </w:pPr>
      <w:r>
        <w:rPr/>
        <w:t> </w:t>
      </w:r>
    </w:p>
    <w:tbl>
      <w:tblPr>
        <w:tblW w:w="6348" w:type="dxa"/>
        <w:jc w:val="left"/>
        <w:tblInd w:w="0" w:type="dxa"/>
        <w:tblLayout w:type="fixed"/>
        <w:tblCellMar>
          <w:top w:w="28" w:type="dxa"/>
          <w:left w:w="28" w:type="dxa"/>
          <w:bottom w:w="28" w:type="dxa"/>
          <w:right w:w="28" w:type="dxa"/>
        </w:tblCellMar>
      </w:tblPr>
      <w:tblGrid>
        <w:gridCol w:w="3421"/>
        <w:gridCol w:w="346"/>
        <w:gridCol w:w="520"/>
        <w:gridCol w:w="1670"/>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 to obtain license for Rett</w:t>
            </w:r>
          </w:p>
        </w:tc>
        <w:tc>
          <w:tcPr>
            <w:tcW w:w="346"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5,485</w:t>
            </w:r>
          </w:p>
        </w:tc>
        <w:tc>
          <w:tcPr>
            <w:tcW w:w="3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 to obtain license for GAN</w:t>
            </w:r>
          </w:p>
        </w:tc>
        <w:tc>
          <w:tcPr>
            <w:tcW w:w="34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2,317</w:t>
            </w:r>
          </w:p>
        </w:tc>
        <w:tc>
          <w:tcPr>
            <w:tcW w:w="3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Rett research and development activities</w:t>
            </w:r>
          </w:p>
        </w:tc>
        <w:tc>
          <w:tcPr>
            <w:tcW w:w="346" w:type="dxa"/>
            <w:tcBorders/>
            <w:shd w:fill="CFF0FC" w:val="cle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and six months ended June 30, 2023, the Company determined that the total estimated costs to be incurred to satisfy the performance obligation associated with Rett research and development activities had increased from the cost estimate used for the year ended December 31, 2022, and the three months ended March 31, 2023. The cumulative impact of this change would have resulted in a $3.1</w:t>
      </w:r>
      <w:r>
        <w:rPr>
          <w:rFonts w:ascii="Times New Roman" w:hAnsi="Times New Roman"/>
          <w:color w:val="000000"/>
          <w:sz w:val="20"/>
        </w:rPr>
        <w:t xml:space="preserve"> </w:t>
      </w:r>
      <w:r>
        <w:rPr>
          <w:rFonts w:ascii="Times New Roman" w:hAnsi="Times New Roman"/>
          <w:b w:val="false"/>
          <w:color w:val="000000"/>
          <w:sz w:val="20"/>
        </w:rPr>
        <w:t>million decrease related to revenue previously recognized based on prior cost estimates. Subsequent changes during the three months ended September 30, 2023 to total estimated costs were not material, and did not have a material impact on cumulative revenue earned.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recognized revenue of $2.4</w:t>
      </w:r>
      <w:r>
        <w:rPr>
          <w:rFonts w:ascii="Times New Roman" w:hAnsi="Times New Roman"/>
          <w:color w:val="000000"/>
          <w:sz w:val="20"/>
        </w:rPr>
        <w:t xml:space="preserve"> </w:t>
      </w:r>
      <w:r>
        <w:rPr>
          <w:rFonts w:ascii="Times New Roman" w:hAnsi="Times New Roman"/>
          <w:b w:val="false"/>
          <w:color w:val="000000"/>
          <w:sz w:val="20"/>
        </w:rPr>
        <w:t>million and $9.5</w:t>
      </w:r>
      <w:r>
        <w:rPr>
          <w:rFonts w:ascii="Times New Roman" w:hAnsi="Times New Roman"/>
          <w:color w:val="000000"/>
          <w:sz w:val="20"/>
        </w:rPr>
        <w:t xml:space="preserve"> </w:t>
      </w:r>
      <w:r>
        <w:rPr>
          <w:rFonts w:ascii="Times New Roman" w:hAnsi="Times New Roman"/>
          <w:b w:val="false"/>
          <w:color w:val="000000"/>
          <w:sz w:val="20"/>
        </w:rPr>
        <w:t>million from Rett research and development activities for the three and nine months ended September 30, 2023, respectively. In September 2023, Astellas provided written notice of its decision not to exercise the GAN Option. The Company recognized revenue of $2.3</w:t>
      </w:r>
      <w:r>
        <w:rPr>
          <w:rFonts w:ascii="Times New Roman" w:hAnsi="Times New Roman"/>
          <w:color w:val="000000"/>
          <w:sz w:val="20"/>
        </w:rPr>
        <w:t xml:space="preserve"> </w:t>
      </w:r>
      <w:r>
        <w:rPr>
          <w:rFonts w:ascii="Times New Roman" w:hAnsi="Times New Roman"/>
          <w:b w:val="false"/>
          <w:color w:val="000000"/>
          <w:sz w:val="20"/>
        </w:rPr>
        <w:t>million from the GAN Option during the three and nine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Company recorded deferred revenue of $18.8</w:t>
      </w:r>
      <w:r>
        <w:rPr>
          <w:rFonts w:ascii="Times New Roman" w:hAnsi="Times New Roman"/>
          <w:color w:val="000000"/>
          <w:sz w:val="20"/>
        </w:rPr>
        <w:t xml:space="preserve"> </w:t>
      </w:r>
      <w:r>
        <w:rPr>
          <w:rFonts w:ascii="Times New Roman" w:hAnsi="Times New Roman"/>
          <w:b w:val="false"/>
          <w:color w:val="000000"/>
          <w:sz w:val="20"/>
        </w:rPr>
        <w:t>million within current liabilities and $3.0</w:t>
      </w:r>
      <w:r>
        <w:rPr>
          <w:rFonts w:ascii="Times New Roman" w:hAnsi="Times New Roman"/>
          <w:color w:val="000000"/>
          <w:sz w:val="20"/>
        </w:rPr>
        <w:t xml:space="preserve"> </w:t>
      </w:r>
      <w:r>
        <w:rPr>
          <w:rFonts w:ascii="Times New Roman" w:hAnsi="Times New Roman"/>
          <w:b w:val="false"/>
          <w:color w:val="000000"/>
          <w:sz w:val="20"/>
        </w:rPr>
        <w:t>million within long-term liabilities in the accompanying consolidated balance sheet. The Company will recognize revenues for these performance obligations as they are satisfied.</w:t>
      </w:r>
    </w:p>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Note 7—Loan with Silicon Valley Bank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provided for (i) on the Closing Date, $40.0</w:t>
      </w:r>
      <w:r>
        <w:rPr>
          <w:rFonts w:ascii="Times New Roman" w:hAnsi="Times New Roman"/>
          <w:color w:val="000000"/>
          <w:sz w:val="20"/>
        </w:rPr>
        <w:t xml:space="preserve"> </w:t>
      </w:r>
      <w:r>
        <w:rPr>
          <w:rFonts w:ascii="Times New Roman" w:hAnsi="Times New Roman"/>
          <w:b w:val="false"/>
          <w:color w:val="000000"/>
          <w:sz w:val="20"/>
        </w:rPr>
        <w:t>million aggregate principal amount of term loans available through December 31, 2021, (ii) from January 1, 2022</w:t>
      </w:r>
      <w:r>
        <w:rPr>
          <w:rFonts w:ascii="Times New Roman" w:hAnsi="Times New Roman"/>
          <w:color w:val="000000"/>
          <w:sz w:val="20"/>
        </w:rPr>
        <w:t xml:space="preserve"> </w:t>
      </w:r>
      <w:r>
        <w:rPr>
          <w:rFonts w:ascii="Times New Roman" w:hAnsi="Times New Roman"/>
          <w:b w:val="false"/>
          <w:color w:val="000000"/>
          <w:sz w:val="20"/>
        </w:rPr>
        <w:t>until September 30, 2022, an additional $20.0</w:t>
      </w:r>
      <w:r>
        <w:rPr>
          <w:rFonts w:ascii="Times New Roman" w:hAnsi="Times New Roman"/>
          <w:color w:val="000000"/>
          <w:sz w:val="20"/>
        </w:rPr>
        <w:t xml:space="preserve"> </w:t>
      </w:r>
      <w:r>
        <w:rPr>
          <w:rFonts w:ascii="Times New Roman" w:hAnsi="Times New Roman"/>
          <w:b w:val="false"/>
          <w:color w:val="000000"/>
          <w:sz w:val="20"/>
        </w:rPr>
        <w:t>million term loan facility available at the Company’s option upon having three</w:t>
      </w:r>
      <w:r>
        <w:rPr>
          <w:rFonts w:ascii="Times New Roman" w:hAnsi="Times New Roman"/>
          <w:color w:val="000000"/>
          <w:sz w:val="20"/>
        </w:rPr>
        <w:t xml:space="preserve"> </w:t>
      </w:r>
      <w:r>
        <w:rPr>
          <w:rFonts w:ascii="Times New Roman" w:hAnsi="Times New Roman"/>
          <w:b w:val="false"/>
          <w:color w:val="000000"/>
          <w:sz w:val="20"/>
        </w:rPr>
        <w:t>distinct and active clinical stage programs, determined at the discretion of the Agent, at the time of draw, (iii) from October 1, 2022</w:t>
      </w:r>
      <w:r>
        <w:rPr>
          <w:rFonts w:ascii="Times New Roman" w:hAnsi="Times New Roman"/>
          <w:color w:val="000000"/>
          <w:sz w:val="20"/>
        </w:rPr>
        <w:t xml:space="preserve"> </w:t>
      </w:r>
      <w:r>
        <w:rPr>
          <w:rFonts w:ascii="Times New Roman" w:hAnsi="Times New Roman"/>
          <w:b w:val="false"/>
          <w:color w:val="000000"/>
          <w:sz w:val="20"/>
        </w:rPr>
        <w:t>until March 31, 2023, an additional $20.0</w:t>
      </w:r>
      <w:r>
        <w:rPr>
          <w:rFonts w:ascii="Times New Roman" w:hAnsi="Times New Roman"/>
          <w:color w:val="000000"/>
          <w:sz w:val="20"/>
        </w:rPr>
        <w:t xml:space="preserve"> </w:t>
      </w:r>
      <w:r>
        <w:rPr>
          <w:rFonts w:ascii="Times New Roman" w:hAnsi="Times New Roman"/>
          <w:b w:val="false"/>
          <w:color w:val="000000"/>
          <w:sz w:val="20"/>
        </w:rPr>
        <w:t>million term loan facility available at the Company’s option upon having three</w:t>
      </w:r>
      <w:r>
        <w:rPr>
          <w:rFonts w:ascii="Times New Roman" w:hAnsi="Times New Roman"/>
          <w:color w:val="000000"/>
          <w:sz w:val="20"/>
        </w:rPr>
        <w:t xml:space="preserve"> </w:t>
      </w:r>
      <w:r>
        <w:rPr>
          <w:rFonts w:ascii="Times New Roman" w:hAnsi="Times New Roman"/>
          <w:b w:val="false"/>
          <w:color w:val="000000"/>
          <w:sz w:val="20"/>
        </w:rPr>
        <w:t>distinct and active clinical stage programs, determined at the discretion of the Agent, at the time of draw and (iv) from April 1, 2023</w:t>
      </w:r>
      <w:r>
        <w:rPr>
          <w:rFonts w:ascii="Times New Roman" w:hAnsi="Times New Roman"/>
          <w:color w:val="000000"/>
          <w:sz w:val="20"/>
        </w:rPr>
        <w:t xml:space="preserve"> </w:t>
      </w:r>
      <w:r>
        <w:rPr>
          <w:rFonts w:ascii="Times New Roman" w:hAnsi="Times New Roman"/>
          <w:b w:val="false"/>
          <w:color w:val="000000"/>
          <w:sz w:val="20"/>
        </w:rPr>
        <w:t>until December 31, 2023, an additional $20.0</w:t>
      </w:r>
      <w:r>
        <w:rPr>
          <w:rFonts w:ascii="Times New Roman" w:hAnsi="Times New Roman"/>
          <w:color w:val="000000"/>
          <w:sz w:val="20"/>
        </w:rPr>
        <w:t xml:space="preserve"> </w:t>
      </w:r>
      <w:r>
        <w:rPr>
          <w:rFonts w:ascii="Times New Roman" w:hAnsi="Times New Roman"/>
          <w:b w:val="false"/>
          <w:color w:val="000000"/>
          <w:sz w:val="20"/>
        </w:rPr>
        <w:t>million term loan facility available upon approval by the Agent and the Lenders (collectively, the “Term Loans”). The Company drew $30.0</w:t>
      </w:r>
      <w:r>
        <w:rPr>
          <w:rFonts w:ascii="Times New Roman" w:hAnsi="Times New Roman"/>
          <w:color w:val="000000"/>
          <w:sz w:val="20"/>
        </w:rPr>
        <w:t xml:space="preserve"> </w:t>
      </w:r>
      <w:r>
        <w:rPr>
          <w:rFonts w:ascii="Times New Roman" w:hAnsi="Times New Roman"/>
          <w:b w:val="false"/>
          <w:color w:val="000000"/>
          <w:sz w:val="20"/>
        </w:rPr>
        <w:t>million in term loans on the Closing Date and $10.0</w:t>
      </w:r>
      <w:r>
        <w:rPr>
          <w:rFonts w:ascii="Times New Roman" w:hAnsi="Times New Roman"/>
          <w:color w:val="000000"/>
          <w:sz w:val="20"/>
        </w:rPr>
        <w:t xml:space="preserve"> </w:t>
      </w:r>
      <w:r>
        <w:rPr>
          <w:rFonts w:ascii="Times New Roman" w:hAnsi="Times New Roman"/>
          <w:b w:val="false"/>
          <w:color w:val="000000"/>
          <w:sz w:val="20"/>
        </w:rPr>
        <w:t>million in term loans in December 2021. The Company did not draw on the two additional $20.0</w:t>
      </w:r>
      <w:r>
        <w:rPr>
          <w:rFonts w:ascii="Times New Roman" w:hAnsi="Times New Roman"/>
          <w:color w:val="000000"/>
          <w:sz w:val="20"/>
        </w:rPr>
        <w:t xml:space="preserve"> </w:t>
      </w:r>
      <w:r>
        <w:rPr>
          <w:rFonts w:ascii="Times New Roman" w:hAnsi="Times New Roman"/>
          <w:b w:val="false"/>
          <w:color w:val="000000"/>
          <w:sz w:val="20"/>
        </w:rPr>
        <w:t>million tranches prior to expiration on September 30, 2022</w:t>
      </w:r>
      <w:r>
        <w:rPr>
          <w:rFonts w:ascii="Times New Roman" w:hAnsi="Times New Roman"/>
          <w:color w:val="000000"/>
          <w:sz w:val="20"/>
        </w:rPr>
        <w:t xml:space="preserve"> </w:t>
      </w:r>
      <w:r>
        <w:rPr>
          <w:rFonts w:ascii="Times New Roman" w:hAnsi="Times New Roman"/>
          <w:b w:val="false"/>
          <w:color w:val="000000"/>
          <w:sz w:val="20"/>
        </w:rPr>
        <w:t>and March 31,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interest rate applicable to the Term Loans was the greater of (a) the WSJ (“Wall Street Journal”) Prime Rate plus 3.75% or (b) 7.00% per annum. The Term Loans were interest only from the Closing Date through August 31, 2024, after which the Company was required to pay equal monthly installments of principal through August 1, 2026, the maturity date.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Term Loans could have been prepaid in full through August 12, 2023, with payment of a 1.00% prepayment premium, after which they could be prepaid in full with no prepayment premium. An additional final payment of 7.5% of the amount of Terms Loans advanced by the Lenders (“Exit Fee”) was due upon prepayment or repayment of the Term Loans in full. The Exit Fee of $3.0</w:t>
      </w:r>
      <w:r>
        <w:rPr>
          <w:rFonts w:ascii="Times New Roman" w:hAnsi="Times New Roman"/>
          <w:color w:val="000000"/>
          <w:sz w:val="20"/>
        </w:rPr>
        <w:t xml:space="preserve"> </w:t>
      </w:r>
      <w:r>
        <w:rPr>
          <w:rFonts w:ascii="Times New Roman" w:hAnsi="Times New Roman"/>
          <w:b w:val="false"/>
          <w:color w:val="000000"/>
          <w:sz w:val="20"/>
        </w:rPr>
        <w:t>million was recorded as debt discount and has also been fully accrued within non-current liabilities as of September 30, 2023. The debt discount was being accreted using the effective interest method over the term of the Term Loans within interest expense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obligations under the Term Loan Agreement were secured by a perfected security interest in all of the Company’s assets except for intellectual property and certain other customarily excluded property pursuant to the terms of the Term Loan Agreement. There were no financial covenants and no</w:t>
      </w:r>
      <w:r>
        <w:rPr>
          <w:rFonts w:ascii="Times New Roman" w:hAnsi="Times New Roman"/>
          <w:color w:val="000000"/>
          <w:sz w:val="20"/>
        </w:rPr>
        <w:t xml:space="preserve"> </w:t>
      </w:r>
      <w:r>
        <w:rPr>
          <w:rFonts w:ascii="Times New Roman" w:hAnsi="Times New Roman"/>
          <w:b w:val="false"/>
          <w:color w:val="000000"/>
          <w:sz w:val="20"/>
        </w:rPr>
        <w:t>warrants associated with the Term Loan Agreement. The Term Loan Agreement contained various covenants that limited the Company’s ability to engage in specified types of transactions without the consent of the Lenders which included,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Term Loan Agreement also contained customary representations and warranties, and also included customary events of default, including payment default, breach of covenants, change of control, and material adverse effects. The Company was in compliance with all covenants under the Term Loan Agreement as of September 30, 2023. Upon the occurrence of an event of default, a default interest rate of an additional 5% per annum could have been applied to the outstanding loan balances, and the Lenders could have declared all outstanding obligations immediately due and payable and exercised all of its rights and remedies as set forth in the Term Loan Agreement and under applicable law.</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recognized interest expense related to the Term Loan of $1.4</w:t>
      </w:r>
      <w:r>
        <w:rPr>
          <w:rFonts w:ascii="Times New Roman" w:hAnsi="Times New Roman"/>
          <w:color w:val="000000"/>
          <w:sz w:val="20"/>
        </w:rPr>
        <w:t xml:space="preserve"> </w:t>
      </w:r>
      <w:r>
        <w:rPr>
          <w:rFonts w:ascii="Times New Roman" w:hAnsi="Times New Roman"/>
          <w:b w:val="false"/>
          <w:color w:val="000000"/>
          <w:sz w:val="20"/>
        </w:rPr>
        <w:t>million and $4.2</w:t>
      </w:r>
      <w:r>
        <w:rPr>
          <w:rFonts w:ascii="Times New Roman" w:hAnsi="Times New Roman"/>
          <w:color w:val="000000"/>
          <w:sz w:val="20"/>
        </w:rPr>
        <w:t xml:space="preserve"> </w:t>
      </w:r>
      <w:r>
        <w:rPr>
          <w:rFonts w:ascii="Times New Roman" w:hAnsi="Times New Roman"/>
          <w:b w:val="false"/>
          <w:color w:val="000000"/>
          <w:sz w:val="20"/>
        </w:rPr>
        <w:t>million, respectively. During the three and nine months ended September 30, 2022, the Company recognized interest expense related to the Term Loan of $1.1</w:t>
      </w:r>
      <w:r>
        <w:rPr>
          <w:rFonts w:ascii="Times New Roman" w:hAnsi="Times New Roman"/>
          <w:color w:val="000000"/>
          <w:sz w:val="20"/>
        </w:rPr>
        <w:t xml:space="preserve"> </w:t>
      </w:r>
      <w:r>
        <w:rPr>
          <w:rFonts w:ascii="Times New Roman" w:hAnsi="Times New Roman"/>
          <w:b w:val="false"/>
          <w:color w:val="000000"/>
          <w:sz w:val="20"/>
        </w:rPr>
        <w:t>million and $2.5</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Future principal debt payments on the loan payable as of September 30, 2023 are as follows (in thousands):</w:t>
      </w:r>
    </w:p>
    <w:p>
      <w:pPr>
        <w:pStyle w:val="TextBody"/>
        <w:bidi w:val="0"/>
        <w:jc w:val="left"/>
        <w:rPr/>
      </w:pPr>
      <w:r>
        <w:rPr/>
        <w:t> </w:t>
      </w:r>
    </w:p>
    <w:tbl>
      <w:tblPr>
        <w:tblW w:w="3585" w:type="dxa"/>
        <w:jc w:val="left"/>
        <w:tblInd w:w="0" w:type="dxa"/>
        <w:tblLayout w:type="fixed"/>
        <w:tblCellMar>
          <w:top w:w="28" w:type="dxa"/>
          <w:left w:w="28" w:type="dxa"/>
          <w:bottom w:w="28" w:type="dxa"/>
          <w:right w:w="28" w:type="dxa"/>
        </w:tblCellMar>
      </w:tblPr>
      <w:tblGrid>
        <w:gridCol w:w="2341"/>
        <w:gridCol w:w="146"/>
        <w:gridCol w:w="211"/>
        <w:gridCol w:w="676"/>
        <w:gridCol w:w="21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Year Ending December 31,</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6,667</w:t>
            </w:r>
          </w:p>
        </w:tc>
        <w:tc>
          <w:tcPr>
            <w:tcW w:w="21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21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principal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40,000</w:t>
            </w:r>
          </w:p>
        </w:tc>
        <w:tc>
          <w:tcPr>
            <w:tcW w:w="21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Term Loan is considered long-term debt because it has been refinanced on a long-term basis, subsequent to September 30, 2023 but before the issuance of these condensed consolidated financial statements, using the proceeds of the Trinity Term Loan Agreement (as defined in Note 16).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March 10, 2023, Silicon Valley Bank, based in Santa Clara, California, was closed by the California Department of Financial Protection and Innovation, which appointed the Federal Deposit Insurance Corporation (“FDIC”) as receiver. On March 27, 2023, First Citizens Bank purchased the remaining assets, deposits and loans of Silicon Valley Bank. As a result, the portion of the Company’s term loans previously held by Silicon Valley Bank is now held by Silicon Valley Bank as a division of First-Citizen’s Bank &amp; Trust Company. The remaining portion of the Company’s term loans are still held by SVB Capital, which is currently in bankruptcy proceedings.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8—Research, Collaboration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UT Southwestern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w:t>
      </w:r>
      <w:r>
        <w:rPr>
          <w:rFonts w:ascii="Times New Roman" w:hAnsi="Times New Roman"/>
          <w:color w:val="000000"/>
          <w:sz w:val="20"/>
        </w:rPr>
        <w:t xml:space="preserve"> </w:t>
      </w:r>
      <w:r>
        <w:rPr>
          <w:rFonts w:ascii="Times New Roman" w:hAnsi="Times New Roman"/>
          <w:b w:val="false"/>
          <w:color w:val="000000"/>
          <w:sz w:val="20"/>
        </w:rPr>
        <w:t>period under mutually agreed upon sponsored research agreements that were entered into beginning in April 2020. During the initial research phase, the Company has the right to expand the scope of specified indications under the UT Southwestern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w:t>
      </w:r>
      <w:r>
        <w:rPr>
          <w:rFonts w:ascii="Times New Roman" w:hAnsi="Times New Roman"/>
          <w:color w:val="000000"/>
          <w:sz w:val="20"/>
        </w:rPr>
        <w:t xml:space="preserve"> </w:t>
      </w:r>
      <w:r>
        <w:rPr>
          <w:rFonts w:ascii="Times New Roman" w:hAnsi="Times New Roman"/>
          <w:b w:val="false"/>
          <w:color w:val="000000"/>
          <w:sz w:val="20"/>
        </w:rPr>
        <w:t>licensed product.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November 2019, as partial consideration for the license rights granted under the UT Southwestern Agreement, the Company issued 2,179,000</w:t>
      </w:r>
      <w:r>
        <w:rPr>
          <w:rFonts w:ascii="Times New Roman" w:hAnsi="Times New Roman"/>
          <w:color w:val="000000"/>
          <w:sz w:val="20"/>
        </w:rPr>
        <w:t xml:space="preserve"> </w:t>
      </w:r>
      <w:r>
        <w:rPr>
          <w:rFonts w:ascii="Times New Roman" w:hAnsi="Times New Roman"/>
          <w:b w:val="false"/>
          <w:color w:val="000000"/>
          <w:sz w:val="20"/>
        </w:rPr>
        <w:t>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Abeona CLN1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2020, the Company entered into license and inventory purchase agreements (collectively, the “Abeona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Abeona Agreements, the Company made initial cash payments to Abeona of $3.0</w:t>
      </w:r>
      <w:r>
        <w:rPr>
          <w:rFonts w:ascii="Times New Roman" w:hAnsi="Times New Roman"/>
          <w:color w:val="000000"/>
          <w:sz w:val="20"/>
        </w:rPr>
        <w:t xml:space="preserve"> </w:t>
      </w:r>
      <w:r>
        <w:rPr>
          <w:rFonts w:ascii="Times New Roman" w:hAnsi="Times New Roman"/>
          <w:b w:val="false"/>
          <w:color w:val="000000"/>
          <w:sz w:val="20"/>
        </w:rPr>
        <w:t>million for the license fee and $4.0</w:t>
      </w:r>
      <w:r>
        <w:rPr>
          <w:rFonts w:ascii="Times New Roman" w:hAnsi="Times New Roman"/>
          <w:color w:val="000000"/>
          <w:sz w:val="20"/>
        </w:rPr>
        <w:t xml:space="preserve"> </w:t>
      </w:r>
      <w:r>
        <w:rPr>
          <w:rFonts w:ascii="Times New Roman" w:hAnsi="Times New Roman"/>
          <w:b w:val="false"/>
          <w:color w:val="000000"/>
          <w:sz w:val="20"/>
        </w:rPr>
        <w:t>million for purchase of clinical materials and reimbursement for previously incurred development costs in October 2020. In exchange for the license rights, the Company recorded an aggregate of $7.0</w:t>
      </w:r>
      <w:r>
        <w:rPr>
          <w:rFonts w:ascii="Times New Roman" w:hAnsi="Times New Roman"/>
          <w:color w:val="000000"/>
          <w:sz w:val="20"/>
        </w:rPr>
        <w:t xml:space="preserve"> </w:t>
      </w:r>
      <w:r>
        <w:rPr>
          <w:rFonts w:ascii="Times New Roman" w:hAnsi="Times New Roman"/>
          <w:b w:val="false"/>
          <w:color w:val="000000"/>
          <w:sz w:val="20"/>
        </w:rPr>
        <w:t>million within research and development expenses in the consolidated statements of operations for the year ended December 31, 2020, since the acquired license or acquired inventory do not have an alternative future use. The Company is obligated to make up to $26.0</w:t>
      </w:r>
      <w:r>
        <w:rPr>
          <w:rFonts w:ascii="Times New Roman" w:hAnsi="Times New Roman"/>
          <w:color w:val="000000"/>
          <w:sz w:val="20"/>
        </w:rPr>
        <w:t xml:space="preserve"> </w:t>
      </w:r>
      <w:r>
        <w:rPr>
          <w:rFonts w:ascii="Times New Roman" w:hAnsi="Times New Roman"/>
          <w:b w:val="false"/>
          <w:color w:val="000000"/>
          <w:sz w:val="20"/>
        </w:rPr>
        <w:t>million in regulatory-related milestones and up to $30.0</w:t>
      </w:r>
      <w:r>
        <w:rPr>
          <w:rFonts w:ascii="Times New Roman" w:hAnsi="Times New Roman"/>
          <w:color w:val="000000"/>
          <w:sz w:val="20"/>
        </w:rPr>
        <w:t xml:space="preserve"> </w:t>
      </w:r>
      <w:r>
        <w:rPr>
          <w:rFonts w:ascii="Times New Roman" w:hAnsi="Times New Roman"/>
          <w:b w:val="false"/>
          <w:color w:val="000000"/>
          <w:sz w:val="20"/>
        </w:rPr>
        <w:t>million in sales-related milestones per licensed CLN1 product. The Company will also pay an annual earned royalty in the high single digits on net sales of any licensed CLN1 products. The license agreement with Abeona (the “Abeona License Agreement”) expires on a country-by-country and licensed product-by-licensed product basis upon the expiration of the last royalty term of a licensed product. Either party may terminate the Abeona License Agreement upon an uncured material breach of the agreement or insolvency of the other party. The Company may terminate the Abeona License Agreement for convenience upon specified prior written notice to Abeona.</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December 2021, a regulatory milestone was triggered in connection with this agreement and therefore the Company recorded $3.0</w:t>
      </w:r>
      <w:r>
        <w:rPr>
          <w:rFonts w:ascii="Times New Roman" w:hAnsi="Times New Roman"/>
          <w:color w:val="000000"/>
          <w:sz w:val="20"/>
        </w:rPr>
        <w:t xml:space="preserve"> </w:t>
      </w:r>
      <w:r>
        <w:rPr>
          <w:rFonts w:ascii="Times New Roman" w:hAnsi="Times New Roman"/>
          <w:b w:val="false"/>
          <w:color w:val="000000"/>
          <w:sz w:val="20"/>
        </w:rPr>
        <w:t>million within research and development expenses in the consolidated statements of operations for the year ended December 31, 2021. The milestone fee was paid in January 2022 and classified as an investing cash outflow in the condensed consolidated statements of cash flows for the nine months ended September 30, 2022. No additional milestone payments were made or triggered in connection with this agreement during the nine months ended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Abeona Rett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Subject to certain obligations of Abeona, the Company is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Abeona Rett Agreement, the Company paid Abeona a one-time upfront license fee of $3.0</w:t>
      </w:r>
      <w:r>
        <w:rPr>
          <w:rFonts w:ascii="Times New Roman" w:hAnsi="Times New Roman"/>
          <w:color w:val="000000"/>
          <w:sz w:val="20"/>
        </w:rPr>
        <w:t xml:space="preserve"> </w:t>
      </w:r>
      <w:r>
        <w:rPr>
          <w:rFonts w:ascii="Times New Roman" w:hAnsi="Times New Roman"/>
          <w:b w:val="false"/>
          <w:color w:val="000000"/>
          <w:sz w:val="20"/>
        </w:rPr>
        <w:t>million which was recorded in research and development expenses in the consolidated statements of operations for the year ended December 31, 2020, since the acquired license does not have an alternative future use. The Company is obligated to pay Abeona up to $26.5</w:t>
      </w:r>
      <w:r>
        <w:rPr>
          <w:rFonts w:ascii="Times New Roman" w:hAnsi="Times New Roman"/>
          <w:color w:val="000000"/>
          <w:sz w:val="20"/>
        </w:rPr>
        <w:t xml:space="preserve"> </w:t>
      </w:r>
      <w:r>
        <w:rPr>
          <w:rFonts w:ascii="Times New Roman" w:hAnsi="Times New Roman"/>
          <w:b w:val="false"/>
          <w:color w:val="000000"/>
          <w:sz w:val="20"/>
        </w:rPr>
        <w:t>million in regulatory-related milestones and up to $30.0</w:t>
      </w:r>
      <w:r>
        <w:rPr>
          <w:rFonts w:ascii="Times New Roman" w:hAnsi="Times New Roman"/>
          <w:color w:val="000000"/>
          <w:sz w:val="20"/>
        </w:rPr>
        <w:t xml:space="preserve"> </w:t>
      </w:r>
      <w:r>
        <w:rPr>
          <w:rFonts w:ascii="Times New Roman" w:hAnsi="Times New Roman"/>
          <w:b w:val="false"/>
          <w:color w:val="000000"/>
          <w:sz w:val="20"/>
        </w:rPr>
        <w:t>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March 2022, the Company’s clinical trial application (“CTA”) filing for TSHA-102 for the treatment of Rett Syndrome was approved by Health Canada and therefore triggered a regulatory milestone payment in connection with the Abeona Rett Agreement. The Company recorded $1.0</w:t>
      </w:r>
      <w:r>
        <w:rPr>
          <w:rFonts w:ascii="Times New Roman" w:hAnsi="Times New Roman"/>
          <w:color w:val="000000"/>
          <w:sz w:val="20"/>
        </w:rPr>
        <w:t xml:space="preserve"> </w:t>
      </w:r>
      <w:r>
        <w:rPr>
          <w:rFonts w:ascii="Times New Roman" w:hAnsi="Times New Roman"/>
          <w:b w:val="false"/>
          <w:color w:val="000000"/>
          <w:sz w:val="20"/>
        </w:rPr>
        <w:t>million within research and development expenses in the condensed consolidated statements of operations for the nine months ended September 30, 2022. The $1.0</w:t>
      </w:r>
      <w:r>
        <w:rPr>
          <w:rFonts w:ascii="Times New Roman" w:hAnsi="Times New Roman"/>
          <w:color w:val="000000"/>
          <w:sz w:val="20"/>
        </w:rPr>
        <w:t xml:space="preserve"> </w:t>
      </w:r>
      <w:r>
        <w:rPr>
          <w:rFonts w:ascii="Times New Roman" w:hAnsi="Times New Roman"/>
          <w:b w:val="false"/>
          <w:color w:val="000000"/>
          <w:sz w:val="20"/>
        </w:rPr>
        <w:t>million regulatory milestone fee was paid in July 2022.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w:t>
      </w:r>
      <w:r>
        <w:rPr>
          <w:rFonts w:ascii="Times New Roman" w:hAnsi="Times New Roman"/>
          <w:color w:val="000000"/>
          <w:sz w:val="20"/>
        </w:rPr>
        <w:t xml:space="preserve"> </w:t>
      </w:r>
      <w:r>
        <w:rPr>
          <w:rFonts w:ascii="Times New Roman" w:hAnsi="Times New Roman"/>
          <w:b w:val="false"/>
          <w:color w:val="000000"/>
          <w:sz w:val="20"/>
        </w:rPr>
        <w:t>million within research and development expenses in the condensed consolidated statements of operations for the nine months ended September 30, 2023. This milestone fee was paid in August 2023 and classified as an investing cash outflow in the condensed consolidated statements of cash flows for the nine months ended September 30, 2023. No</w:t>
      </w:r>
      <w:r>
        <w:rPr>
          <w:rFonts w:ascii="Times New Roman" w:hAnsi="Times New Roman"/>
          <w:color w:val="000000"/>
          <w:sz w:val="20"/>
        </w:rPr>
        <w:t xml:space="preserve"> </w:t>
      </w:r>
      <w:r>
        <w:rPr>
          <w:rFonts w:ascii="Times New Roman" w:hAnsi="Times New Roman"/>
          <w:b w:val="false"/>
          <w:color w:val="000000"/>
          <w:sz w:val="20"/>
        </w:rPr>
        <w:t>additional milestone payments were made or triggered in connection with the Abeona Rett Agreement during the nine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Acquisition of Worldwide Rights for TSHA-120 for the treatment of GAN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March 2021, the Company acquired the exclusive worldwide rights to a clinical-stage AAV9 gene therapy program, now known as TSHA-120, for the treatment of GAN. TSHA-120 is an intrathecally dosed AAV9 gene therapy currently being evaluated in a clinical trial for the treatment of GAN. The trial is being conducted by the National Institutes of Health (“NIH”) in close collaboration with a leading patient advocacy group focused on finding treatments and cures for GAN. TSHA-120 has received rare pediatric disease and orphan drug designations from the U.S. Food and Drug Administration for the treatment of GAN. The worldwide rights were acquired through a license agreement, effective March 29, 2021, between Hannah’s Hope Fund for Giant Axonal Neuropathy, Inc. (“HHF”) and the Company (the “GAN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terms of the GAN Agreement, in exchange for granting the Company the exclusive worldwide rights to TSHA-120, HHF received an upfront payment of $5.5</w:t>
      </w:r>
      <w:r>
        <w:rPr>
          <w:rFonts w:ascii="Times New Roman" w:hAnsi="Times New Roman"/>
          <w:color w:val="000000"/>
          <w:sz w:val="20"/>
        </w:rPr>
        <w:t xml:space="preserve"> </w:t>
      </w:r>
      <w:r>
        <w:rPr>
          <w:rFonts w:ascii="Times New Roman" w:hAnsi="Times New Roman"/>
          <w:b w:val="false"/>
          <w:color w:val="000000"/>
          <w:sz w:val="20"/>
        </w:rPr>
        <w:t>million and will be eligible to receive clinical, regulatory and commercial milestones totaling up to $19.3</w:t>
      </w:r>
      <w:r>
        <w:rPr>
          <w:rFonts w:ascii="Times New Roman" w:hAnsi="Times New Roman"/>
          <w:color w:val="000000"/>
          <w:sz w:val="20"/>
        </w:rPr>
        <w:t xml:space="preserve"> </w:t>
      </w:r>
      <w:r>
        <w:rPr>
          <w:rFonts w:ascii="Times New Roman" w:hAnsi="Times New Roman"/>
          <w:b w:val="false"/>
          <w:color w:val="000000"/>
          <w:sz w:val="20"/>
        </w:rPr>
        <w:t>million, as well as a low, single-digit royalty on net sales upon commercialization of the product. No</w:t>
      </w:r>
      <w:r>
        <w:rPr>
          <w:rFonts w:ascii="Times New Roman" w:hAnsi="Times New Roman"/>
          <w:color w:val="000000"/>
          <w:sz w:val="20"/>
        </w:rPr>
        <w:t xml:space="preserve"> </w:t>
      </w:r>
      <w:r>
        <w:rPr>
          <w:rFonts w:ascii="Times New Roman" w:hAnsi="Times New Roman"/>
          <w:b w:val="false"/>
          <w:color w:val="000000"/>
          <w:sz w:val="20"/>
        </w:rPr>
        <w:t>additional milestone payments were made or triggered in connection with the GAN Agreement during the nine months ended September 30, 2023.</w:t>
      </w:r>
    </w:p>
    <w:p>
      <w:pPr>
        <w:pStyle w:val="TextBody"/>
        <w:bidi w:val="0"/>
        <w:spacing w:before="240" w:after="283"/>
        <w:jc w:val="left"/>
        <w:rPr>
          <w:rFonts w:ascii="Times New Roman" w:hAnsi="Times New Roman"/>
          <w:sz w:val="20"/>
        </w:rPr>
      </w:pPr>
      <w:r>
        <w:rPr>
          <w:rFonts w:ascii="Times New Roman" w:hAnsi="Times New Roman"/>
          <w:b/>
          <w:i/>
          <w:color w:val="000000"/>
          <w:sz w:val="20"/>
        </w:rPr>
        <w:t>License Agreement for CLN7</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w:t>
      </w:r>
      <w:r>
        <w:rPr>
          <w:rFonts w:ascii="Times New Roman" w:hAnsi="Times New Roman"/>
          <w:color w:val="000000"/>
          <w:sz w:val="20"/>
        </w:rPr>
        <w:t xml:space="preserve"> </w:t>
      </w:r>
      <w:r>
        <w:rPr>
          <w:rFonts w:ascii="Times New Roman" w:hAnsi="Times New Roman"/>
          <w:b w:val="false"/>
          <w:color w:val="000000"/>
          <w:sz w:val="20"/>
        </w:rPr>
        <w:t>million. The Company recorded the upfront license fee in research and development expense in the condensed consolidated statements of operations since the acquired license does not have an alternative future use. The Company is obligated to pay UT Southwestern up to $7.7</w:t>
      </w:r>
      <w:r>
        <w:rPr>
          <w:rFonts w:ascii="Times New Roman" w:hAnsi="Times New Roman"/>
          <w:color w:val="000000"/>
          <w:sz w:val="20"/>
        </w:rPr>
        <w:t xml:space="preserve"> </w:t>
      </w:r>
      <w:r>
        <w:rPr>
          <w:rFonts w:ascii="Times New Roman" w:hAnsi="Times New Roman"/>
          <w:b w:val="false"/>
          <w:color w:val="000000"/>
          <w:sz w:val="20"/>
        </w:rPr>
        <w:t>million in regulatory-related milestones and up to $7.5</w:t>
      </w:r>
      <w:r>
        <w:rPr>
          <w:rFonts w:ascii="Times New Roman" w:hAnsi="Times New Roman"/>
          <w:color w:val="000000"/>
          <w:sz w:val="20"/>
        </w:rPr>
        <w:t xml:space="preserve"> </w:t>
      </w:r>
      <w:r>
        <w:rPr>
          <w:rFonts w:ascii="Times New Roman" w:hAnsi="Times New Roman"/>
          <w:b w:val="false"/>
          <w:color w:val="000000"/>
          <w:sz w:val="20"/>
        </w:rPr>
        <w:t>million in sales-related milestones, as well as a low, single-digit royalty on net sales upon commercialization of the product. No</w:t>
      </w:r>
      <w:r>
        <w:rPr>
          <w:rFonts w:ascii="Times New Roman" w:hAnsi="Times New Roman"/>
          <w:color w:val="000000"/>
          <w:sz w:val="20"/>
        </w:rPr>
        <w:t xml:space="preserve"> </w:t>
      </w:r>
      <w:r>
        <w:rPr>
          <w:rFonts w:ascii="Times New Roman" w:hAnsi="Times New Roman"/>
          <w:b w:val="false"/>
          <w:color w:val="000000"/>
          <w:sz w:val="20"/>
        </w:rPr>
        <w:t>additional milestone payments were made or triggered in connection with the CLN7 Agreement during the nine months ended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Note 9—Stock-Based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July 1, 2020, the Company’s board of directors approved the 2020 Equity Incentive Plan (“Existing Plan”) which permits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Existing Plan. The terms of the Existing Plan will continue to govern the terms of outstanding equity awards that were granted prior to approval of the New Plan.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w:t>
      </w:r>
      <w:r>
        <w:rPr>
          <w:rFonts w:ascii="Times New Roman" w:hAnsi="Times New Roman"/>
          <w:color w:val="000000"/>
          <w:sz w:val="20"/>
        </w:rPr>
        <w:t xml:space="preserve"> </w:t>
      </w:r>
      <w:r>
        <w:rPr>
          <w:rFonts w:ascii="Times New Roman" w:hAnsi="Times New Roman"/>
          <w:b w:val="false"/>
          <w:color w:val="000000"/>
          <w:sz w:val="20"/>
        </w:rPr>
        <w:t>On January 1, 2023, the Company’s board of directors increased the number of shares of common stock reserved for issuance under the New Plan by 3,160,375</w:t>
      </w:r>
      <w:r>
        <w:rPr>
          <w:rFonts w:ascii="Times New Roman" w:hAnsi="Times New Roman"/>
          <w:color w:val="000000"/>
          <w:sz w:val="20"/>
        </w:rPr>
        <w:t xml:space="preserve"> </w:t>
      </w:r>
      <w:r>
        <w:rPr>
          <w:rFonts w:ascii="Times New Roman" w:hAnsi="Times New Roman"/>
          <w:b w:val="false"/>
          <w:color w:val="000000"/>
          <w:sz w:val="20"/>
        </w:rPr>
        <w:t>shares.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w:t>
      </w:r>
      <w:r>
        <w:rPr>
          <w:rFonts w:ascii="Times New Roman" w:hAnsi="Times New Roman"/>
          <w:color w:val="000000"/>
          <w:sz w:val="20"/>
        </w:rPr>
        <w:t xml:space="preserve"> </w:t>
      </w:r>
      <w:r>
        <w:rPr>
          <w:rFonts w:ascii="Times New Roman" w:hAnsi="Times New Roman"/>
          <w:b w:val="false"/>
          <w:color w:val="000000"/>
          <w:sz w:val="20"/>
        </w:rPr>
        <w:t>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w:t>
      </w:r>
      <w:r>
        <w:rPr>
          <w:rFonts w:ascii="Times New Roman" w:hAnsi="Times New Roman"/>
          <w:color w:val="000000"/>
          <w:sz w:val="20"/>
        </w:rPr>
        <w:t xml:space="preserve"> </w:t>
      </w:r>
      <w:r>
        <w:rPr>
          <w:rFonts w:ascii="Times New Roman" w:hAnsi="Times New Roman"/>
          <w:b w:val="false"/>
          <w:color w:val="000000"/>
          <w:sz w:val="20"/>
        </w:rPr>
        <w:t>shares of common stock.</w:t>
      </w:r>
      <w:r>
        <w:rPr>
          <w:rFonts w:ascii="Times New Roman" w:hAnsi="Times New Roman"/>
          <w:color w:val="000000"/>
          <w:sz w:val="20"/>
        </w:rPr>
        <w:t xml:space="preserve"> </w:t>
      </w: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shares were added to the ESPP in 2021. On January 1, 2022 and 2023, the Company’s board of directors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increased the number of shares of common stock reserved for issuance under the ESPP by 384,739</w:t>
      </w:r>
      <w:r>
        <w:rPr>
          <w:rFonts w:ascii="Times New Roman" w:hAnsi="Times New Roman"/>
          <w:color w:val="000000"/>
          <w:sz w:val="20"/>
        </w:rPr>
        <w:t xml:space="preserve"> </w:t>
      </w:r>
      <w:r>
        <w:rPr>
          <w:rFonts w:ascii="Times New Roman" w:hAnsi="Times New Roman"/>
          <w:b w:val="false"/>
          <w:color w:val="000000"/>
          <w:sz w:val="20"/>
        </w:rPr>
        <w:t>and 632,075</w:t>
      </w:r>
      <w:r>
        <w:rPr>
          <w:rFonts w:ascii="Times New Roman" w:hAnsi="Times New Roman"/>
          <w:color w:val="000000"/>
          <w:sz w:val="20"/>
        </w:rPr>
        <w:t xml:space="preserve"> </w:t>
      </w:r>
      <w:r>
        <w:rPr>
          <w:rFonts w:ascii="Times New Roman" w:hAnsi="Times New Roman"/>
          <w:b w:val="false"/>
          <w:color w:val="000000"/>
          <w:sz w:val="20"/>
        </w:rPr>
        <w:t>respectively. The Company has issued an aggregate of 141,393</w:t>
      </w:r>
      <w:r>
        <w:rPr>
          <w:rFonts w:ascii="Times New Roman" w:hAnsi="Times New Roman"/>
          <w:color w:val="000000"/>
          <w:sz w:val="20"/>
        </w:rPr>
        <w:t xml:space="preserve"> </w:t>
      </w:r>
      <w:r>
        <w:rPr>
          <w:rFonts w:ascii="Times New Roman" w:hAnsi="Times New Roman"/>
          <w:b w:val="false"/>
          <w:color w:val="000000"/>
          <w:sz w:val="20"/>
        </w:rPr>
        <w:t>shares of common stock under the ESPP as of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number of shares available for grant under the Company’s incentive plans were as follows:</w:t>
      </w:r>
    </w:p>
    <w:p>
      <w:pPr>
        <w:pStyle w:val="TextBody"/>
        <w:bidi w:val="0"/>
        <w:spacing w:before="120" w:after="283"/>
        <w:jc w:val="left"/>
        <w:rPr/>
      </w:pPr>
      <w:r>
        <w:rPr/>
        <w:t> </w:t>
      </w:r>
    </w:p>
    <w:tbl>
      <w:tblPr>
        <w:tblW w:w="7923" w:type="dxa"/>
        <w:jc w:val="left"/>
        <w:tblInd w:w="0" w:type="dxa"/>
        <w:tblLayout w:type="fixed"/>
        <w:tblCellMar>
          <w:top w:w="28" w:type="dxa"/>
          <w:left w:w="28" w:type="dxa"/>
          <w:bottom w:w="28" w:type="dxa"/>
          <w:right w:w="28" w:type="dxa"/>
        </w:tblCellMar>
      </w:tblPr>
      <w:tblGrid>
        <w:gridCol w:w="3481"/>
        <w:gridCol w:w="146"/>
        <w:gridCol w:w="146"/>
        <w:gridCol w:w="841"/>
        <w:gridCol w:w="166"/>
        <w:gridCol w:w="146"/>
        <w:gridCol w:w="146"/>
        <w:gridCol w:w="991"/>
        <w:gridCol w:w="166"/>
        <w:gridCol w:w="146"/>
        <w:gridCol w:w="146"/>
        <w:gridCol w:w="991"/>
        <w:gridCol w:w="4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Existing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Available for grant -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1,067,682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1,067,682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Plan adjustments and amendments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(667,828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3,828,203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3,160,375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(5,241,357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(5,241,357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Forfeitures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2,918,614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3,586,442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Available for grant -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2,573,142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2,573,142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months ended September 30, 2023, 50,000</w:t>
      </w:r>
      <w:r>
        <w:rPr>
          <w:rFonts w:ascii="Times New Roman" w:hAnsi="Times New Roman"/>
          <w:color w:val="000000"/>
          <w:sz w:val="20"/>
        </w:rPr>
        <w:t xml:space="preserve"> </w:t>
      </w:r>
      <w:r>
        <w:rPr>
          <w:rFonts w:ascii="Times New Roman" w:hAnsi="Times New Roman"/>
          <w:b w:val="false"/>
          <w:color w:val="000000"/>
          <w:sz w:val="20"/>
        </w:rPr>
        <w:t>shares of common stock under the New Plan were awarded with a weighted-average grant date fair value per share of $0.50. For the nine months ended September 30, 2023, 2,520,471</w:t>
      </w:r>
      <w:r>
        <w:rPr>
          <w:rFonts w:ascii="Times New Roman" w:hAnsi="Times New Roman"/>
          <w:color w:val="000000"/>
          <w:sz w:val="20"/>
        </w:rPr>
        <w:t xml:space="preserve"> </w:t>
      </w:r>
      <w:r>
        <w:rPr>
          <w:rFonts w:ascii="Times New Roman" w:hAnsi="Times New Roman"/>
          <w:b w:val="false"/>
          <w:color w:val="000000"/>
          <w:sz w:val="20"/>
        </w:rPr>
        <w:t>shares of common stock under the New Plan were awarded with a weighted-average grant date fair value per share of $0.64. The stock options vest over one</w:t>
      </w:r>
      <w:r>
        <w:rPr>
          <w:rFonts w:ascii="Times New Roman" w:hAnsi="Times New Roman"/>
          <w:color w:val="000000"/>
          <w:sz w:val="20"/>
        </w:rPr>
        <w:t xml:space="preserve"> </w:t>
      </w:r>
      <w:r>
        <w:rPr>
          <w:rFonts w:ascii="Times New Roman" w:hAnsi="Times New Roman"/>
          <w:b w:val="false"/>
          <w:color w:val="000000"/>
          <w:sz w:val="20"/>
        </w:rPr>
        <w:t>to four years</w:t>
      </w:r>
      <w:r>
        <w:rPr>
          <w:rFonts w:ascii="Times New Roman" w:hAnsi="Times New Roman"/>
          <w:color w:val="000000"/>
          <w:sz w:val="20"/>
        </w:rPr>
        <w:t xml:space="preserve"> </w:t>
      </w:r>
      <w:r>
        <w:rPr>
          <w:rFonts w:ascii="Times New Roman" w:hAnsi="Times New Roman"/>
          <w:b w:val="false"/>
          <w:color w:val="000000"/>
          <w:sz w:val="20"/>
        </w:rPr>
        <w:t>and have a ten-year</w:t>
      </w:r>
      <w:r>
        <w:rPr>
          <w:rFonts w:ascii="Times New Roman" w:hAnsi="Times New Roman"/>
          <w:color w:val="000000"/>
          <w:sz w:val="20"/>
        </w:rPr>
        <w:t xml:space="preserve"> </w:t>
      </w:r>
      <w:r>
        <w:rPr>
          <w:rFonts w:ascii="Times New Roman" w:hAnsi="Times New Roman"/>
          <w:b w:val="false"/>
          <w:color w:val="000000"/>
          <w:sz w:val="20"/>
        </w:rPr>
        <w:t>contractual term.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weighted-average assumptions were used to estimate the fair value of time-based vesting stock options that were granted during the three and nine months ended September 30, 2023 and 2022:</w:t>
      </w:r>
    </w:p>
    <w:p>
      <w:pPr>
        <w:pStyle w:val="TextBody"/>
        <w:bidi w:val="0"/>
        <w:jc w:val="left"/>
        <w:rPr/>
      </w:pPr>
      <w:r>
        <w:rPr/>
        <w:t> </w:t>
      </w:r>
    </w:p>
    <w:p>
      <w:pPr>
        <w:pStyle w:val="TextBody"/>
        <w:bidi w:val="0"/>
        <w:jc w:val="left"/>
        <w:rPr/>
      </w:pPr>
      <w:r>
        <w:rPr/>
        <w:t> </w:t>
      </w:r>
    </w:p>
    <w:tbl>
      <w:tblPr>
        <w:tblW w:w="8159" w:type="dxa"/>
        <w:jc w:val="left"/>
        <w:tblInd w:w="0" w:type="dxa"/>
        <w:tblLayout w:type="fixed"/>
        <w:tblCellMar>
          <w:top w:w="28" w:type="dxa"/>
          <w:left w:w="28" w:type="dxa"/>
          <w:bottom w:w="28" w:type="dxa"/>
          <w:right w:w="28" w:type="dxa"/>
        </w:tblCellMar>
      </w:tblPr>
      <w:tblGrid>
        <w:gridCol w:w="2131"/>
        <w:gridCol w:w="146"/>
        <w:gridCol w:w="257"/>
        <w:gridCol w:w="822"/>
        <w:gridCol w:w="478"/>
        <w:gridCol w:w="257"/>
        <w:gridCol w:w="257"/>
        <w:gridCol w:w="611"/>
        <w:gridCol w:w="146"/>
        <w:gridCol w:w="146"/>
        <w:gridCol w:w="230"/>
        <w:gridCol w:w="737"/>
        <w:gridCol w:w="428"/>
        <w:gridCol w:w="230"/>
        <w:gridCol w:w="230"/>
        <w:gridCol w:w="737"/>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shd w:fill="FFFFFF" w:val="cle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w:t>
            </w:r>
          </w:p>
        </w:tc>
        <w:tc>
          <w:tcPr>
            <w:tcW w:w="4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478"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color w:val="000000"/>
              </w:rPr>
            </w:pPr>
            <w:r>
              <w:rPr>
                <w:color w:val="000000"/>
              </w:rPr>
              <w:t>—</w:t>
            </w:r>
          </w:p>
        </w:tc>
        <w:tc>
          <w:tcPr>
            <w:tcW w:w="428"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4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428"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4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4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summarizes time-based vesting stock option activity, during the nine months ended September 30, 2023:</w:t>
      </w:r>
      <w:r>
        <w:rPr>
          <w:rFonts w:ascii="Times New Roman" w:hAnsi="Times New Roman"/>
          <w:color w:val="000000"/>
          <w:sz w:val="20"/>
        </w:rPr>
        <w:t xml:space="preserve"> </w:t>
      </w:r>
    </w:p>
    <w:p>
      <w:pPr>
        <w:pStyle w:val="TextBody"/>
        <w:bidi w:val="0"/>
        <w:jc w:val="left"/>
        <w:rPr/>
      </w:pPr>
      <w:r>
        <w:rPr/>
        <w:t> </w:t>
      </w:r>
    </w:p>
    <w:tbl>
      <w:tblPr>
        <w:tblW w:w="9202" w:type="dxa"/>
        <w:jc w:val="left"/>
        <w:tblInd w:w="0" w:type="dxa"/>
        <w:tblLayout w:type="fixed"/>
        <w:tblCellMar>
          <w:top w:w="28" w:type="dxa"/>
          <w:left w:w="28" w:type="dxa"/>
          <w:bottom w:w="28" w:type="dxa"/>
          <w:right w:w="28" w:type="dxa"/>
        </w:tblCellMar>
      </w:tblPr>
      <w:tblGrid>
        <w:gridCol w:w="3586"/>
        <w:gridCol w:w="146"/>
        <w:gridCol w:w="146"/>
        <w:gridCol w:w="991"/>
        <w:gridCol w:w="166"/>
        <w:gridCol w:w="146"/>
        <w:gridCol w:w="214"/>
        <w:gridCol w:w="582"/>
        <w:gridCol w:w="146"/>
        <w:gridCol w:w="146"/>
        <w:gridCol w:w="322"/>
        <w:gridCol w:w="803"/>
        <w:gridCol w:w="146"/>
        <w:gridCol w:w="146"/>
        <w:gridCol w:w="303"/>
        <w:gridCol w:w="822"/>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6,158,078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2,520,471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cancelled or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(2,013,500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Options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5,807,492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exercisable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aggregate intrinsic value in the above table is calculated as the difference between the fair value of the Company’s common stock at the respective reporting date and the exercise price of the stock options. As of September 30, 2023, the total unrecognized compensation related to unvested time-based vesting stock option awards granted was $9.3</w:t>
      </w:r>
      <w:r>
        <w:rPr>
          <w:rFonts w:ascii="Times New Roman" w:hAnsi="Times New Roman"/>
          <w:color w:val="000000"/>
          <w:sz w:val="20"/>
        </w:rPr>
        <w:t xml:space="preserve"> </w:t>
      </w:r>
      <w:r>
        <w:rPr>
          <w:rFonts w:ascii="Times New Roman" w:hAnsi="Times New Roman"/>
          <w:b w:val="false"/>
          <w:color w:val="000000"/>
          <w:sz w:val="20"/>
        </w:rPr>
        <w:t>million, which the Company expects to recognize over a weighted-average period of approximately</w:t>
      </w:r>
      <w:r>
        <w:rPr>
          <w:rFonts w:ascii="Times New Roman" w:hAnsi="Times New Roman"/>
          <w:color w:val="000000"/>
          <w:sz w:val="20"/>
        </w:rPr>
        <w:t xml:space="preserve"> </w:t>
      </w:r>
      <w:r>
        <w:rPr>
          <w:rFonts w:ascii="Times New Roman" w:hAnsi="Times New Roman"/>
          <w:b w:val="false"/>
          <w:color w:val="000000"/>
          <w:sz w:val="20"/>
        </w:rPr>
        <w:t>2.1</w:t>
      </w:r>
      <w:r>
        <w:rPr>
          <w:rFonts w:ascii="Times New Roman" w:hAnsi="Times New Roman"/>
          <w:color w:val="000000"/>
          <w:sz w:val="20"/>
        </w:rPr>
        <w:t xml:space="preserve"> </w:t>
      </w:r>
      <w:r>
        <w:rPr>
          <w:rFonts w:ascii="Times New Roman" w:hAnsi="Times New Roman"/>
          <w:b w:val="false"/>
          <w:color w:val="000000"/>
          <w:sz w:val="20"/>
        </w:rPr>
        <w:t>years. No</w:t>
      </w:r>
      <w:r>
        <w:rPr>
          <w:rFonts w:ascii="Times New Roman" w:hAnsi="Times New Roman"/>
          <w:color w:val="000000"/>
          <w:sz w:val="20"/>
        </w:rPr>
        <w:t xml:space="preserve"> </w:t>
      </w:r>
      <w:r>
        <w:rPr>
          <w:rFonts w:ascii="Times New Roman" w:hAnsi="Times New Roman"/>
          <w:b w:val="false"/>
          <w:color w:val="000000"/>
          <w:sz w:val="20"/>
        </w:rPr>
        <w:t>stock options were exercised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Stock Options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2023, the Company issued options to purchase 70,235</w:t>
      </w:r>
      <w:r>
        <w:rPr>
          <w:rFonts w:ascii="Times New Roman" w:hAnsi="Times New Roman"/>
          <w:color w:val="000000"/>
          <w:sz w:val="20"/>
        </w:rPr>
        <w:t xml:space="preserve"> </w:t>
      </w:r>
      <w:r>
        <w:rPr>
          <w:rFonts w:ascii="Times New Roman" w:hAnsi="Times New Roman"/>
          <w:b w:val="false"/>
          <w:color w:val="000000"/>
          <w:sz w:val="20"/>
        </w:rPr>
        <w:t>shares of common stock to employees under the New Plan that contain performance-based vesting conditions, subject to continued employment through each anniversary and achievement of the performance conditions. The grant date fair value of these awards was not material. As of September 30, 2023, 58,346</w:t>
      </w:r>
      <w:r>
        <w:rPr>
          <w:rFonts w:ascii="Times New Roman" w:hAnsi="Times New Roman"/>
          <w:color w:val="000000"/>
          <w:sz w:val="20"/>
        </w:rPr>
        <w:t xml:space="preserve"> </w:t>
      </w:r>
      <w:r>
        <w:rPr>
          <w:rFonts w:ascii="Times New Roman" w:hAnsi="Times New Roman"/>
          <w:b w:val="false"/>
          <w:color w:val="000000"/>
          <w:sz w:val="20"/>
        </w:rPr>
        <w:t>of the shares subject to the performance-based options were outstanding, all of which vested during the period. No</w:t>
      </w:r>
      <w:r>
        <w:rPr>
          <w:rFonts w:ascii="Times New Roman" w:hAnsi="Times New Roman"/>
          <w:color w:val="000000"/>
          <w:sz w:val="20"/>
        </w:rPr>
        <w:t xml:space="preserve"> </w:t>
      </w:r>
      <w:r>
        <w:rPr>
          <w:rFonts w:ascii="Times New Roman" w:hAnsi="Times New Roman"/>
          <w:b w:val="false"/>
          <w:color w:val="000000"/>
          <w:sz w:val="20"/>
        </w:rPr>
        <w:t>stock options were exercised during the period.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May 2023, the Company issued options to purchase 2,166,653</w:t>
      </w:r>
      <w:r>
        <w:rPr>
          <w:rFonts w:ascii="Times New Roman" w:hAnsi="Times New Roman"/>
          <w:color w:val="000000"/>
          <w:sz w:val="20"/>
        </w:rPr>
        <w:t xml:space="preserve"> </w:t>
      </w:r>
      <w:r>
        <w:rPr>
          <w:rFonts w:ascii="Times New Roman" w:hAnsi="Times New Roman"/>
          <w:b w:val="false"/>
          <w:color w:val="000000"/>
          <w:sz w:val="20"/>
        </w:rPr>
        <w:t>shares of common stock to employees under the New Plan that contain both service and performance-based vesting conditions with a weighted average grant date fair value per share of</w:t>
      </w:r>
      <w:r>
        <w:rPr>
          <w:rFonts w:ascii="Times New Roman" w:hAnsi="Times New Roman"/>
          <w:color w:val="000000"/>
          <w:sz w:val="20"/>
        </w:rPr>
        <w:t xml:space="preserve"> </w:t>
      </w:r>
      <w:r>
        <w:rPr>
          <w:rFonts w:ascii="Times New Roman" w:hAnsi="Times New Roman"/>
          <w:b w:val="false"/>
          <w:color w:val="000000"/>
          <w:sz w:val="20"/>
        </w:rPr>
        <w:t>$0.50. The stock options have a 10-year</w:t>
      </w:r>
      <w:r>
        <w:rPr>
          <w:rFonts w:ascii="Times New Roman" w:hAnsi="Times New Roman"/>
          <w:color w:val="000000"/>
          <w:sz w:val="20"/>
        </w:rPr>
        <w:t xml:space="preserve"> </w:t>
      </w:r>
      <w:r>
        <w:rPr>
          <w:rFonts w:ascii="Times New Roman" w:hAnsi="Times New Roman"/>
          <w:b w:val="false"/>
          <w:color w:val="000000"/>
          <w:sz w:val="20"/>
        </w:rPr>
        <w:t>contractual term and vest over 3.6</w:t>
      </w:r>
      <w:r>
        <w:rPr>
          <w:rFonts w:ascii="Times New Roman" w:hAnsi="Times New Roman"/>
          <w:color w:val="000000"/>
          <w:sz w:val="20"/>
        </w:rPr>
        <w:t xml:space="preserve"> </w:t>
      </w:r>
      <w:r>
        <w:rPr>
          <w:rFonts w:ascii="Times New Roman" w:hAnsi="Times New Roman"/>
          <w:b w:val="false"/>
          <w:color w:val="000000"/>
          <w:sz w:val="20"/>
        </w:rPr>
        <w:t>years if a combination of clinical, regulatory and financing performance conditions are achieved. As of September 30, 2023, no</w:t>
      </w:r>
      <w:r>
        <w:rPr>
          <w:rFonts w:ascii="Times New Roman" w:hAnsi="Times New Roman"/>
          <w:color w:val="000000"/>
          <w:sz w:val="20"/>
        </w:rPr>
        <w:t xml:space="preserve"> </w:t>
      </w:r>
      <w:r>
        <w:rPr>
          <w:rFonts w:ascii="Times New Roman" w:hAnsi="Times New Roman"/>
          <w:b w:val="false"/>
          <w:color w:val="000000"/>
          <w:sz w:val="20"/>
        </w:rPr>
        <w:t>compensation expense was recorded related to the awards as achievement of the performance conditions was not considered probable. The following assumptions were used to estimate the fair value of performance and service-based stock options that were granted during the nine months ended September 30, 2023:</w:t>
      </w:r>
    </w:p>
    <w:p>
      <w:pPr>
        <w:pStyle w:val="TextBody"/>
        <w:bidi w:val="0"/>
        <w:spacing w:before="120" w:after="283"/>
        <w:jc w:val="left"/>
        <w:rPr/>
      </w:pPr>
      <w:r>
        <w:rPr/>
        <w:t> </w:t>
      </w:r>
    </w:p>
    <w:tbl>
      <w:tblPr>
        <w:tblW w:w="6103" w:type="dxa"/>
        <w:jc w:val="left"/>
        <w:tblInd w:w="0" w:type="dxa"/>
        <w:tblLayout w:type="fixed"/>
        <w:tblCellMar>
          <w:top w:w="28" w:type="dxa"/>
          <w:left w:w="28" w:type="dxa"/>
          <w:bottom w:w="28" w:type="dxa"/>
          <w:right w:w="28" w:type="dxa"/>
        </w:tblCellMar>
      </w:tblPr>
      <w:tblGrid>
        <w:gridCol w:w="2131"/>
        <w:gridCol w:w="146"/>
        <w:gridCol w:w="834"/>
        <w:gridCol w:w="267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10"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left"/>
              <w:rPr/>
            </w:pPr>
            <w:r>
              <w:rPr/>
              <w:t> </w:t>
            </w:r>
          </w:p>
        </w:tc>
        <w:tc>
          <w:tcPr>
            <w:tcW w:w="2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267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left"/>
              <w:rPr/>
            </w:pPr>
            <w:r>
              <w:rPr/>
              <w:t> </w:t>
            </w:r>
          </w:p>
        </w:tc>
        <w:tc>
          <w:tcPr>
            <w:tcW w:w="2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2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Market-based Stock Options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2023, the Company issued options to purchase 70,233</w:t>
      </w:r>
      <w:r>
        <w:rPr>
          <w:rFonts w:ascii="Times New Roman" w:hAnsi="Times New Roman"/>
          <w:color w:val="000000"/>
          <w:sz w:val="20"/>
        </w:rPr>
        <w:t xml:space="preserve"> </w:t>
      </w:r>
      <w:r>
        <w:rPr>
          <w:rFonts w:ascii="Times New Roman" w:hAnsi="Times New Roman"/>
          <w:b w:val="false"/>
          <w:color w:val="000000"/>
          <w:sz w:val="20"/>
        </w:rPr>
        <w:t>shares of common stock to employees under the New Plan that contain a market-based vesting condition, subject to continued employment through each anniversary and achievement of the market condition. The grant date fair value of the stock options that contain market-based vesting conditions was not material. As of September 30, 2023, 58,344</w:t>
      </w:r>
      <w:r>
        <w:rPr>
          <w:rFonts w:ascii="Times New Roman" w:hAnsi="Times New Roman"/>
          <w:color w:val="000000"/>
          <w:sz w:val="20"/>
        </w:rPr>
        <w:t xml:space="preserve"> </w:t>
      </w:r>
      <w:r>
        <w:rPr>
          <w:rFonts w:ascii="Times New Roman" w:hAnsi="Times New Roman"/>
          <w:b w:val="false"/>
          <w:color w:val="000000"/>
          <w:sz w:val="20"/>
        </w:rPr>
        <w:t>of the shares subject to the stock options that contain a market-based vesting condition were outstanding, and no</w:t>
      </w:r>
      <w:r>
        <w:rPr>
          <w:rFonts w:ascii="Times New Roman" w:hAnsi="Times New Roman"/>
          <w:color w:val="000000"/>
          <w:sz w:val="20"/>
        </w:rPr>
        <w:t xml:space="preserve"> </w:t>
      </w:r>
      <w:r>
        <w:rPr>
          <w:rFonts w:ascii="Times New Roman" w:hAnsi="Times New Roman"/>
          <w:b w:val="false"/>
          <w:color w:val="000000"/>
          <w:sz w:val="20"/>
        </w:rPr>
        <w:t>options vested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2023, the Company issued 81,236</w:t>
      </w:r>
      <w:r>
        <w:rPr>
          <w:rFonts w:ascii="Times New Roman" w:hAnsi="Times New Roman"/>
          <w:color w:val="000000"/>
          <w:sz w:val="20"/>
        </w:rPr>
        <w:t xml:space="preserve"> </w:t>
      </w:r>
      <w:r>
        <w:rPr>
          <w:rFonts w:ascii="Times New Roman" w:hAnsi="Times New Roman"/>
          <w:b w:val="false"/>
          <w:color w:val="000000"/>
          <w:sz w:val="20"/>
        </w:rPr>
        <w:t>RSUs to employees under the New Plan. The RSUs are subject to a service-based vesting condition. The service-based RSUs vest in equal annual installments over a four-year</w:t>
      </w:r>
      <w:r>
        <w:rPr>
          <w:rFonts w:ascii="Times New Roman" w:hAnsi="Times New Roman"/>
          <w:color w:val="000000"/>
          <w:sz w:val="20"/>
        </w:rPr>
        <w:t xml:space="preserve"> </w:t>
      </w:r>
      <w:r>
        <w:rPr>
          <w:rFonts w:ascii="Times New Roman" w:hAnsi="Times New Roman"/>
          <w:b w:val="false"/>
          <w:color w:val="000000"/>
          <w:sz w:val="20"/>
        </w:rPr>
        <w:t>period. The Company at any time may accelerate the vesting of the RSUs. Such shares are not accounted for as outstanding until they vest.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March 2023, the Company issued 251,296</w:t>
      </w:r>
      <w:r>
        <w:rPr>
          <w:rFonts w:ascii="Times New Roman" w:hAnsi="Times New Roman"/>
          <w:color w:val="000000"/>
          <w:sz w:val="20"/>
        </w:rPr>
        <w:t xml:space="preserve"> </w:t>
      </w:r>
      <w:r>
        <w:rPr>
          <w:rFonts w:ascii="Times New Roman" w:hAnsi="Times New Roman"/>
          <w:b w:val="false"/>
          <w:color w:val="000000"/>
          <w:sz w:val="20"/>
        </w:rPr>
        <w:t>RSUs to the former President and Chief Executive officer of the Company in connection with his resignation from the Company and Board of Directors. The RSUs vested immediately.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RSU activity for the nine months ended September 30, 2023 was as follows:</w:t>
      </w:r>
      <w:r>
        <w:rPr>
          <w:rFonts w:ascii="Times New Roman" w:hAnsi="Times New Roman"/>
          <w:color w:val="000000"/>
          <w:sz w:val="20"/>
        </w:rPr>
        <w:t xml:space="preserve"> </w:t>
      </w:r>
    </w:p>
    <w:p>
      <w:pPr>
        <w:pStyle w:val="TextBody"/>
        <w:bidi w:val="0"/>
        <w:jc w:val="left"/>
        <w:rPr/>
      </w:pPr>
      <w:r>
        <w:rPr/>
        <w:t> </w:t>
      </w:r>
    </w:p>
    <w:tbl>
      <w:tblPr>
        <w:tblW w:w="5722" w:type="dxa"/>
        <w:jc w:val="left"/>
        <w:tblInd w:w="0" w:type="dxa"/>
        <w:tblLayout w:type="fixed"/>
        <w:tblCellMar>
          <w:top w:w="28" w:type="dxa"/>
          <w:left w:w="28" w:type="dxa"/>
          <w:bottom w:w="28" w:type="dxa"/>
          <w:right w:w="28" w:type="dxa"/>
        </w:tblCellMar>
      </w:tblPr>
      <w:tblGrid>
        <w:gridCol w:w="2851"/>
        <w:gridCol w:w="146"/>
        <w:gridCol w:w="146"/>
        <w:gridCol w:w="931"/>
        <w:gridCol w:w="166"/>
        <w:gridCol w:w="146"/>
        <w:gridCol w:w="294"/>
        <w:gridCol w:w="651"/>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1,257,844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(556,989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total unrecognized compensation related to unvested RSUs granted was $2.0</w:t>
      </w:r>
      <w:r>
        <w:rPr>
          <w:rFonts w:ascii="Times New Roman" w:hAnsi="Times New Roman"/>
          <w:color w:val="000000"/>
          <w:sz w:val="20"/>
        </w:rPr>
        <w:t xml:space="preserve"> </w:t>
      </w:r>
      <w:r>
        <w:rPr>
          <w:rFonts w:ascii="Times New Roman" w:hAnsi="Times New Roman"/>
          <w:b w:val="false"/>
          <w:color w:val="000000"/>
          <w:sz w:val="20"/>
        </w:rPr>
        <w:t>million which is expected to be amortized on a straight-line basis over a weighted-average period of approximately 0.9</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4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Performance and Market-based Restricted Stock Units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2023, the Company issued 81,233</w:t>
      </w:r>
      <w:r>
        <w:rPr>
          <w:rFonts w:ascii="Times New Roman" w:hAnsi="Times New Roman"/>
          <w:color w:val="000000"/>
          <w:sz w:val="20"/>
        </w:rPr>
        <w:t xml:space="preserve"> </w:t>
      </w:r>
      <w:r>
        <w:rPr>
          <w:rFonts w:ascii="Times New Roman" w:hAnsi="Times New Roman"/>
          <w:b w:val="false"/>
          <w:color w:val="000000"/>
          <w:sz w:val="20"/>
        </w:rPr>
        <w:t>RSUs to employees under the New Plan that contain a combination of performance and market-based vesting conditions, subject to continued employment through each anniversary and achievement of market and performance conditions. The grant date fair value of the RSUs that contain performance and market-based vesting conditions was not material. As of September 30, 2023, 34,673</w:t>
      </w:r>
      <w:r>
        <w:rPr>
          <w:rFonts w:ascii="Times New Roman" w:hAnsi="Times New Roman"/>
          <w:color w:val="000000"/>
          <w:sz w:val="20"/>
        </w:rPr>
        <w:t xml:space="preserve"> </w:t>
      </w:r>
      <w:r>
        <w:rPr>
          <w:rFonts w:ascii="Times New Roman" w:hAnsi="Times New Roman"/>
          <w:b w:val="false"/>
          <w:color w:val="000000"/>
          <w:sz w:val="20"/>
        </w:rPr>
        <w:t>of the RSUs were unvested and still outstanding and 34,671</w:t>
      </w:r>
      <w:r>
        <w:rPr>
          <w:rFonts w:ascii="Times New Roman" w:hAnsi="Times New Roman"/>
          <w:color w:val="000000"/>
          <w:sz w:val="20"/>
        </w:rPr>
        <w:t xml:space="preserve"> </w:t>
      </w:r>
      <w:r>
        <w:rPr>
          <w:rFonts w:ascii="Times New Roman" w:hAnsi="Times New Roman"/>
          <w:b w:val="false"/>
          <w:color w:val="000000"/>
          <w:sz w:val="20"/>
        </w:rPr>
        <w:t>RSUs vested and were settled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former President and Chief Executive Officer, was awarded 769,058</w:t>
      </w:r>
      <w:r>
        <w:rPr>
          <w:rFonts w:ascii="Times New Roman" w:hAnsi="Times New Roman"/>
          <w:color w:val="000000"/>
          <w:sz w:val="20"/>
        </w:rPr>
        <w:t xml:space="preserve"> </w:t>
      </w:r>
      <w:r>
        <w:rPr>
          <w:rFonts w:ascii="Times New Roman" w:hAnsi="Times New Roman"/>
          <w:b w:val="false"/>
          <w:color w:val="000000"/>
          <w:sz w:val="20"/>
        </w:rPr>
        <w:t>RSAs under the Existing Plan on July 1, 2020, which vested over a three-year</w:t>
      </w:r>
      <w:r>
        <w:rPr>
          <w:rFonts w:ascii="Times New Roman" w:hAnsi="Times New Roman"/>
          <w:color w:val="000000"/>
          <w:sz w:val="20"/>
        </w:rPr>
        <w:t xml:space="preserve"> </w:t>
      </w:r>
      <w:r>
        <w:rPr>
          <w:rFonts w:ascii="Times New Roman" w:hAnsi="Times New Roman"/>
          <w:b w:val="false"/>
          <w:color w:val="000000"/>
          <w:sz w:val="20"/>
        </w:rPr>
        <w:t>term, subject to continuous employment. The fair value of these RSAs at the grant date of July 1, 2020, was $5.28</w:t>
      </w:r>
      <w:r>
        <w:rPr>
          <w:rFonts w:ascii="Times New Roman" w:hAnsi="Times New Roman"/>
          <w:color w:val="000000"/>
          <w:sz w:val="20"/>
        </w:rPr>
        <w:t xml:space="preserve"> </w:t>
      </w:r>
      <w:r>
        <w:rPr>
          <w:rFonts w:ascii="Times New Roman" w:hAnsi="Times New Roman"/>
          <w:b w:val="false"/>
          <w:color w:val="000000"/>
          <w:sz w:val="20"/>
        </w:rPr>
        <w:t>per share. On March 2, 2023, the Company’s former President and Chief Executive Officer resigned from the Board of Directors, therefore cancelling any remaining unvested tranches.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RSA activity for the nine months ended September 30, 2023 was as follows:</w:t>
      </w:r>
      <w:r>
        <w:rPr>
          <w:rFonts w:ascii="Times New Roman" w:hAnsi="Times New Roman"/>
          <w:color w:val="000000"/>
          <w:sz w:val="20"/>
        </w:rPr>
        <w:t xml:space="preserve"> </w:t>
      </w:r>
    </w:p>
    <w:tbl>
      <w:tblPr>
        <w:tblW w:w="5527" w:type="dxa"/>
        <w:jc w:val="left"/>
        <w:tblInd w:w="0" w:type="dxa"/>
        <w:tblLayout w:type="fixed"/>
        <w:tblCellMar>
          <w:top w:w="28" w:type="dxa"/>
          <w:left w:w="28" w:type="dxa"/>
          <w:bottom w:w="28" w:type="dxa"/>
          <w:right w:w="28" w:type="dxa"/>
        </w:tblCellMar>
      </w:tblPr>
      <w:tblGrid>
        <w:gridCol w:w="2851"/>
        <w:gridCol w:w="146"/>
        <w:gridCol w:w="146"/>
        <w:gridCol w:w="736"/>
        <w:gridCol w:w="166"/>
        <w:gridCol w:w="146"/>
        <w:gridCol w:w="294"/>
        <w:gridCol w:w="651"/>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stock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w:t>
      </w:r>
      <w:r>
        <w:rPr>
          <w:rFonts w:ascii="Times New Roman" w:hAnsi="Times New Roman"/>
          <w:color w:val="000000"/>
          <w:sz w:val="20"/>
        </w:rPr>
        <w:t xml:space="preserve"> </w:t>
      </w:r>
      <w:r>
        <w:rPr>
          <w:rFonts w:ascii="Times New Roman" w:hAnsi="Times New Roman"/>
          <w:b w:val="false"/>
          <w:color w:val="000000"/>
          <w:sz w:val="20"/>
        </w:rPr>
        <w:t>of shares of Taysha common stock during any offering period. During the nine months ended September 30, 2023 and 2022, stock-based compensation expense related to the ESPP was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the total stock-based compensation expense for the stock options, ESPP, RSAs and RSUs recorded in the condensed consolidated statements of operations for the three and nine months ended September 30, 2023 and 2022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2"/>
        <w:gridCol w:w="346"/>
        <w:gridCol w:w="360"/>
        <w:gridCol w:w="977"/>
        <w:gridCol w:w="249"/>
        <w:gridCol w:w="249"/>
        <w:gridCol w:w="360"/>
        <w:gridCol w:w="977"/>
        <w:gridCol w:w="146"/>
        <w:gridCol w:w="146"/>
        <w:gridCol w:w="333"/>
        <w:gridCol w:w="902"/>
        <w:gridCol w:w="230"/>
        <w:gridCol w:w="230"/>
        <w:gridCol w:w="333"/>
        <w:gridCol w:w="1068"/>
        <w:gridCol w:w="397"/>
      </w:tblGrid>
      <w:tr>
        <w:trPr/>
        <w:tc>
          <w:tcPr>
            <w:tcW w:w="29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90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317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97" w:type="dxa"/>
            <w:tcBorders/>
            <w:shd w:fill="FFFFFF" w:val="clear"/>
            <w:vAlign w:val="center"/>
          </w:tcPr>
          <w:p>
            <w:pPr>
              <w:pStyle w:val="TableContents"/>
              <w:bidi w:val="0"/>
              <w:spacing w:before="0" w:after="283"/>
              <w:jc w:val="center"/>
              <w:rPr/>
            </w:pPr>
            <w:r>
              <w:rPr/>
              <w:t> </w:t>
            </w:r>
          </w:p>
        </w:tc>
      </w:tr>
      <w:tr>
        <w:trPr/>
        <w:tc>
          <w:tcPr>
            <w:tcW w:w="290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center"/>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 expense</w:t>
            </w:r>
          </w:p>
        </w:tc>
        <w:tc>
          <w:tcPr>
            <w:tcW w:w="3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w:t>
            </w:r>
          </w:p>
        </w:tc>
        <w:tc>
          <w:tcPr>
            <w:tcW w:w="249"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5,894</w:t>
            </w:r>
          </w:p>
        </w:tc>
        <w:tc>
          <w:tcPr>
            <w:tcW w:w="397" w:type="dxa"/>
            <w:tcBorders/>
            <w:shd w:fill="CFF0FC" w:val="clear"/>
            <w:vAlign w:val="center"/>
          </w:tcPr>
          <w:p>
            <w:pPr>
              <w:pStyle w:val="TableContents"/>
              <w:bidi w:val="0"/>
              <w:spacing w:before="0" w:after="283"/>
              <w:jc w:val="left"/>
              <w:rPr/>
            </w:pPr>
            <w:r>
              <w:rPr/>
              <w:t> </w:t>
            </w:r>
          </w:p>
        </w:tc>
      </w:tr>
      <w:tr>
        <w:trPr/>
        <w:tc>
          <w:tcPr>
            <w:tcW w:w="29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w:t>
            </w:r>
          </w:p>
        </w:tc>
        <w:tc>
          <w:tcPr>
            <w:tcW w:w="346"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4,413</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2,040</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5,937</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13,940</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10—Warrants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w:t>
      </w:r>
      <w:r>
        <w:rPr>
          <w:rFonts w:ascii="Times New Roman" w:hAnsi="Times New Roman"/>
          <w:color w:val="000000"/>
          <w:sz w:val="20"/>
        </w:rPr>
        <w:t xml:space="preserve"> </w:t>
      </w:r>
      <w:r>
        <w:rPr>
          <w:rFonts w:ascii="Times New Roman" w:hAnsi="Times New Roman"/>
          <w:b w:val="false"/>
          <w:color w:val="000000"/>
          <w:sz w:val="20"/>
        </w:rPr>
        <w:t>shares (the “PIPE Shares”) of the Company’s common stock, and (ii) with respect to certain Purchasers, pre-funded warrants to purchase 44,250,978</w:t>
      </w:r>
      <w:r>
        <w:rPr>
          <w:rFonts w:ascii="Times New Roman" w:hAnsi="Times New Roman"/>
          <w:color w:val="000000"/>
          <w:sz w:val="20"/>
        </w:rPr>
        <w:t xml:space="preserve"> </w:t>
      </w:r>
      <w:r>
        <w:rPr>
          <w:rFonts w:ascii="Times New Roman" w:hAnsi="Times New Roman"/>
          <w:b w:val="false"/>
          <w:color w:val="000000"/>
          <w:sz w:val="20"/>
        </w:rPr>
        <w:t>shares of the Company’s common stock (the “Pre-Funded Warrants”) in lieu of shares of the Company’s common stock. The purchase price per share of common stock was $0.90</w:t>
      </w:r>
      <w:r>
        <w:rPr>
          <w:rFonts w:ascii="Times New Roman" w:hAnsi="Times New Roman"/>
          <w:color w:val="000000"/>
          <w:sz w:val="20"/>
        </w:rPr>
        <w:t xml:space="preserve"> </w:t>
      </w:r>
      <w:r>
        <w:rPr>
          <w:rFonts w:ascii="Times New Roman" w:hAnsi="Times New Roman"/>
          <w:b w:val="false"/>
          <w:color w:val="000000"/>
          <w:sz w:val="20"/>
        </w:rPr>
        <w:t>per share (the “Purchase Price”), and the purchase price for the Pre-Funded Warrants was the Purchase Price minus $0.001</w:t>
      </w:r>
      <w:r>
        <w:rPr>
          <w:rFonts w:ascii="Times New Roman" w:hAnsi="Times New Roman"/>
          <w:color w:val="000000"/>
          <w:sz w:val="20"/>
        </w:rPr>
        <w:t xml:space="preserve"> </w:t>
      </w:r>
      <w:r>
        <w:rPr>
          <w:rFonts w:ascii="Times New Roman" w:hAnsi="Times New Roman"/>
          <w:b w:val="false"/>
          <w:color w:val="000000"/>
          <w:sz w:val="20"/>
        </w:rPr>
        <w:t>per Pre-Funded Warrant.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Pre-Funded Warrants have a per share exercise price of $0.001, subject to proportional adjustments in the event of stock splits or combinations or similar events. The Pre-Funded Warrants will not expire until exercised in full. The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w:t>
      </w:r>
      <w:r>
        <w:rPr>
          <w:rFonts w:ascii="Times New Roman" w:hAnsi="Times New Roman"/>
          <w:color w:val="000000"/>
          <w:sz w:val="20"/>
        </w:rPr>
        <w:t xml:space="preserve"> </w:t>
      </w:r>
      <w:r>
        <w:rPr>
          <w:rFonts w:ascii="Times New Roman" w:hAnsi="Times New Roman"/>
          <w:b w:val="false"/>
          <w:color w:val="000000"/>
          <w:sz w:val="20"/>
        </w:rPr>
        <w:t>days’ notice to the Company, but not to any percentage in excess of 19.99%. The Pre-Funded Warrants will only be exercisable upon receipt of stockholder approval of an increase in the authorized shares of the Company’s common stock (the “Stockholder Approval”), which the Company will first seek to obtain at a special meeting of stockholders scheduled to be held on November 15, 2023. If the Company does not obtain Stockholder Approval by December 31, 2023, it is required to pay liquidated damages of 2.0% of the aggregate purchase price paid by each holder of Pre-Funded Warrants. For any subsequent failure to obtain Stockholder Approval, the Company is required to pay an additional 2.0% as liquidated damages.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closing of the August 2023 Private Placement occurred on August 16, 2023 (the “Closing”). The total gross proceeds to the Company at the Closing were approximately $150.0</w:t>
      </w:r>
      <w:r>
        <w:rPr>
          <w:rFonts w:ascii="Times New Roman" w:hAnsi="Times New Roman"/>
          <w:color w:val="000000"/>
          <w:sz w:val="20"/>
        </w:rPr>
        <w:t xml:space="preserve"> </w:t>
      </w:r>
      <w:r>
        <w:rPr>
          <w:rFonts w:ascii="Times New Roman" w:hAnsi="Times New Roman"/>
          <w:b w:val="false"/>
          <w:color w:val="000000"/>
          <w:sz w:val="20"/>
        </w:rPr>
        <w:t>million, and after deducting placement agent commissions and offering expenses payable by the Company, net proceeds were approximately $140.3</w:t>
      </w:r>
      <w:r>
        <w:rPr>
          <w:rFonts w:ascii="Times New Roman" w:hAnsi="Times New Roman"/>
          <w:color w:val="000000"/>
          <w:sz w:val="20"/>
        </w:rPr>
        <w:t xml:space="preserve"> </w:t>
      </w:r>
      <w:r>
        <w:rPr>
          <w:rFonts w:ascii="Times New Roman" w:hAnsi="Times New Roman"/>
          <w:b w:val="false"/>
          <w:color w:val="000000"/>
          <w:sz w:val="20"/>
        </w:rPr>
        <w:t>million. The Company used the with-and-without method to allocate the total gross proceeds by first allocating the portion of the proceeds equal to the fair value of the Pre-Funded Warrants on the Closing date with the remaining proceeds allocated to the PIPE Shares on a residual basis.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concluded that the Pre-Funded Warrants do not meet the criteria for equity classification under the guidance of ASC 815 as the Company does not have sufficient authorized and unissued shares to satisfy the warrants if exercised. The Company recorded the Pre-Funded Warrants as liabilities at their fair value. This liability is subject to remeasurement at each balance sheet date and any change in fair value is recognized in the Company’s condensed consolidated statement of operations. The Company incurred $9.7</w:t>
      </w:r>
      <w:r>
        <w:rPr>
          <w:rFonts w:ascii="Times New Roman" w:hAnsi="Times New Roman"/>
          <w:color w:val="000000"/>
          <w:sz w:val="20"/>
        </w:rPr>
        <w:t xml:space="preserve"> </w:t>
      </w:r>
      <w:r>
        <w:rPr>
          <w:rFonts w:ascii="Times New Roman" w:hAnsi="Times New Roman"/>
          <w:b w:val="false"/>
          <w:color w:val="000000"/>
          <w:sz w:val="20"/>
        </w:rPr>
        <w:t>million of placement agent commissions and other issuance costs in connection with the August 2023 Private Placement. The placement agent commissions and other issuance costs were allocated between the PIPE Shares and the Pre-Funded Warrants on a systematic basis. The Company allocated $7.1</w:t>
      </w:r>
      <w:r>
        <w:rPr>
          <w:rFonts w:ascii="Times New Roman" w:hAnsi="Times New Roman"/>
          <w:color w:val="000000"/>
          <w:sz w:val="20"/>
        </w:rPr>
        <w:t xml:space="preserve"> </w:t>
      </w:r>
      <w:r>
        <w:rPr>
          <w:rFonts w:ascii="Times New Roman" w:hAnsi="Times New Roman"/>
          <w:b w:val="false"/>
          <w:color w:val="000000"/>
          <w:sz w:val="20"/>
        </w:rPr>
        <w:t>million to the PIPE Shares which was recorded as a deduction to Additional paid-in capital. The remaining $2.6</w:t>
      </w:r>
      <w:r>
        <w:rPr>
          <w:rFonts w:ascii="Times New Roman" w:hAnsi="Times New Roman"/>
          <w:color w:val="000000"/>
          <w:sz w:val="20"/>
        </w:rPr>
        <w:t xml:space="preserve"> </w:t>
      </w:r>
      <w:r>
        <w:rPr>
          <w:rFonts w:ascii="Times New Roman" w:hAnsi="Times New Roman"/>
          <w:b w:val="false"/>
          <w:color w:val="000000"/>
          <w:sz w:val="20"/>
        </w:rPr>
        <w:t>million allocated to the Pre-Funded Warrants were recorded within general and administrative expense in the consolidated statements of operations for the nine months ended September 30, 2023. The issuance costs allocated to the Pre-Funded Warrants have been added back to net loss when deriving cash flows used in operations, and have been classified as a financing cash outflow in the condensed consolidated statement of cash flows for the nine months ended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measured the fair value of the PIPE Shares and Pre-Funded Warrants based on the $0.90</w:t>
      </w:r>
      <w:r>
        <w:rPr>
          <w:rFonts w:ascii="Times New Roman" w:hAnsi="Times New Roman"/>
          <w:color w:val="000000"/>
          <w:sz w:val="20"/>
        </w:rPr>
        <w:t xml:space="preserve"> </w:t>
      </w:r>
      <w:r>
        <w:rPr>
          <w:rFonts w:ascii="Times New Roman" w:hAnsi="Times New Roman"/>
          <w:b w:val="false"/>
          <w:color w:val="000000"/>
          <w:sz w:val="20"/>
        </w:rPr>
        <w:t>per share Purchase Price. The Company used the relative fair value method to allocate the net proceeds received from the sales of the PIPE Shares and the Pre-Funded Warrants on the condensed consolidated balance sheet as follows (in thousands):</w:t>
      </w:r>
    </w:p>
    <w:p>
      <w:pPr>
        <w:pStyle w:val="TextBody"/>
        <w:bidi w:val="0"/>
        <w:spacing w:before="120" w:after="283"/>
        <w:jc w:val="left"/>
        <w:rPr/>
      </w:pPr>
      <w:r>
        <w:rPr/>
        <w:t> </w:t>
      </w:r>
    </w:p>
    <w:tbl>
      <w:tblPr>
        <w:tblW w:w="4333" w:type="dxa"/>
        <w:jc w:val="left"/>
        <w:tblInd w:w="0" w:type="dxa"/>
        <w:tblLayout w:type="fixed"/>
        <w:tblCellMar>
          <w:top w:w="28" w:type="dxa"/>
          <w:left w:w="28" w:type="dxa"/>
          <w:bottom w:w="28" w:type="dxa"/>
          <w:right w:w="28" w:type="dxa"/>
        </w:tblCellMar>
      </w:tblPr>
      <w:tblGrid>
        <w:gridCol w:w="1816"/>
        <w:gridCol w:w="146"/>
        <w:gridCol w:w="421"/>
        <w:gridCol w:w="1559"/>
        <w:gridCol w:w="3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PIPE Shares</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110,127</w:t>
            </w:r>
          </w:p>
        </w:tc>
        <w:tc>
          <w:tcPr>
            <w:tcW w:w="3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Pre-Funded Warrants</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149,953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remeasured the fair value of the Pre-Funded Warrants using the closing price of the Company’s common stock on the Nasdaq Global Market as of September 30, 2023 of $3.16</w:t>
      </w:r>
      <w:r>
        <w:rPr>
          <w:rFonts w:ascii="Times New Roman" w:hAnsi="Times New Roman"/>
          <w:color w:val="000000"/>
          <w:sz w:val="20"/>
        </w:rPr>
        <w:t xml:space="preserve"> </w:t>
      </w:r>
      <w:r>
        <w:rPr>
          <w:rFonts w:ascii="Times New Roman" w:hAnsi="Times New Roman"/>
          <w:b w:val="false"/>
          <w:color w:val="000000"/>
          <w:sz w:val="20"/>
        </w:rPr>
        <w:t>per common share. The Company recorded a fair value adjustment of $100.0</w:t>
      </w:r>
      <w:r>
        <w:rPr>
          <w:rFonts w:ascii="Times New Roman" w:hAnsi="Times New Roman"/>
          <w:color w:val="000000"/>
          <w:sz w:val="20"/>
        </w:rPr>
        <w:t xml:space="preserve"> </w:t>
      </w:r>
      <w:r>
        <w:rPr>
          <w:rFonts w:ascii="Times New Roman" w:hAnsi="Times New Roman"/>
          <w:b w:val="false"/>
          <w:color w:val="000000"/>
          <w:sz w:val="20"/>
        </w:rPr>
        <w:t>million in the condensed consolidated statements of operations for the three and nine months ended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SSI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w:t>
      </w:r>
      <w:r>
        <w:rPr>
          <w:rFonts w:ascii="Times New Roman" w:hAnsi="Times New Roman"/>
          <w:color w:val="000000"/>
          <w:sz w:val="20"/>
        </w:rPr>
        <w:t xml:space="preserve"> </w:t>
      </w:r>
      <w:r>
        <w:rPr>
          <w:rFonts w:ascii="Times New Roman" w:hAnsi="Times New Roman"/>
          <w:b w:val="false"/>
          <w:color w:val="000000"/>
          <w:sz w:val="20"/>
        </w:rPr>
        <w:t>shares of its common stock (the “SSI Shares”) and warrants (the “SSI Warrants”) to purchase an aggregate of 525,000</w:t>
      </w:r>
      <w:r>
        <w:rPr>
          <w:rFonts w:ascii="Times New Roman" w:hAnsi="Times New Roman"/>
          <w:color w:val="000000"/>
          <w:sz w:val="20"/>
        </w:rPr>
        <w:t xml:space="preserve"> </w:t>
      </w:r>
      <w:r>
        <w:rPr>
          <w:rFonts w:ascii="Times New Roman" w:hAnsi="Times New Roman"/>
          <w:b w:val="false"/>
          <w:color w:val="000000"/>
          <w:sz w:val="20"/>
        </w:rPr>
        <w:t>shares of the Company’s common stock (the “Warrant Shares”). SSI provides certain consulting services to the Company. Each SSI Warrant has an exercise price of $0.7090</w:t>
      </w:r>
      <w:r>
        <w:rPr>
          <w:rFonts w:ascii="Times New Roman" w:hAnsi="Times New Roman"/>
          <w:color w:val="000000"/>
          <w:sz w:val="20"/>
        </w:rPr>
        <w:t xml:space="preserve"> </w:t>
      </w:r>
      <w:r>
        <w:rPr>
          <w:rFonts w:ascii="Times New Roman" w:hAnsi="Times New Roman"/>
          <w:b w:val="false"/>
          <w:color w:val="000000"/>
          <w:sz w:val="20"/>
        </w:rPr>
        <w:t>per Warrant Share, which was the closing price of the Company’s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condensed consolidated statement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determined the fair value of the SSI Warrants at issuance was $0.3</w:t>
      </w:r>
      <w:r>
        <w:rPr>
          <w:rFonts w:ascii="Times New Roman" w:hAnsi="Times New Roman"/>
          <w:color w:val="000000"/>
          <w:sz w:val="20"/>
        </w:rPr>
        <w:t xml:space="preserve"> </w:t>
      </w:r>
      <w:r>
        <w:rPr>
          <w:rFonts w:ascii="Times New Roman" w:hAnsi="Times New Roman"/>
          <w:b w:val="false"/>
          <w:color w:val="000000"/>
          <w:sz w:val="20"/>
        </w:rPr>
        <w:t>million using the Black-Scholes-Merton option pricing model. The following assumptions were used to estimate the fair value of the warrants at issuance:</w:t>
      </w:r>
    </w:p>
    <w:p>
      <w:pPr>
        <w:pStyle w:val="TextBody"/>
        <w:bidi w:val="0"/>
        <w:spacing w:before="240" w:after="283"/>
        <w:jc w:val="left"/>
        <w:rPr/>
      </w:pPr>
      <w:r>
        <w:rPr/>
        <w:t> </w:t>
      </w:r>
    </w:p>
    <w:tbl>
      <w:tblPr>
        <w:tblW w:w="3780" w:type="dxa"/>
        <w:jc w:val="left"/>
        <w:tblInd w:w="0" w:type="dxa"/>
        <w:tblLayout w:type="fixed"/>
        <w:tblCellMar>
          <w:top w:w="28" w:type="dxa"/>
          <w:left w:w="28" w:type="dxa"/>
          <w:bottom w:w="28" w:type="dxa"/>
          <w:right w:w="28" w:type="dxa"/>
        </w:tblCellMar>
      </w:tblPr>
      <w:tblGrid>
        <w:gridCol w:w="2641"/>
        <w:gridCol w:w="146"/>
        <w:gridCol w:w="211"/>
        <w:gridCol w:w="466"/>
        <w:gridCol w:w="31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righ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316"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 value of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0.71</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The fair value adjustment as of September 30, 2023 was $0.5</w:t>
      </w:r>
      <w:r>
        <w:rPr>
          <w:rFonts w:ascii="Times New Roman" w:hAnsi="Times New Roman"/>
          <w:color w:val="000000"/>
          <w:sz w:val="20"/>
        </w:rPr>
        <w:t xml:space="preserve"> </w:t>
      </w:r>
      <w:r>
        <w:rPr>
          <w:rFonts w:ascii="Times New Roman" w:hAnsi="Times New Roman"/>
          <w:b w:val="false"/>
          <w:color w:val="000000"/>
          <w:sz w:val="20"/>
        </w:rPr>
        <w:t>million using the Black-Scholes-Merton option pricing model with probability weights applied to each of the SSI Warrants where vesting is contingent upon the achievement of certain clinical and regulatory milestones related to the Company’s clinical programs. As of September 30, 2023, 200,000</w:t>
      </w:r>
      <w:r>
        <w:rPr>
          <w:rFonts w:ascii="Times New Roman" w:hAnsi="Times New Roman"/>
          <w:color w:val="000000"/>
          <w:sz w:val="20"/>
        </w:rPr>
        <w:t xml:space="preserve"> </w:t>
      </w:r>
      <w:r>
        <w:rPr>
          <w:rFonts w:ascii="Times New Roman" w:hAnsi="Times New Roman"/>
          <w:b w:val="false"/>
          <w:color w:val="000000"/>
          <w:sz w:val="20"/>
        </w:rPr>
        <w:t>of the SSI Warrants have vested and are exercisable. No</w:t>
      </w:r>
      <w:r>
        <w:rPr>
          <w:rFonts w:ascii="Times New Roman" w:hAnsi="Times New Roman"/>
          <w:color w:val="000000"/>
          <w:sz w:val="20"/>
        </w:rPr>
        <w:t xml:space="preserve"> </w:t>
      </w:r>
      <w:r>
        <w:rPr>
          <w:rFonts w:ascii="Times New Roman" w:hAnsi="Times New Roman"/>
          <w:b w:val="false"/>
          <w:color w:val="000000"/>
          <w:sz w:val="20"/>
        </w:rPr>
        <w:t>warrants were exercised during the period.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estimated the fair value of the SSI Warrant liability using the following assumptions as of September 30, 2023:</w:t>
      </w:r>
    </w:p>
    <w:p>
      <w:pPr>
        <w:pStyle w:val="TextBody"/>
        <w:bidi w:val="0"/>
        <w:spacing w:before="120" w:after="283"/>
        <w:jc w:val="left"/>
        <w:rPr/>
      </w:pPr>
      <w:r>
        <w:rPr/>
        <w:t> </w:t>
      </w:r>
    </w:p>
    <w:tbl>
      <w:tblPr>
        <w:tblW w:w="3780" w:type="dxa"/>
        <w:jc w:val="left"/>
        <w:tblInd w:w="0" w:type="dxa"/>
        <w:tblLayout w:type="fixed"/>
        <w:tblCellMar>
          <w:top w:w="28" w:type="dxa"/>
          <w:left w:w="28" w:type="dxa"/>
          <w:bottom w:w="28" w:type="dxa"/>
          <w:right w:w="28" w:type="dxa"/>
        </w:tblCellMar>
      </w:tblPr>
      <w:tblGrid>
        <w:gridCol w:w="2641"/>
        <w:gridCol w:w="146"/>
        <w:gridCol w:w="211"/>
        <w:gridCol w:w="466"/>
        <w:gridCol w:w="31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righ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16"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 value of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The following table summarizes the Company’s warrant liability (in thousands):</w:t>
      </w:r>
    </w:p>
    <w:p>
      <w:pPr>
        <w:pStyle w:val="TextBody"/>
        <w:bidi w:val="0"/>
        <w:spacing w:before="120" w:after="283"/>
        <w:jc w:val="left"/>
        <w:rPr/>
      </w:pPr>
      <w:r>
        <w:rPr/>
        <w:t> </w:t>
      </w:r>
    </w:p>
    <w:tbl>
      <w:tblPr>
        <w:tblW w:w="4508" w:type="dxa"/>
        <w:jc w:val="left"/>
        <w:tblInd w:w="0" w:type="dxa"/>
        <w:tblLayout w:type="fixed"/>
        <w:tblCellMar>
          <w:top w:w="28" w:type="dxa"/>
          <w:left w:w="28" w:type="dxa"/>
          <w:bottom w:w="28" w:type="dxa"/>
          <w:right w:w="28" w:type="dxa"/>
        </w:tblCellMar>
      </w:tblPr>
      <w:tblGrid>
        <w:gridCol w:w="2761"/>
        <w:gridCol w:w="146"/>
        <w:gridCol w:w="300"/>
        <w:gridCol w:w="1110"/>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SSI Warrants</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19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Pre-Funded Warrants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39,826</w:t>
            </w:r>
          </w:p>
        </w:tc>
        <w:tc>
          <w:tcPr>
            <w:tcW w:w="19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11—Net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2023, the Company issued liability-classified Pre-Funded Warrants with a nominal exercise price of $0.001</w:t>
      </w:r>
      <w:r>
        <w:rPr>
          <w:rFonts w:ascii="Times New Roman" w:hAnsi="Times New Roman"/>
          <w:color w:val="000000"/>
          <w:sz w:val="20"/>
        </w:rPr>
        <w:t xml:space="preserve"> </w:t>
      </w:r>
      <w:r>
        <w:rPr>
          <w:rFonts w:ascii="Times New Roman" w:hAnsi="Times New Roman"/>
          <w:b w:val="false"/>
          <w:color w:val="000000"/>
          <w:sz w:val="20"/>
        </w:rPr>
        <w:t xml:space="preserve">per share (see Note 10). In accordance with ASC 260 </w:t>
      </w:r>
      <w:r>
        <w:rPr>
          <w:rFonts w:ascii="Times New Roman" w:hAnsi="Times New Roman"/>
          <w:b w:val="false"/>
          <w:i/>
          <w:color w:val="000000"/>
          <w:sz w:val="20"/>
        </w:rPr>
        <w:t xml:space="preserve">Earnings Per Share, </w:t>
      </w:r>
      <w:r>
        <w:rPr>
          <w:rFonts w:ascii="Times New Roman" w:hAnsi="Times New Roman"/>
          <w:b w:val="false"/>
          <w:color w:val="000000"/>
          <w:sz w:val="20"/>
        </w:rPr>
        <w:t>shares issuable for little to no cash consideration should be included in the number of outstanding shares used to calculate basic earnings per share as long as all conditions necessary for exercise are met. As the Company does not have enough authorized shares to satisfy the warrants, the requirement that all conditions necessary for exercise are not met, and the Pre-Funded Warrants are not included in the calculation of basic net loss per share for the three and nine months ended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represents the calculation of basic and diluted net loss per common share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4"/>
        <w:gridCol w:w="146"/>
        <w:gridCol w:w="217"/>
        <w:gridCol w:w="1176"/>
        <w:gridCol w:w="171"/>
        <w:gridCol w:w="150"/>
        <w:gridCol w:w="217"/>
        <w:gridCol w:w="1068"/>
        <w:gridCol w:w="166"/>
        <w:gridCol w:w="146"/>
        <w:gridCol w:w="218"/>
        <w:gridCol w:w="1070"/>
        <w:gridCol w:w="171"/>
        <w:gridCol w:w="150"/>
        <w:gridCol w:w="218"/>
        <w:gridCol w:w="1070"/>
        <w:gridCol w:w="217"/>
      </w:tblGrid>
      <w:tr>
        <w:trPr/>
        <w:tc>
          <w:tcPr>
            <w:tcW w:w="3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6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7" w:type="dxa"/>
            <w:tcBorders/>
            <w:shd w:fill="FFFFFF" w:val="clear"/>
            <w:vAlign w:val="center"/>
          </w:tcPr>
          <w:p>
            <w:pPr>
              <w:pStyle w:val="TableContents"/>
              <w:bidi w:val="0"/>
              <w:spacing w:before="0" w:after="283"/>
              <w:jc w:val="center"/>
              <w:rPr/>
            </w:pPr>
            <w:r>
              <w:rPr/>
              <w:t> </w:t>
            </w:r>
          </w:p>
        </w:tc>
      </w:tr>
      <w:tr>
        <w:trPr/>
        <w:tc>
          <w:tcPr>
            <w:tcW w:w="36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(117,087</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(159,307</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(110,936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of common stock outstanding used to compute 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125,700,799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40,937,808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84,630,796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39,761,764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common stock equivalents outstanding as of September 30, 2023 and 2022 were excluded from the computation of diluted net loss per share attributable to common stockholders for the periods presented because including them would have been anti</w:t>
        <w:noBreakHyphen/>
        <w:t>dilutive:</w:t>
      </w:r>
    </w:p>
    <w:p>
      <w:pPr>
        <w:pStyle w:val="TextBody"/>
        <w:bidi w:val="0"/>
        <w:jc w:val="left"/>
        <w:rPr/>
      </w:pPr>
      <w:r>
        <w:rPr/>
        <w:t> </w:t>
      </w:r>
    </w:p>
    <w:tbl>
      <w:tblPr>
        <w:tblW w:w="4967" w:type="dxa"/>
        <w:jc w:val="left"/>
        <w:tblInd w:w="0" w:type="dxa"/>
        <w:tblLayout w:type="fixed"/>
        <w:tblCellMar>
          <w:top w:w="28" w:type="dxa"/>
          <w:left w:w="28" w:type="dxa"/>
          <w:bottom w:w="28" w:type="dxa"/>
          <w:right w:w="28" w:type="dxa"/>
        </w:tblCellMar>
      </w:tblPr>
      <w:tblGrid>
        <w:gridCol w:w="1816"/>
        <w:gridCol w:w="146"/>
        <w:gridCol w:w="146"/>
        <w:gridCol w:w="1036"/>
        <w:gridCol w:w="146"/>
        <w:gridCol w:w="146"/>
        <w:gridCol w:w="154"/>
        <w:gridCol w:w="986"/>
        <w:gridCol w:w="3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1,257,844</w:t>
            </w:r>
          </w:p>
        </w:tc>
        <w:tc>
          <w:tcPr>
            <w:tcW w:w="3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RSAs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149,614</w:t>
            </w:r>
          </w:p>
        </w:tc>
        <w:tc>
          <w:tcPr>
            <w:tcW w:w="3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8,090,835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4,547,733</w:t>
            </w:r>
          </w:p>
        </w:tc>
        <w:tc>
          <w:tcPr>
            <w:tcW w:w="3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SSI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44,250,978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53,276,530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5,955,191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12—Income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w:t>
      </w:r>
      <w:r>
        <w:rPr>
          <w:rFonts w:ascii="Times New Roman" w:hAnsi="Times New Roman"/>
          <w:color w:val="000000"/>
          <w:sz w:val="20"/>
        </w:rPr>
        <w:t xml:space="preserve"> </w:t>
      </w:r>
      <w:r>
        <w:rPr>
          <w:rFonts w:ascii="Times New Roman" w:hAnsi="Times New Roman"/>
          <w:b w:val="false"/>
          <w:color w:val="000000"/>
          <w:sz w:val="20"/>
        </w:rPr>
        <w:t>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there were no material changes to either the nature or the amounts of the uncertain tax positions previously determined for the year ended December 31, 2022.</w:t>
      </w:r>
    </w:p>
    <w:p>
      <w:pPr>
        <w:pStyle w:val="TextBody"/>
        <w:bidi w:val="0"/>
        <w:spacing w:before="360" w:after="283"/>
        <w:jc w:val="left"/>
        <w:rPr>
          <w:rFonts w:ascii="Times New Roman" w:hAnsi="Times New Roman"/>
          <w:sz w:val="20"/>
        </w:rPr>
      </w:pPr>
      <w:r>
        <w:rPr>
          <w:rFonts w:ascii="Times New Roman" w:hAnsi="Times New Roman"/>
          <w:b/>
          <w:color w:val="000000"/>
          <w:sz w:val="20"/>
        </w:rPr>
        <w:t>Note 13—Commitments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pStyle w:val="TextBody"/>
        <w:bidi w:val="0"/>
        <w:spacing w:before="240" w:after="283"/>
        <w:jc w:val="left"/>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normal course of business, the Company enters into contracts that contain a variety of indemnifications with its employees, licensors, suppliers and service providers. The Company’s maximum exposure under these arrangements is unknown at September 30, 2023. The Company does not anticipate recognizing any significant losses relating to these arrangements.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 Strategic Reprioritization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prioritization of programs, the Company reduced headcount by approximately 35% across all functions in March 2022. In accordance with ASC 420,</w:t>
      </w:r>
      <w:r>
        <w:rPr>
          <w:rFonts w:ascii="Times New Roman" w:hAnsi="Times New Roman"/>
          <w:color w:val="000000"/>
          <w:sz w:val="20"/>
        </w:rPr>
        <w:t xml:space="preserve"> </w:t>
      </w:r>
      <w:r>
        <w:rPr>
          <w:rFonts w:ascii="Times New Roman" w:hAnsi="Times New Roman"/>
          <w:b w:val="false"/>
          <w:i/>
          <w:color w:val="000000"/>
          <w:sz w:val="20"/>
        </w:rPr>
        <w:t>Exit and Disposal Activities,</w:t>
      </w:r>
      <w:r>
        <w:rPr>
          <w:rFonts w:ascii="Times New Roman" w:hAnsi="Times New Roman"/>
          <w:color w:val="000000"/>
          <w:sz w:val="20"/>
        </w:rPr>
        <w:t xml:space="preserve"> </w:t>
      </w:r>
      <w:r>
        <w:rPr>
          <w:rFonts w:ascii="Times New Roman" w:hAnsi="Times New Roman"/>
          <w:b w:val="false"/>
          <w:color w:val="000000"/>
          <w:sz w:val="20"/>
        </w:rPr>
        <w:t>the Company recorded one-time severance and termination-related costs of $2.6</w:t>
      </w:r>
      <w:r>
        <w:rPr>
          <w:rFonts w:ascii="Times New Roman" w:hAnsi="Times New Roman"/>
          <w:color w:val="000000"/>
          <w:sz w:val="20"/>
        </w:rPr>
        <w:t xml:space="preserve"> </w:t>
      </w:r>
      <w:r>
        <w:rPr>
          <w:rFonts w:ascii="Times New Roman" w:hAnsi="Times New Roman"/>
          <w:b w:val="false"/>
          <w:color w:val="000000"/>
          <w:sz w:val="20"/>
        </w:rPr>
        <w:t>million in the condensed consolidated statements of operations for the nine months ended September 30, 2022, primarily within research and development expenses. Throughout the first quarter of 2023, the Company further reduced headcount and recorded additional one-time severance and termination related costs of $2.7</w:t>
      </w:r>
      <w:r>
        <w:rPr>
          <w:rFonts w:ascii="Times New Roman" w:hAnsi="Times New Roman"/>
          <w:color w:val="000000"/>
          <w:sz w:val="20"/>
        </w:rPr>
        <w:t xml:space="preserve"> </w:t>
      </w:r>
      <w:r>
        <w:rPr>
          <w:rFonts w:ascii="Times New Roman" w:hAnsi="Times New Roman"/>
          <w:b w:val="false"/>
          <w:color w:val="000000"/>
          <w:sz w:val="20"/>
        </w:rPr>
        <w:t>million within research and development and general and administrative expenses.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expects payment of these costs to be complete by March 31, 2024. The amount of accrued severance recorded as of September 30, 2023 is as follows (in thousands):</w:t>
      </w:r>
    </w:p>
    <w:p>
      <w:pPr>
        <w:pStyle w:val="TextBody"/>
        <w:bidi w:val="0"/>
        <w:spacing w:before="120" w:after="283"/>
        <w:jc w:val="left"/>
        <w:rPr/>
      </w:pPr>
      <w:r>
        <w:rPr/>
        <w:t> </w:t>
      </w:r>
    </w:p>
    <w:tbl>
      <w:tblPr>
        <w:tblW w:w="6988" w:type="dxa"/>
        <w:jc w:val="left"/>
        <w:tblInd w:w="0" w:type="dxa"/>
        <w:tblLayout w:type="fixed"/>
        <w:tblCellMar>
          <w:top w:w="28" w:type="dxa"/>
          <w:left w:w="28" w:type="dxa"/>
          <w:bottom w:w="28" w:type="dxa"/>
          <w:right w:w="28" w:type="dxa"/>
        </w:tblCellMar>
      </w:tblPr>
      <w:tblGrid>
        <w:gridCol w:w="4396"/>
        <w:gridCol w:w="146"/>
        <w:gridCol w:w="560"/>
        <w:gridCol w:w="1675"/>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severance balance as of December 31, 2022</w:t>
            </w:r>
          </w:p>
        </w:tc>
        <w:tc>
          <w:tcPr>
            <w:tcW w:w="146"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w:t>
            </w:r>
          </w:p>
        </w:tc>
        <w:tc>
          <w:tcPr>
            <w:tcW w:w="211" w:type="dxa"/>
            <w:tcBorders/>
            <w:shd w:fill="FFFFFF" w:val="clear"/>
            <w:vAlign w:val="center"/>
          </w:tcPr>
          <w:p>
            <w:pPr>
              <w:pStyle w:val="TableContents"/>
              <w:bidi w:val="0"/>
              <w:spacing w:before="0" w:after="283"/>
              <w:jc w:val="left"/>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Severance recorded</w:t>
            </w:r>
          </w:p>
        </w:tc>
        <w:tc>
          <w:tcPr>
            <w:tcW w:w="146" w:type="dxa"/>
            <w:tcBorders/>
            <w:shd w:fill="CFF0FC" w:val="clear"/>
            <w:vAlign w:val="center"/>
          </w:tcPr>
          <w:p>
            <w:pPr>
              <w:pStyle w:val="TableContents"/>
              <w:bidi w:val="0"/>
              <w:spacing w:before="0" w:after="283"/>
              <w:jc w:val="right"/>
              <w:rPr/>
            </w:pPr>
            <w:r>
              <w:rPr/>
              <w:t> </w:t>
            </w:r>
          </w:p>
        </w:tc>
        <w:tc>
          <w:tcPr>
            <w:tcW w:w="560" w:type="dxa"/>
            <w:tcBorders/>
            <w:shd w:fill="CFF0FC" w:val="clear"/>
            <w:vAlign w:val="center"/>
          </w:tcPr>
          <w:p>
            <w:pPr>
              <w:pStyle w:val="TableContents"/>
              <w:bidi w:val="0"/>
              <w:spacing w:before="0" w:after="283"/>
              <w:jc w:val="left"/>
              <w:rPr/>
            </w:pPr>
            <w:r>
              <w:rPr/>
              <w:t> </w:t>
            </w:r>
          </w:p>
        </w:tc>
        <w:tc>
          <w:tcPr>
            <w:tcW w:w="16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2,691</w:t>
            </w:r>
          </w:p>
        </w:tc>
        <w:tc>
          <w:tcPr>
            <w:tcW w:w="21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Severance paid</w:t>
            </w:r>
          </w:p>
        </w:tc>
        <w:tc>
          <w:tcPr>
            <w:tcW w:w="146" w:type="dxa"/>
            <w:tcBorders/>
            <w:shd w:fill="FFFFFF" w:val="cle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severance balance as of September 30, 2023</w:t>
            </w:r>
          </w:p>
        </w:tc>
        <w:tc>
          <w:tcPr>
            <w:tcW w:w="146" w:type="dxa"/>
            <w:tcBorders/>
            <w:shd w:fill="CFF0FC" w:val="clear"/>
            <w:vAlign w:val="center"/>
          </w:tcPr>
          <w:p>
            <w:pPr>
              <w:pStyle w:val="TableContents"/>
              <w:bidi w:val="0"/>
              <w:spacing w:before="0" w:after="283"/>
              <w:jc w:val="righ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 Retirement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2021, the Company adopted a 401(k) retirement savings plan that provides retirement benefits to all full-time employees. Eligible employees may</w:t>
      </w:r>
      <w:r>
        <w:rPr>
          <w:rFonts w:ascii="Times New Roman" w:hAnsi="Times New Roman"/>
          <w:color w:val="000000"/>
          <w:sz w:val="20"/>
        </w:rPr>
        <w:t xml:space="preserve"> </w:t>
      </w:r>
      <w:r>
        <w:rPr>
          <w:rFonts w:ascii="Times New Roman" w:hAnsi="Times New Roman"/>
          <w:b w:val="false"/>
          <w:color w:val="000000"/>
          <w:sz w:val="20"/>
        </w:rPr>
        <w:t>contribute a percentage of their annual compensation, subject to Internal Revenue Service limitations. The Company contributed $0.1</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to the 401(k) retirement savings plan for the three months ended September 30, 2023 and 2022, respectively. The Company contributed $0.3</w:t>
      </w:r>
      <w:r>
        <w:rPr>
          <w:rFonts w:ascii="Times New Roman" w:hAnsi="Times New Roman"/>
          <w:color w:val="000000"/>
          <w:sz w:val="20"/>
        </w:rPr>
        <w:t xml:space="preserve"> </w:t>
      </w:r>
      <w:r>
        <w:rPr>
          <w:rFonts w:ascii="Times New Roman" w:hAnsi="Times New Roman"/>
          <w:b w:val="false"/>
          <w:color w:val="000000"/>
          <w:sz w:val="20"/>
        </w:rPr>
        <w:t>million and $0.7</w:t>
      </w:r>
      <w:r>
        <w:rPr>
          <w:rFonts w:ascii="Times New Roman" w:hAnsi="Times New Roman"/>
          <w:color w:val="000000"/>
          <w:sz w:val="20"/>
        </w:rPr>
        <w:t xml:space="preserve"> </w:t>
      </w:r>
      <w:r>
        <w:rPr>
          <w:rFonts w:ascii="Times New Roman" w:hAnsi="Times New Roman"/>
          <w:b w:val="false"/>
          <w:color w:val="000000"/>
          <w:sz w:val="20"/>
        </w:rPr>
        <w:t>million to the 401(k) retirement savings plan for the nine months ended September 30, 2023 and 2022,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16– Subsequent Events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13, 2023 (the “Trinity Closing Date”), the Company entered into a Loan and Security Agreement (the “Trinity Term Loan Agreement”), by and among the Company, the lenders party thereto from time to time (the “Trinity Lenders”) and Trinity Capital Inc., as administrative agent and collateral agent for the Trinity Lenders (“Trinity”). The Trinity Term Loan Agreement provides for, on the Trinity Closing Date, $40.0</w:t>
      </w:r>
      <w:r>
        <w:rPr>
          <w:rFonts w:ascii="Times New Roman" w:hAnsi="Times New Roman"/>
          <w:color w:val="000000"/>
          <w:sz w:val="20"/>
        </w:rPr>
        <w:t xml:space="preserve"> </w:t>
      </w:r>
      <w:r>
        <w:rPr>
          <w:rFonts w:ascii="Times New Roman" w:hAnsi="Times New Roman"/>
          <w:b w:val="false"/>
          <w:color w:val="000000"/>
          <w:sz w:val="20"/>
        </w:rPr>
        <w:t>million aggregate principal amount of term loans (collectively, the “Trinity Term Loans”). The Company drew the Trinity Term Loans in full on the Trinity Closing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interest rate applicable to the Trinity Term Loans is the greater of (a) the WSJ Prime Rate plus 4.50% or (b) 12.75% per annum. The Trinity Term Loans are interest only from the Trinity Closing Date through 36 months</w:t>
      </w:r>
      <w:r>
        <w:rPr>
          <w:rFonts w:ascii="Times New Roman" w:hAnsi="Times New Roman"/>
          <w:color w:val="000000"/>
          <w:sz w:val="20"/>
        </w:rPr>
        <w:t xml:space="preserve"> </w:t>
      </w:r>
      <w:r>
        <w:rPr>
          <w:rFonts w:ascii="Times New Roman" w:hAnsi="Times New Roman"/>
          <w:b w:val="false"/>
          <w:color w:val="000000"/>
          <w:sz w:val="20"/>
        </w:rPr>
        <w:t>from the Trinity Closing Date, which may be extended to 48 months</w:t>
      </w:r>
      <w:r>
        <w:rPr>
          <w:rFonts w:ascii="Times New Roman" w:hAnsi="Times New Roman"/>
          <w:color w:val="000000"/>
          <w:sz w:val="20"/>
        </w:rPr>
        <w:t xml:space="preserve"> </w:t>
      </w:r>
      <w:r>
        <w:rPr>
          <w:rFonts w:ascii="Times New Roman" w:hAnsi="Times New Roman"/>
          <w:b w:val="false"/>
          <w:color w:val="000000"/>
          <w:sz w:val="20"/>
        </w:rPr>
        <w:t>from the Trinity Closing Date upon the satisfaction of certain milestones set forth in the Trinity Term Loan Agreement, after which the Company is required to pay equal monthly installments of principal through November 13, 2028</w:t>
      </w:r>
      <w:r>
        <w:rPr>
          <w:rFonts w:ascii="Times New Roman" w:hAnsi="Times New Roman"/>
          <w:color w:val="000000"/>
          <w:sz w:val="20"/>
        </w:rPr>
        <w:t xml:space="preserve"> </w:t>
      </w:r>
      <w:r>
        <w:rPr>
          <w:rFonts w:ascii="Times New Roman" w:hAnsi="Times New Roman"/>
          <w:b w:val="false"/>
          <w:color w:val="000000"/>
          <w:sz w:val="20"/>
        </w:rPr>
        <w:t>(the “Maturity Date”).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the Company paid to Trinity a commitment fee of 1.00% of the original principal amount of the Trinity Term Loans. Upon repayment in full of the Trinity Term Loans, the Company will pay to Trinity an end of term payment equal to 5.00% of the original principal amount of the Trinity Term Loans.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obligations under the Trinity Term Loan Agreement are secured by a perfected security interest in all of the Company’s assets except for certain customarily excluded property pursuant to the terms of the Trinity Term Loan Agreement. There are no financial covenants and no</w:t>
      </w:r>
      <w:r>
        <w:rPr>
          <w:rFonts w:ascii="Times New Roman" w:hAnsi="Times New Roman"/>
          <w:color w:val="000000"/>
          <w:sz w:val="20"/>
        </w:rPr>
        <w:t xml:space="preserve"> </w:t>
      </w:r>
      <w:r>
        <w:rPr>
          <w:rFonts w:ascii="Times New Roman" w:hAnsi="Times New Roman"/>
          <w:b w:val="false"/>
          <w:color w:val="000000"/>
          <w:sz w:val="20"/>
        </w:rPr>
        <w:t>warrants associated with the Trinity Term Loan Agreement. The Trinity Term Loan Agreement contains various covenants that limit the Company’s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proceeds of the Trinity Term Loans were used to repay the Company’s obligations under the Term Loan Agreement with Silicon Valley Bank in full. The Term Loan Agreement with Silicon Valley Bank was terminated concurrently with entry into the Trinity Term Loan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2022 and the related Management’s Discussion and Analysis of Financial Condition and Results of Operations, included in our Annual Report on Form 10-K for the year ended December 31, 2022, or Annual Report, filed with the Securities and Exchange Commission, or the SEC, on March 28, 2023. Unless the context requires otherwise, references in this Quarterly Report on Form 10-Q to “we,” “us,” and “our” refer to Taysha Gene Therapies, Inc. together with its consolidated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w:t>
      </w:r>
      <w:r>
        <w:rPr>
          <w:rFonts w:ascii="Times New Roman" w:hAnsi="Times New Roman"/>
          <w:color w:val="000000"/>
          <w:sz w:val="20"/>
        </w:rPr>
        <w:t xml:space="preserve"> </w:t>
      </w:r>
      <w:r>
        <w:rPr>
          <w:rFonts w:ascii="Times New Roman" w:hAnsi="Times New Roman"/>
          <w:b w:val="false"/>
          <w:i/>
          <w:color w:val="000000"/>
          <w:sz w:val="20"/>
        </w:rPr>
        <w:t>Part II, Item 1A, “Risk Factors” in this Quarterly Report on Form 10-Q and Part II, Item 1A, “Risk Factors” in our Annual Report. The forward-looking statements are applicable only as of the date on which they are made, and we do not assume any obligation to update any forward-looking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Regarding Trademarks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All brand names or trademarks appearing in this report are the property of their respective holders. Unless the context requires otherwise, references in this report to the “Company,” “we,” “us,” and “our” refer to Taysha Gene Therapies, Inc.</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a patient-centric gene therapy company focused on developing and commercializing AAV-based gene therapies for the treatment of monogenic diseases of the central nervous system, or CNS. We were founded in partnership with The University of Texas Southwestern Medical Center, or UT Southwestern, to develop and commercialize transformative gene therapy treatments. Together with UT Southwestern, we possess a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giant axonal neuropathy, or GAN, and Rett syndrome, and we have subsequently further paused substantially all other research and development activities to increase operational efficiency. Further, in September 2023, we announced that subsequent to the receipt of Type C meeting feedback from the United States Food and Drug Administration, or FDA, regarding a registrational path for TSHA-120, we were discontinuing the development of our TSHA-120 program in evaluation for the treatment of GAN.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evaluating TSHA-102 in the REVEAL Phase 1/2 clinical trial, which is an open-label, dose escalation, randomized, multicenter study that is examining the safety and efficacy of TSHA-102 in adult female patients with Rett syndrome. We dosed the first two adult patients with Rett syndrome in 2023. There have been no treatment-emergent serious adverse events as of the 20-week assessment post-treatment for the first Rett adult patient treated. In addition, there have been no treatment-emergent serious adverse events as of the six-week assessment post-treatment for the second Rett adult patient treated. The independent data monitoring committee, or IDMC, meeting to review the clinical data from the first two patients took place in November 2023 at which time the IDMC provided clearance to dose the third patient. Further updates on available clinical data from low dose cohort 1 are expected in the first quarter of 2024. We submitted a clinical trial application, or CTA, to the United Kingdom’s Medicines and Healthcare Products Regulatory Agency, or MHRA, for pediatric patients with Rett syndrome and submitted an IND application for pediatric patients with Rett syndrome to the FDA for TSHA-102 early in the third quarter of 2023. In August 2023, we received clearance from the FDA on our IND for TSHA-102 in pediatric patients with Rett syndrome and are planning on dosing the first Rett syndrome pediatric patient in the first quarter of 2024. The FDA has granted Fast Track Designation to TSHA-102 for Rett syndrome.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Both of our lead product candidates are still in the clinical stage. We do not have any product candidates approved for sale and have not generated any revenue from product sales. Through September 30, 2023, we have funded our operations primarily through: (i) the sale of equity, raising an aggregate of $589.0 million of gross proceeds from our initial public offering, or the IPO, sales of common stock pursuant to our Sales Agreement (as defined below), our October 2022 follow-on offering and our 2023 private placements; (ii) pre-IPO private placements of our convertible preferred stock and other private placements of our common stock; (iii) our Term Loan Agreement (as defined below); and (iv) the Astellas Transactions (as defined below).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We drew $30.0 million in term loans on the Closing Date and drew an additional $10.0 million term loan on December 29, 2021. We did not draw any of the additional $20.0 million tranches prior to their expiration on September 30, 2022 and March 31, 2023. On November 13, 2023, we entered into the Trinity Term Loan Agreement (as defined below). The proceeds of the Trinity Term Loans (as defined below) were used to repay our obligations under the Term Loan Agreement. The Term Loan Agreement was terminated concurrently with entry into the Trinity Term Loan Agreement.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Since our inception, we have incurred significant operating losses. Our net losses were $159.3 million for the nine months ended September 30, 2023 and $110.9 million for the nine months ended September 30, 2022. As of September 30, 2023, we had an accumulated deficit of $560.7 million. We expect to continue to incur significant expenses and operating losses for the foreseeable future. We anticipate that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advance the clinical development of our product candidates and, if we determine to do so in the future, reprioritize the advancement of our preclinical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conduct our ongoing clinical trials of TSHA-102 and any other future product candidates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 regulatory approval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continue to develop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scale up our clinical and regulatory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work with CMOs for the manufacture current GMP material for clinical trials or potential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a commercialization infrastructure and scale up internal and external manufacturing and distribution capabilities to commercialize any product candidates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adapt our regulatory compliance efforts to incorporate requirements applicable to marketed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hire additional clinical, manufacturing quality control, regulatory, manufacturing and scientific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 operational, financial and management information systems and personnel, including personnel to support our product development and planned future commercialization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incur additional legal, accounting and other expenses in operating as a public company.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possess a portfolio of gene therapy product candidates for monogenic diseases of the CNS in both rare and large patient populations, with exclusive options to acquire several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pStyle w:val="TextBody"/>
        <w:bidi w:val="0"/>
        <w:jc w:val="left"/>
        <w:rPr/>
      </w:pPr>
      <w:r>
        <w:rPr/>
        <w:t> </w:t>
      </w:r>
    </w:p>
    <w:p>
      <w:pPr>
        <w:pStyle w:val="TextBody"/>
        <w:bidi w:val="0"/>
        <w:jc w:val="center"/>
        <w:rPr/>
      </w:pPr>
      <w:r>
        <w:rPr/>
        <w:drawing>
          <wp:inline distT="0" distB="0" distL="0" distR="0">
            <wp:extent cx="6858000"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514475"/>
                    </a:xfrm>
                    <a:prstGeom prst="rect">
                      <a:avLst/>
                    </a:prstGeom>
                  </pic:spPr>
                </pic:pic>
              </a:graphicData>
            </a:graphic>
          </wp:inline>
        </w:drawing>
      </w:r>
      <w:r>
        <w:rPr/>
        <w:t>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TSHA-102 for Rett Syndrome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TSHA-102 is a self-complementary intrathecally delivered AAV9 gene transfer therapy product candidate in clinical evaluation for Rett syndrome, a neurodevelopmental disorder and one of the most common genetic causes of severe intellectual disability, characterized by rapid developmental regression and in many cases caused by heterozygous loss of function mutations in MECP2, a gene essential for neuronal and synaptic function in the brain. TSHA-102 has been designed to prevent gene overexpression-related toxicity by inserting microRNA, or miRNA target binding sites into the 3’ untranslated region of viral genomes. This overexpression of MECP2 is seen clinically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 which enables cellular regulation of both endogenous and exogenous MECP2 expression. According to the Rett Syndrome Research Trust, Rett syndrome affects more than 350,000 patients worldwide. The estimated addressable patient population with typical Rett syndrome caused by a pathogenic/likely pathogenic MECP2 mutation is between 15,000 and 20,000 patients in the United States, European Union and United Kingdom.</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Phase 1/2 REVEAL Clinical Trial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submitted a CTA for TSHA-102 in November 2021 and announced initiation of clinical development under a CTA approved by Health Canada in March 2022. We are advancing TSHA-102 in the REVEAL Phase 1/2 clinical trial, which is an open-label, dose escalation and dose-expansion, randomized, multicenter study that is evaluating the safety and efficacy of TSHA-102 in up to 18 adult female patients with Rett syndrome. Participants will receive a single lumbar intrathecal injection of TSHA-102. Dose escalation will evaluate two dose levels of TSHA-102 sequentially. In cohort 1, the first two patients were dosed with a dose of 5.7x10</w:t>
      </w:r>
      <w:r>
        <w:rPr>
          <w:rFonts w:ascii="Times New Roman" w:hAnsi="Times New Roman"/>
          <w:b w:val="false"/>
          <w:color w:val="000000"/>
          <w:sz w:val="13"/>
        </w:rPr>
        <w:t>14</w:t>
      </w:r>
      <w:r>
        <w:rPr>
          <w:rFonts w:ascii="Times New Roman" w:hAnsi="Times New Roman"/>
          <w:color w:val="000000"/>
          <w:sz w:val="20"/>
        </w:rPr>
        <w:t xml:space="preserve"> </w:t>
      </w:r>
      <w:r>
        <w:rPr>
          <w:rFonts w:ascii="Times New Roman" w:hAnsi="Times New Roman"/>
          <w:b w:val="false"/>
          <w:color w:val="000000"/>
          <w:sz w:val="20"/>
        </w:rPr>
        <w:t>total vg, and the remaining patients in cohort 1 will receive the same dose, and the second cohort will be given a dose of 1x10</w:t>
      </w:r>
      <w:r>
        <w:rPr>
          <w:rFonts w:ascii="Times New Roman" w:hAnsi="Times New Roman"/>
          <w:b w:val="false"/>
          <w:color w:val="000000"/>
          <w:sz w:val="13"/>
        </w:rPr>
        <w:t>15</w:t>
      </w:r>
      <w:r>
        <w:rPr>
          <w:rFonts w:ascii="Times New Roman" w:hAnsi="Times New Roman"/>
          <w:color w:val="000000"/>
          <w:sz w:val="20"/>
        </w:rPr>
        <w:t xml:space="preserve"> </w:t>
      </w:r>
      <w:r>
        <w:rPr>
          <w:rFonts w:ascii="Times New Roman" w:hAnsi="Times New Roman"/>
          <w:b w:val="false"/>
          <w:color w:val="000000"/>
          <w:sz w:val="20"/>
        </w:rPr>
        <w:t>total vg. The maximum tolerated dose or maximum administered dose established will then be administered during dose expansion. Key assessments will include Rett-specific and global assessments, quality of life, biomarkers, and neurophysiology and imaging assessments.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dosed the first adult patient with Rett syndrome in the first half of 2023. The second adult patient was dosed in September 2023. We plan to complete dosing of the low dose cohort in the fourth quarter of 2023 or first quarter of 2024. TSHA-102 demonstrated a well-tolerated safety profile with no treatment-emergent serious adverse events as of the week 20 post-treatment assessment for patient 1 and as of the week six post-treatment assessment for patient 2. The IDMC meeting to review the updated clinical data took place in November 2023 at which time the IDMC provided clearance to dose the third patient.</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TSHA-102 REVEAL Clinical Trial Safety and Efficacy Endpoints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Primary efficacy endpoints are patient assessments by clinicians using the Clinical Global Impressions Scale – Improvement, or CGI-I, Rett Syndrome Hand Function Scale, or RSHFS, and Revised Motor Behavior Assessment, or R-MBA. Secondary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endpoints include patient assessments by clinicians and caregivers using the Clinical Global Impressions Scale – Severity, or CGI-S, the Rett Syndrome Behavior Questionnaire, or RSBQ, and other clinical assessment scales.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first adult patient dosed, TSHA-102 demonstrated a well-tolerated safety profile with no treatment-emergent serious adverse events as of the 20-week assessment post-treatment. In addition, the Principal Investigator observed significant clinical improvement in multiple domains, including autonomic function (improved breathing patterns, sleep quality and duration), socialization (improved social interest and vocalization), as well as gross motor skills (gained ability to move legs and sit unassisted for up to 15 minutes at week 12) and fine motor skills (improved hand function and the gained ability to grasp two different objects in her non-dominant hand for the first time since infancy), supported by clinical data.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second adult patient dosed, TSHA-102 demonstrated a well-tolerated safety profile with no treatment-emergent serious adverse events as of the six-week assessment post-treatment. The Principal Investigator observed clinical improvement in multiple domains, including autonomic function (reduced seizures and improved breathing patterns, including significant reduction in hyperventilation), socialization (improved social interest), gross motor skills (improved posture, gait and stability) and fine motor skills (improved hand stereotypies) and significant reduction in seizure frequency, supported by initial clinical data and Seizure Diaries.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first patient dosed in the REVEAL trial demonstrated a sustained clinical improvement in the first 12 weeks post-TSHA-102 administration as depicted in the graph below. The second patient dosed in the REVEAL trial demonstrated a clinical improvement at the week four post-TSHA-102 administration as depicted in the graphs below.</w:t>
      </w:r>
    </w:p>
    <w:p>
      <w:pPr>
        <w:pStyle w:val="TextBody"/>
        <w:bidi w:val="0"/>
        <w:spacing w:before="240" w:after="283"/>
        <w:jc w:val="left"/>
        <w:rPr/>
      </w:pPr>
      <w:r>
        <w:rPr/>
        <w:drawing>
          <wp:inline distT="0" distB="0" distL="0" distR="0">
            <wp:extent cx="6858000" cy="2819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819400"/>
                    </a:xfrm>
                    <a:prstGeom prst="rect">
                      <a:avLst/>
                    </a:prstGeom>
                  </pic:spPr>
                </pic:pic>
              </a:graphicData>
            </a:graphic>
          </wp:inline>
        </w:drawing>
      </w: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TSHA-102 REVEAL Trial Patient 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first adult patient dosed with TSHA-102 demonstrated a sustained clinical improvement in RSBQ Total Score at week 12 post-TSHA-102 administration as depicted in the chart below.</w:t>
      </w:r>
    </w:p>
    <w:p>
      <w:pPr>
        <w:pStyle w:val="TextBody"/>
        <w:bidi w:val="0"/>
        <w:spacing w:before="240" w:after="283"/>
        <w:jc w:val="center"/>
        <w:rPr/>
      </w:pPr>
      <w:r>
        <w:rPr/>
        <w:drawing>
          <wp:inline distT="0" distB="0" distL="0" distR="0">
            <wp:extent cx="5962650" cy="2847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62650" cy="2847975"/>
                    </a:xfrm>
                    <a:prstGeom prst="rect">
                      <a:avLst/>
                    </a:prstGeom>
                  </pic:spPr>
                </pic:pic>
              </a:graphicData>
            </a:graphic>
          </wp:inline>
        </w:drawing>
      </w: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Patient 1 demonstrated a sustained clinically significant improvement assessed 12 weeks post-TSHA-102 administration. A 22-point improvement was shown in total RSBQ score through week 12, which was mostly driven by improvements in hand behaviors, night-time behavior, breathing problems and facial expressions.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Patient 1 demonstrated an improvement in the R-MBA Total Score at week 12 post-TSHA-102 administration as depicted in the graph below.</w:t>
      </w:r>
    </w:p>
    <w:p>
      <w:pPr>
        <w:pStyle w:val="TextBody"/>
        <w:bidi w:val="0"/>
        <w:jc w:val="left"/>
        <w:rPr/>
      </w:pPr>
      <w:r>
        <w:rPr/>
        <w:t> </w:t>
      </w:r>
    </w:p>
    <w:p>
      <w:pPr>
        <w:pStyle w:val="TextBody"/>
        <w:bidi w:val="0"/>
        <w:jc w:val="left"/>
        <w:rPr/>
      </w:pPr>
      <w:r>
        <w:rPr/>
        <w:drawing>
          <wp:inline distT="0" distB="0" distL="0" distR="0">
            <wp:extent cx="6858000" cy="457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45720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patient 1, improvements were seen at week 12 post-TSHA-102 administration. A six-point improvement was demonstrated by the R-MBA through week 12, which was driven by improvements in motor dysfunction and social skills.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Patient 1 has been on phenytoin as antiepileptic therapy, which she has continued following treatment with TSHA-102. Prior to treatment and per medical history, the patient required phenytoin levels of &gt;100 umol/L to control her seizures. Patient 1 was seizure-free at six weeks post-treatment with TSHA-102. As of 20 weeks following treatment, the patient has seizures at phenytoin levels of 60-80 umol/L, which is substantially lower than her therapeutic levels before TSHA-102 treatment. Per the Seizure Diary, the patient experienced a total of seven seizures post-treatment, when her phenytoin levels were sub-therapeutic. Specifically, one seizure corresponded with a phenytoin level of 45.9 umol/L. The last reported seizure occurred on Day 82, when the patient’s phenytoin level was 35.9 umol/L.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RSHFS is a scale designed to evaluate hand function in patients with Rett syndrome. The patient's hand function is evaluated by an experienced independent physical therapist with expertise in the hand function of Rett patients, based on videotaped sessions in which the patient’s caregiver hands her both large (e.g. a toy, cup, or spoon) and small (e.g. a grape or small piece of sandwich) objects so that the patient may demonstrate her ability to grasp, pick up, and hold the objects. The physical therapist then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codes the demonstrated hand function in each video at one of four levels of hand function, ranging from no active grasping of any objects to independent grasping.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Patient 1 demonstrated a significant improvement in RSHFS at 11 weeks post TSHA-102 administration as depicted in the chart below.</w:t>
      </w:r>
    </w:p>
    <w:p>
      <w:pPr>
        <w:pStyle w:val="TextBody"/>
        <w:bidi w:val="0"/>
        <w:spacing w:before="240" w:after="283"/>
        <w:jc w:val="center"/>
        <w:rPr/>
      </w:pPr>
      <w:r>
        <w:rPr/>
        <w:drawing>
          <wp:inline distT="0" distB="0" distL="0" distR="0">
            <wp:extent cx="6858000" cy="2609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2609850"/>
                    </a:xfrm>
                    <a:prstGeom prst="rect">
                      <a:avLst/>
                    </a:prstGeom>
                  </pic:spPr>
                </pic:pic>
              </a:graphicData>
            </a:graphic>
          </wp:inline>
        </w:drawing>
      </w: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Loss of hand function is a hallmark characteristic of Rett syndrome and a key area of concern for caregivers. It impacts a patient’s ability to communicate and impedes daily activities, which ultimately limits independence. Per the RSHFS independent assessor, in the week 11 assessment, patient 1 demonstrated the ability to use use her non-dominant hand for some basic grasping whereas previously, she was not able to grasp at all. Patient 1’s non-dominant hand went from a score of one at baseline (no active grasping) to the second highest level rating of three (holding objects for at least two seconds) at week 11. At baseline, she could hold no objects with her non-dominant hand and at week 11 post-treatment, she could hold two different objects (spoon and toy) for at least two seconds. Patient 1’s dominant hand function improved following treatment as she was able to grasp two different objects (spoon and toy) rather than just one object (spoon) at baseline.</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TSHA-102 REVEAL Trial Patient 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the two patients dosed to date in our REVEAL trial both have the most advanced stage of Rett Syndrome, Stage, IV, they possess different genetic backgrounds and mutation types, which appears to manifest in dramatically different phenotypes and clinical severity.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Patient 1 has a large deletion within the MECP2 gene as these deletions have been reported to cause Rett Syndrome. This patient's phenotypic manifestation is more severe, with complete loss of ambulation (patient is wheelchair-bound) and scoliosis, which is consistent with the previously discussed correlation between truncating defects and severity of presenting phenotype.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Patient 2 has a missense mutation in the MECP2 gene, which has been reported in over 25 publications to cause Rett syndrome. This patient's phenotypic manifestation is milder, with only partial loss of ambulation, which is consistent with the correlation between missense defects and milder phenotypes, as demonstrated by the baseline scores of each patient.</w:t>
      </w:r>
    </w:p>
    <w:p>
      <w:pPr>
        <w:pStyle w:val="TextBody"/>
        <w:bidi w:val="0"/>
        <w:spacing w:before="24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Patient 2 demonstrated a clinical improvement in RSBQ Total Score four weeks post-TSHA-102 administration as depicted in the chart below.</w:t>
      </w:r>
    </w:p>
    <w:p>
      <w:pPr>
        <w:pStyle w:val="TextBody"/>
        <w:bidi w:val="0"/>
        <w:spacing w:before="240" w:after="283"/>
        <w:jc w:val="center"/>
        <w:rPr/>
      </w:pPr>
      <w:r>
        <w:rPr/>
        <w:drawing>
          <wp:inline distT="0" distB="0" distL="0" distR="0">
            <wp:extent cx="6200775" cy="3000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00775" cy="3000375"/>
                    </a:xfrm>
                    <a:prstGeom prst="rect">
                      <a:avLst/>
                    </a:prstGeom>
                  </pic:spPr>
                </pic:pic>
              </a:graphicData>
            </a:graphic>
          </wp:inline>
        </w:drawing>
      </w: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four-point improvement at week four was shown in RSBQ Total Score which was mostly driven by improvements in body rocking/facial expressions, walking/standing and improvements in breathing abnormalities.</w:t>
      </w:r>
    </w:p>
    <w:p>
      <w:pPr>
        <w:pStyle w:val="TextBody"/>
        <w:bidi w:val="0"/>
        <w:spacing w:before="24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Patient 2 demonstrated improvements in the R-MBA Total Score at four weeks post-TSHA-102 administration as depicted in the graph below.</w:t>
      </w:r>
    </w:p>
    <w:p>
      <w:pPr>
        <w:pStyle w:val="TextBody"/>
        <w:bidi w:val="0"/>
        <w:jc w:val="center"/>
        <w:rPr/>
      </w:pPr>
      <w:r>
        <w:rPr/>
        <w:drawing>
          <wp:inline distT="0" distB="0" distL="0" distR="0">
            <wp:extent cx="6858000" cy="425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425767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seven-point improvement through week four was demonstrated by the R-MBA, mostly driven by improvements in social skills and respiratory behaviors including less frequent hyperventilating and breath-holding.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Patient 2 had only a single seizure event that was detected on day 13 post TSHA-102 administration (two seizures reported in pre-study screening period). The seizure was an unknown type, motor and less than one minute duration. The Principal Investigator describes a reduction in seizures from pre-treatment to post-therapy treatment based on caregiver reported patient history.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Patient 2 hand function data is shown in the chart below. There was no observed improvement in RSHFS at four weeks post-treatment.</w:t>
      </w:r>
    </w:p>
    <w:p>
      <w:pPr>
        <w:pStyle w:val="TextBody"/>
        <w:bidi w:val="0"/>
        <w:spacing w:before="240" w:after="283"/>
        <w:jc w:val="left"/>
        <w:rPr/>
      </w:pPr>
      <w:r>
        <w:rPr/>
        <w:drawing>
          <wp:inline distT="0" distB="0" distL="0" distR="0">
            <wp:extent cx="6858000" cy="1666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1666875"/>
                    </a:xfrm>
                    <a:prstGeom prst="rect">
                      <a:avLst/>
                    </a:prstGeom>
                  </pic:spPr>
                </pic:pic>
              </a:graphicData>
            </a:graphic>
          </wp:inline>
        </w:drawing>
      </w: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Preclinical in vitro data on TSHA-102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presented new preclinical in vitro data on TSHA-102 in Rett syndrome as part of a poster presentation at the ESGCT 30th Annual Congress in October 2023. The preclinical study used human (2v6.11) and mouse (N2a) cell culture models to explore the function of miRARE and its impact on MECP2 transgene and protein expression in the presence or absence of cellular MeCP2 using both viral AAV9 transduction and plasmid transfection containing either miRARE-regulated or SV40 (unregulated) elements.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vitro data showed that post-transcriptional gene silencing by miRARE in response to cellular MeCP2 levels can be recapitulated in human and mouse cell lines. Specifically, the data demonstrated miRARE controlled dose-dependent transgene expression of MeCP2 protein via a similar mechanism in both human and mouse cell lines. In addition, the miRARE technology partially silenced transgene expression in neuronal and non-neuronal cell lines, and the expression and subsequent downregulation were four to five-fold higher in neuronal cell lines, supporting tissue-specific expression of MeCP2.</w:t>
      </w:r>
    </w:p>
    <w:p>
      <w:pPr>
        <w:pStyle w:val="TextBody"/>
        <w:bidi w:val="0"/>
        <w:jc w:val="left"/>
        <w:rPr/>
      </w:pPr>
      <w:r>
        <w:rPr/>
        <w:t> </w:t>
      </w:r>
    </w:p>
    <w:p>
      <w:pPr>
        <w:pStyle w:val="TextBody"/>
        <w:bidi w:val="0"/>
        <w:jc w:val="center"/>
        <w:rPr/>
      </w:pPr>
      <w:r>
        <w:rPr/>
        <w:drawing>
          <wp:inline distT="0" distB="0" distL="0" distR="0">
            <wp:extent cx="4400550" cy="3009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400550" cy="3009900"/>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Transgene protein expression was highest in homozygous cells and slightly greater than wild-type in heterozygous cells, demonstrating that transgene expression of MeCP2 protein is sensitive to cellular levels of MeCP2 and increases in human cells with both endogenous MECP2 copies disrupted. The data support that miRARE regulation of the MECP2 transgene is sensitive to cellular levels of MeCP2.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6362700" cy="4057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362700" cy="4057650"/>
                    </a:xfrm>
                    <a:prstGeom prst="rect">
                      <a:avLst/>
                    </a:prstGeom>
                  </pic:spPr>
                </pic:pic>
              </a:graphicData>
            </a:graphic>
          </wp:inline>
        </w:drawing>
      </w: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data also showed that transgene silencing occurred in part by inducing mRNA decay but more substantially by reducing miniMeCP2 protein accumulation. Specifically, cells transduced with TSHA-102 miRARE were associated with 49% reduced transgene mRNA as well as 197% reduced protein expression over TSHA-102 SV40 3’UTR transfected cells, suggesting that the miRARE technology also acts in cis to prevent translation.</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381750" cy="2762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381750" cy="2762250"/>
                    </a:xfrm>
                    <a:prstGeom prst="rect">
                      <a:avLst/>
                    </a:prstGeom>
                  </pic:spPr>
                </pic:pic>
              </a:graphicData>
            </a:graphic>
          </wp:inline>
        </w:drawing>
      </w: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vitro data recapitulate our in vivo neonatal mouse and further our mechanistic understanding of how miRARE controls post-transcriptional MECP2 expression. Overall, in vitro study results clearly demonstrated that miRARE controls the expression of MeCP2 protein in the most relevant cell background.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Deprioritized Programs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at this time deprioritized the evaluation of our preclinical and clinical product candidates TSHA-120 for GAN,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TSHA-120 for Giant Axonal Neuropathy (GAN)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GAN is an ultra-rare autosomal recessive, progressive neurodegenerative disease of the central, peripheral and autonomic nervous systems caused by deficiency or complete loss-of-function of gigaxonin and the accumulation of intermediate filaments. Epidemiology studies indicate there are between 1,000 and 1,500 treatable GAN patients in the United States, European Union and United Kingdom.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is an early (classical) and late-onset (non-classical) phenotype associated with the disease, with shared pathophysiology due to accumulation of intermediate filaments. Symptoms and features of children with classical GAN usually develop before the age of five years with distal muscle weakness and sensory loss due to axonal sensory motor neuropathy, manifesting as bilateral foot drop and difficulties with fine motor coordination. An abnormal, wide based, unsteady gait due to CNS and cerebellar involvement is also a common initial clinical manifestation. Children with the classical phenotype typically have dull, tightly curled, coarse hair (“kinky” hair), “giant” axons pathognomonic on a nerve biopsy due to accumulation of intermediate filaments, and progressive spinal cord atrophy and white matter abnormalities, initially around the cerebellar dentate nucleus, on MRI images. Symptoms progress and, as the children grow older, they develop progressive proximal muscle weakness, resulting in difficulties raising their arms and standing from the floor or a chair, scoliosis, distal contractures, progressive gait and limb ataxia, leading to loss of ambulation by the second decade. Progressive optic nerve atrophy, seen early in the disease, results in increasing deterioration of visual acuity in later stages and has been more recently described. Indeed, decreased visual acuity was seen at baseline in approximately half of GAN patients aged 3-21 years, enrolled in a natural history study [Brain. 2021 Nov 29;144(10):3239-3250]. Due to increased respiratory muscle weakness and restrictive respiratory failure as a result of severe scoliosis, assisted ventilation is required in adolescents. GAN patients often die during their late teens or early twenties, typically due to respiratory failure.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late-onset, or non-classical, phenotype is often categorized as Charcot-Marie-Tooth Type 2, or CMT2, as it presents as a typical early onset axonal sensory motor neuropathy without the typical kinky hair and CNS involvement of the classical phenotype and has a relatively slow progression. This phenotype might represent up to 6% of all CMT2 diagnosis. In the late-onset population, patients have poor quality of life and significantly compromised activities of daily living. The disease is life limiting but not as severely as classic GAN. In classic GAN, symptomatic treatments attempt to maximize physical development and minimize the rate of deterioration. Currently, there are no approved disease-modifying therapies available, only palliative treatments.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March 2021, we acquired the exclusive worldwide rights to a clinical-stage, intrathecally dosed AAV9 gene therapy program, now known as TSHA-120, for the treatment of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 We received orphan drug designation and rare pediatric disease designation from the FDA for TSHA-120 for the treatment of GAN. In April 2022, we received orphan drug designation from the European Commission for TSHA-120 for the treatment of GAN.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September 2023, subsequent to the receipt of Type C meeting feedback from the FDA regarding a registrational path for TSHA-120, we announced that we would discontinue the development of our TSHA-120 program in the evaluation for the treatment of GAN. We are pursuing external strategic options for the TSHA-120 program to potentially enable further program development.</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TSHA-118 for CLN1 Disease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We believe that the introduction of a functional </w:t>
      </w:r>
      <w:r>
        <w:rPr>
          <w:rFonts w:ascii="Times New Roman" w:hAnsi="Times New Roman"/>
          <w:b w:val="false"/>
          <w:i/>
          <w:color w:val="000000"/>
          <w:sz w:val="20"/>
        </w:rPr>
        <w:t>CLN1</w:t>
      </w:r>
      <w:r>
        <w:rPr>
          <w:rFonts w:ascii="Times New Roman" w:hAnsi="Times New Roman"/>
          <w:color w:val="000000"/>
          <w:sz w:val="20"/>
        </w:rPr>
        <w:t xml:space="preserve"> </w:t>
      </w:r>
      <w:r>
        <w:rPr>
          <w:rFonts w:ascii="Times New Roman" w:hAnsi="Times New Roman"/>
          <w:b w:val="false"/>
          <w:color w:val="000000"/>
          <w:sz w:val="20"/>
        </w:rPr>
        <w:t>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TSHA-118 has been granted orphan drug designation, rare pediatric disease designation and fast track designation from the FDA and orphan drug designation from the European Medicines Agency for the treatment of CLN1 disease.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is currently an open IND for the CLN1 program. We submitted a CTA filing for TSHA-118 which was approved by Health Canada in 2021. Clinical trial material has been manufactured and released and is now ready for use in a clinical trial setting.</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TSHA-105 for SLC13A5 Deficiency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developing TSHA-105 for the treatment of SLC13A5 deficiency, a rare autosomal recessive epileptic encephalopathy characterized by the onset of seizures within the first few days of life. SLC13A5 deficiency is caused by bi-allelic loss-of function mutations in the SLC13A5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developing TSHA-105 as a gene replacement therapy for SLC13A5 deficiency. TSHA-105 is constructed from a codon-optimized human SLC13A5 gene packaged in a self-complementary AAV9 capsid.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received orphan drug designation and rare pediatric disease designation from the FDA and orphan drug designation from the European Commission for TSHA-105 for the treatment of epilepsy caused by SLC13A5 deficiency. Clinical trial material has been manufactured and released and is now ready for use in a clinical trial setting.</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TSHA-113 for Tauopathies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 affected by MAPT mediated FTD and 2,000 to 2,500 are affected with MAPT-mediated PSP. and CD</w:t>
      </w:r>
      <w:r>
        <w:rPr>
          <w:rFonts w:ascii="Times New Roman" w:hAnsi="Times New Roman"/>
          <w:b w:val="false"/>
          <w:color w:val="000000"/>
          <w:sz w:val="16"/>
        </w:rPr>
        <w:t>,</w:t>
      </w:r>
      <w:r>
        <w:rPr>
          <w:rFonts w:ascii="Times New Roman" w:hAnsi="Times New Roman"/>
          <w:color w:val="000000"/>
          <w:sz w:val="20"/>
        </w:rPr>
        <w:t xml:space="preserve"> </w:t>
      </w:r>
      <w:r>
        <w:rPr>
          <w:rFonts w:ascii="Times New Roman" w:hAnsi="Times New Roman"/>
          <w:b w:val="false"/>
          <w:color w:val="000000"/>
          <w:sz w:val="20"/>
        </w:rPr>
        <w:t>and Alzheimer’s disease affects an estimated 6.2 million Americans and 7.8 million Europeans.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TSHA-106 for Angelman syndrome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Angelman syndrome is an imprinting disorder in which the maternal gene is deficient and the paternal copy of UBE3A is intact but silenced by a long non-coding RNA, UBE3A antisense transcript, or UBE3A-ATS. Delivery of an ASO targeting UBE3A-ATS showed promising results in ameliorating Angelman syndrome symptoms in a transgenic mouse model.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are an estimated 55,000 patients with Angelman syndrome in the United States and Europe.</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TSHA-114 for Fragile X Syndrome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 conditioning behavior. In addition, assessment of circadian locomotor activity revealed restoration of hyperactivity and sleep.</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Assessment of transgene expression and behavioral responses in individual mice demonstrated correlations between the level of FMRP expression and drug efficacy.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results from the study strongly support continued development. Ongoing and future work is focused on optimal dose and route of administration determination for IND enabling studies.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are an estimated 75,000 patients with Fragile X syndrome in the United States and Europe.</w:t>
      </w:r>
    </w:p>
    <w:p>
      <w:pPr>
        <w:pStyle w:val="TextBody"/>
        <w:bidi w:val="0"/>
        <w:spacing w:before="360" w:after="283"/>
        <w:jc w:val="left"/>
        <w:rPr>
          <w:rFonts w:ascii="Times New Roman" w:hAnsi="Times New Roman"/>
          <w:sz w:val="20"/>
        </w:rPr>
      </w:pP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Collaboration and License Agreement with The University of Texas Southwestern Medical Center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2019, we entered into a research, collaboration and license agreement, or the UT Southwestern Agreement, with The Board of Regents of the University of Texas System on behalf of UT Southwestern, as amended in April 2020.</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 with Abeona (CLN1 Disease)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December 2021 the Company’s CTA filing for TSHA-118 for the treatment of CLN1 disease was approved by Health Canada and therefore triggered a regulatory milestone payment in connection with the Abeona CLN1 Agreement. We recorded $3.0 million within research and development expenses in the consolidated statements of operations for the year ended December 31, 2021. The milestone fee was paid in January 2022 and has been classified as an investing outflow in the condensed consolidated statements of cash flows for the nine months ended September 30, 2022. No additional milestone payments were made or triggered during the nine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 with Abeona (Rett Syndrome)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Subject to certain obligations of Abeona, we are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condensed consolidated statements of operations for the nine months ended September 30, 2022. This milestone fee was paid in July 2022. In May 2023, we dosed the first patient with TSHA-102 in the Phase 1/2 REVEAL trial evaluating the safety and preliminary efficacy of TSHA-102 in adult patients with Rett syndrome and therefore triggered a milestone payment in connection with this agreement. We recorded $3.5 million within research and development expenses in the condensed consolidated statements of operations for the nine months ended September 30, 2023. This milestone fee was paid in August 2023 and has been classified as an investing cash outflow in the condensed consolidated statements of cash flows for the nine months ended September 30, 2023. No additional milestone payments were made or triggered in connection with this agreement during the nine months ended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 Agreement with Astellas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October 21, 2022, or the Effective Date, we entered into an Option Agreement, or the Option Agreement, with Audentes Therapeutics, Inc. (d/b/a Astellas Gene Therapy), or Astellas.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TSHA-120 Giant Axonal Neuropathy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Following the receipt of Type C meeting feedback from the FDA regarding a registrational path for TSHA-120 in September 2023, Astellas elected not to exercise the GAN Option.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TSHA-102 Rett Syndrome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Option Agreement, we also granted to Astellas an exclusive option to obtain an exclusive, worldwide, royalty and milestone- bearing right and license (A) to Exploit any Rett Product (as defined below), and (B) under any intellectual property rights controlled by us or any of our affiliates with respect to such Exploitation, or the Rett Option, and together with the GAN Option, each, an Option. In September 2023, Astellas elected not to exercise its Option to obtain an exclusive license to TSHA-120.</w:t>
      </w:r>
    </w:p>
    <w:p>
      <w:pPr>
        <w:pStyle w:val="TextBody"/>
        <w:bidi w:val="0"/>
        <w:spacing w:before="3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August 2023 Private Placement and Proposed Charter Amendment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Pre-Funded Warrants, to purchase 44,250,978 shares of common stock in lieu of shares of common stock. The closing of the August 2023 Private Placement, or the Closing, occurred on August 16, 2023. The total gross proceeds to us at the Closing were approximately $150.0 million, and after deducting placement agent commissions and offering expenses payable by us, net proceeds were approximately $140.3 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Pre-Funded Warrants are only exercisable into common stock upon the approval by our stockholders of an increase in the number of authorized shares of common stock available under our Amended and Restated Certificate of Incorporation and our filing of a Certificate of Amendment to our Amended and Restated Certificate of Incorporation, or the Certificate of Amendment, with the Secretary of State of the State of Delaware. Our Board of Directors has approved an amendment to our Amended and Restated Certificate of Incorporation, as amended to date, to increase the number of authorized shares of common stock from 200,000,000 to 400,000,000, or the Authorized Shares Amendment, and on October 5, 2023, we filed a definitive proxy statement on Schedule 14A with respect to seeking stockholder approval of the Authorized Shares Amendment at a special meeting of the stockholders to be held on November 15, 2023. Pursuant to the August 2023 Securities Purchase Agreement, we agreed to seek to obtain stockholder approval of the Authorized Shares Amendment by December 31, 2023. If we do not obtain such stockholder approval by December 31, 2023, we are required to pay liquidated damages of 2.0% of the aggregate purchase price paid by each holder of Pre-Funded Warrants, and we are obligated to cause an additional stockholder meeting to be held every three months thereafter until stockholder approval of the Authorized Shares Amendment is obtained, or a Subsequent Stockholder Approval Deadline. For any subsequent failure to obtain such stockholder approval by any Subsequent Stockholder Approval Deadline, we are required to pay an additional 2.0% as liquidated damages.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Trinity Term Loans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November 13, 2023, or the Trinity Closing Date, we entered into a Loan and Security Agreement, or the Trinity Term Loan Agreement, by and among us, the lenders party thereto from time to time, or the Trinity Lenders, and Trinity Capital Inc., as administrative agent and collateral agent for the Trinity Lenders, or Trinity. The Trinity Term Loan Agreement provides for, on the Trinity Closing Date, $40.0 million aggregate principal amount of term loans (collectively, the “Trinity Term Loans”). We drew the Trinity Term Loans in full on the Trinity Closing Date.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interest rate applicable to the Trinity Term Loans is the greater of (a) the WSJ (“Wall Street Journal”)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we paid to Trinity a commitment fee of 1.00% of the original principal amount of the Trinity Term Loans. Upon repayment in full of the Trinity Term Loans, we will pay to Trinity an end of term payment equal to 5.00% of the original principal amount of the Trinity Term Loans.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obligations under the Trinity Term Loan Agreement are secured by a perfected security interest in all of our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our ability to engage in specified types of transactions without the consent of Trinity and the Trinity Lenders which include,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proceeds of the Trinity Term Loans were used to repay our obligations under the Term Loan Agreement (as defined below) with Silicon Valley Bank in full. The Term Loan Agreement with Silicon Valley Bank was terminated concurrently with entry into the Trinity Term Loan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for the nine months ended September 30, 2023 was derived from the Astellas Transactions. We recognize revenue as research and development activities related to our Rett program are performed. Revenue related to the material rights associated with the Rett Option and the GAN Option must be recognized at a point in time when the options are exercised or the option period expires. In September 2023, Astellas elected not to exercise the GAN Option, therefore we recognized revenue related to the GAN Option during the nine months ended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expenses primarily consist of clinical and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employee-related expenses, including salaries, bonuses, benefits, stock-based compensation, severance costs and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license maintenance fees and milestone fees incurred in connection with various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external research and development expenses incurred under agreements with consultants, contract research organizations, or CROs, investigative sites and consultants to conduct our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related to manufacturing material for our preclinical studies and clinical trials, including fees paid to contract manufacturing organizations, or CMOs;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laboratory supplies and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facilities, depreciation and other allocated expenses, which include direct and allocated expenses for rent, maintenance of facilities, insurance and equipment.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reduced our research and development and general and administrative spend from 2021 to 2022 but plan to increase our research and development expenses, particularly with respect to the Rett clinical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trials,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incurred to conduct preclinical studies required to advance our product candidates into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 patient trial costs, including based on the number of doses that patients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patients who enroll in each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duration of patient participation in the trials and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phase of development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to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efficacy and safety profile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anticipate that certain of our general and administrative expenses will decrease in the future as a result of the reductions in our headcount in 2022 and 2023 to support our infrastructure and focus on our Rett program. We also anticipate that our general and administrative expenses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will stay constant for the near future but may increase over time.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Impairment of long-lived assets are the result of an asset group's carrying value exceeding the fair value. In November 2022, we decided not to continue building out our manufacturing facility in North Carolina. We recorded a non-cash, non-recurring impairment charge related to the construction in progress and right-of-use lease assets at the manufacturing facility.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the Three Months ended September 30, 2023 and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our results of operations for the three months ended September 30, 2023 and 2022 (in thousands):</w:t>
      </w:r>
      <w:r>
        <w:rPr>
          <w:rFonts w:ascii="Times New Roman" w:hAnsi="Times New Roman"/>
          <w:color w:val="000000"/>
          <w:sz w:val="20"/>
        </w:rPr>
        <w:t xml:space="preserve"> </w:t>
      </w:r>
    </w:p>
    <w:p>
      <w:pPr>
        <w:pStyle w:val="TextBody"/>
        <w:bidi w:val="0"/>
        <w:spacing w:before="120" w:after="283"/>
        <w:jc w:val="left"/>
        <w:rPr/>
      </w:pPr>
      <w:r>
        <w:rPr/>
        <w:t> </w:t>
      </w:r>
    </w:p>
    <w:tbl>
      <w:tblPr>
        <w:tblW w:w="7355" w:type="dxa"/>
        <w:jc w:val="left"/>
        <w:tblInd w:w="0" w:type="dxa"/>
        <w:tblLayout w:type="fixed"/>
        <w:tblCellMar>
          <w:top w:w="28" w:type="dxa"/>
          <w:left w:w="28" w:type="dxa"/>
          <w:bottom w:w="28" w:type="dxa"/>
          <w:right w:w="28" w:type="dxa"/>
        </w:tblCellMar>
      </w:tblPr>
      <w:tblGrid>
        <w:gridCol w:w="3531"/>
        <w:gridCol w:w="146"/>
        <w:gridCol w:w="298"/>
        <w:gridCol w:w="1190"/>
        <w:gridCol w:w="234"/>
        <w:gridCol w:w="206"/>
        <w:gridCol w:w="298"/>
        <w:gridCol w:w="1041"/>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411" w:type="dxa"/>
            <w:tcBorders/>
            <w:shd w:fill="FFFFFF" w:val="clear"/>
            <w:vAlign w:val="center"/>
          </w:tcPr>
          <w:p>
            <w:pPr>
              <w:pStyle w:val="TableContents"/>
              <w:bidi w:val="0"/>
              <w:spacing w:before="0" w:after="283"/>
              <w:jc w:val="center"/>
              <w:rPr/>
            </w:pPr>
            <w:r>
              <w:rPr/>
              <w:t> </w:t>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4"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shd w:fill="FFFFFF" w:val="clear"/>
            <w:vAlign w:val="center"/>
          </w:tcPr>
          <w:p>
            <w:pPr>
              <w:pStyle w:val="TableContents"/>
              <w:bidi w:val="0"/>
              <w:spacing w:before="0" w:after="283"/>
              <w:jc w:val="center"/>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4,746</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11,791</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16,774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8,589</w:t>
            </w:r>
          </w:p>
        </w:tc>
        <w:tc>
          <w:tcPr>
            <w:tcW w:w="234"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20,996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(16,250</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(100,456</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w:t>
            </w:r>
          </w:p>
        </w:tc>
        <w:tc>
          <w:tcPr>
            <w:tcW w:w="234"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(1,471</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(100,837</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(117,087</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related to the Astellas Transactions was $4.7 million for the three months ended September 30, 2023, which was executed in November 2022. The revenue recorded is the result of Rett research and development activities performed during the third quarter of 2023 and the expiration of the material right associated with the GAN Option.</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were $11.8 million for the three months ended September 30, 2023, compared to $16.8 million for the three months ended September 30, 2022. The net change was due to a $9.3 million decrease due to lower compensation expense as a result of reduced headcount, lower licensing milestone fees, fewer manufacturing batches and fewer raw material purchases. This was partially offset by a $4.3 million increase in activity surrounding ongoing clinical trial efforts in the Rett REVEAL adult and pediatric studies.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were $8.6 million for the three months ended September 30, 2023, compared to $8.7 million for the three months ended September 30, 2022. The decrease of $0.1 million was due to reduced compensation expense due to lower headcount of $2.0 million, reduced consulting and professional fees of $0.7 million, partially offset by $2.6 million issuance costs allocated to the liability-classified pre-funded warrants issued in connection with the August 2023 Private Placement.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recorded a non-cash impairment charge of $0.6 million related to assets held for sale for the three months ended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Change in fair value of warrant liability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 in fair value of warrant liability was $100.5 million for the three months ended September 30, 2023 due to the substantial increase in the fair value of the underlying common stock underlying the SSI Warrants and the Pre-Funded Warrants.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Interest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was $1.1 million for the three months ended September 30, 2023. The increase in income is primarily attributable to higher interest earned on our savings account and dividends earned from our money market fund following the receipt of the August 2023 Private Placement proceeds.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Interest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was $1.5 million for the three months ended September 30, 2023, compared to $1.1 million for the three months ended September 30, 2022. The increase of approximately $0.4 million was primarily attributable to higher interest expense incurred under the Term Loan Agreement due to higher interest rates on our Term Loan during the three months ended September 30, 2023 compared to the comparative period in the prior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Results of Operations for the Nine Months ended September 30, 2023 and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our results of operations for the nine months ended September 30, 2023 and 2022 (in thousands):</w:t>
      </w:r>
      <w:r>
        <w:rPr>
          <w:rFonts w:ascii="Times New Roman" w:hAnsi="Times New Roman"/>
          <w:color w:val="000000"/>
          <w:sz w:val="20"/>
        </w:rPr>
        <w:t xml:space="preserve"> </w:t>
      </w:r>
    </w:p>
    <w:p>
      <w:pPr>
        <w:pStyle w:val="TextBody"/>
        <w:bidi w:val="0"/>
        <w:spacing w:before="120" w:after="283"/>
        <w:jc w:val="left"/>
        <w:rPr/>
      </w:pPr>
      <w:r>
        <w:rPr/>
        <w:t> </w:t>
      </w:r>
    </w:p>
    <w:tbl>
      <w:tblPr>
        <w:tblW w:w="6504" w:type="dxa"/>
        <w:jc w:val="left"/>
        <w:tblInd w:w="0" w:type="dxa"/>
        <w:tblLayout w:type="fixed"/>
        <w:tblCellMar>
          <w:top w:w="28" w:type="dxa"/>
          <w:left w:w="28" w:type="dxa"/>
          <w:bottom w:w="28" w:type="dxa"/>
          <w:right w:w="28" w:type="dxa"/>
        </w:tblCellMar>
      </w:tblPr>
      <w:tblGrid>
        <w:gridCol w:w="3531"/>
        <w:gridCol w:w="146"/>
        <w:gridCol w:w="211"/>
        <w:gridCol w:w="841"/>
        <w:gridCol w:w="166"/>
        <w:gridCol w:w="146"/>
        <w:gridCol w:w="211"/>
        <w:gridCol w:w="841"/>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411" w:type="dxa"/>
            <w:tcBorders/>
            <w:shd w:fill="FFFFFF" w:val="clear"/>
            <w:vAlign w:val="center"/>
          </w:tcPr>
          <w:p>
            <w:pPr>
              <w:pStyle w:val="TableContents"/>
              <w:bidi w:val="0"/>
              <w:spacing w:before="0" w:after="283"/>
              <w:jc w:val="center"/>
              <w:rPr/>
            </w:pPr>
            <w:r>
              <w:rPr/>
              <w:t> </w:t>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78,462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30,019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(100,456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related to the Astellas Transactions was $11.8 million for the nine months ended September 30, 2023, which was executed in November 2022. The revenue recorded is the result of Rett research and development activities performed during the nine months ended September 30, 2023 and the expiration of the material right associated with the GAN Option.</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were $44.1 million for the nine months ended September 30, 2023, compared to $78.5 million for the nine months ended September 30, 2022. The $34.4 million decrease was driven by the effects of the strategic reprioritization efforts taken in March 2022, which resulted in a reduction of $19.7 million in compensation expense due to reduced R&amp;D headcount. We also incurred $10.9 million less research and development manufacturing and other raw material purchases through the first nine months of 2023. Additionally, we incurred $11.7 million in lower expenses in third-party research and development consulting fees, mainly related to pre-clinical studies, and IND-enabling toxicology studies. This was partially offset by an increase in of $7.9 million in expense related to ongoing clinical trial efforts in the Rett REVEAL adult and pediatric studies.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were $23.3 million for the nine months ended September 30, 2023, compared to $30.0 million for the nine months ended September 30, 2022. The decrease of approximately $6.7 million was primarily due to a $6.5 million reduction in compensation expenses as a result of reduced headcount and $2.8 million in lower professional, consulting and other general and administrative expenses. This was partially offset by $2.6 million of issuance costs allocated to the liability-classified pre-funded warrants issued in connection with the August 2023 Private Placement.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recorded a non-cash impairment charge of $0.6 million related to assets held for sale for the nine months ended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Change in fair value of warrant liability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 in fair value of warrant liability was $100.5 million for the nine months ended September 30, 2023 due to the substantial increase in the fair value of the common stock underlying the SSI Warrants and the Pre-Funded Warrants.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Interest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was $1.7 million for the nine months ended September 30, 2023, compared to less than $0.1 million for the nine months ended September 30, 2022. The increase in income is primarily attributable to higher interest earned on our savings account and dividends earned from our money market fund following the receipt of the August 2023 Private Placement proceeds.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Interest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was $4.3 million for the nine months ended September 30, 2023, compared to $2.5 million for the nine months ended September 30, 2022. The increase of approximately $1.8 million was primarily attributable to higher interest expense incurred under the Term Loan Agreement due to higher interest rates on our Term Loan during the nine months ended September 30, 2023 compared to the comparative period in the prior year.</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our inception, we have not generated any revenue from product sales and have incurred significant operating losses. As of September 30, 2023, we had cash and cash equivalents of $164.3 million. Through September 30, 2023, we have funded our operations primarily through (i) the sale of equity, raising an aggregate of $589.0 million in gross proceeds from our IPO, sales of common stock pursuant to the Sales Agreement (as defined below), our October 2022 follow-on offering and our 2023 private placements, (ii) pre-IPO private placements of our convertible preferred stock and other private placements of our common stock, (iii) our Term Loan Agreement (as defined below) and (iv) the Astellas Transactions.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We drew $30.0 million in term loans on the Closing Date and an additional $10.0 million in term loans on December 29, 2021. We did not draw on any of the additional $20.0 million tranches prior to their expiration on September 30, 2022 and March 31, 2023. The loan repayment schedule provided for interest only payments until August 31, 2024, followed by consecutive monthly payments of principal and interest. All unpaid principal and accrued and unpaid interest with respect to each term loan was due and payable in full on August 1, 2026.</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November 13, 2023, we entered into the Trinity Term Loan Agreement. The proceeds of the Trinity Term Loans were used to repay our obligations under the Term Loan Agreement. Pursuant to the terms of the Trinity Term Loan Agreement, on the Trinity Closing Date, we received the Trinity Term Loans of $40.0 million, which we drew in full on the Trinity Closing Date.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 The proceeds of the Trinity Term Loans were used to repay our Term Loan Agreement, and the Term Loan Agreement was terminated concurrently with entry into the Trinity Term Loan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Any shares of our common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stock will be issued pursuant to our shelf registration statement on Form S-3 (File No. 333-260069), or the Shelf Registration Statement, which the SEC declared effective on October 14, 2021. In April 2022, we sold 2,000,000 shares of common stock pursuant to the Sales Agreement and received net proceeds of $11.6 million. No other shares of common stock have been issued and sold pursuant to the Sales Agreement as of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Also on October 21, 2022, we entered into a securities purchase agreement with Astellas, or the Astellas Securities Purchase Agreement, and together with the Option Agreement, the Astellas Transactions, pursuant to which we agreed to issue and sell to Astellas in a private placement, or the Astellas Private Placement, an aggregate of 7,266,342 shares of our common stock, or the Astellas Private Placement Shares, for aggregate proceeds of approximately $30.0 million. The Astellas Private Placement closed on October 24, 2022. Pursuant to the Astellas Securities Purchase Agreement, in connection with the Private Placement, Astellas has the right to designate one individual to attend all meetings of the Board in a non-voting observer capacity. We also granted Astellas certain registration rights with respect to the Astellas Private Placement Shares.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October 26, 2022, we entered into an underwriting agreement, or the Underwriting Agreement, with Goldman Sachs &amp; Co. LLC, or the Underwriter, to issue and sell 14,000,000 shares of our common stock, par value $0.00001 per share, in an underwritten public offering pursuant to an effective registration statement on Form S-3 and a related prospectus and prospectus supplement.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the Company.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August 2023, we entered into the August 2023 Securities Purchase Agreement with the Purchasers pursuant to which we agreed to sell and issue to the Purchasers in the August 2023 Private Placement, (i) 122,412,376 shares of common stock and (ii) with respect to certain Purchasers, Pre-Funded Warrants to purchase 44,250,978 shares of common stock in lieu of shares of common stock. The purchase price was $0.90 per share, or the Purchase Price, and the purchase price for the Pre-Funded Warrants was the Purchase Price minus $0.001 per Pre-Funded Warrant. The August 2023 Private Placement closed on August 16, 2023. We received total net proceeds of $140.3 million after deducting placement agent commissions and offering expenses.</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Our expenses decreased from 2021 to 2022 as a result of our program prioritization efforts and reduced headcount. We have reduced and anticipate further reductions in spending in 2023 compared to 2022 levels due to the strategic pipeline prioritization initiatives focused on developing Rett and GAN. In September 2023, we announced that we intended to discontinue development of, and seek external strategic options for, our GAN clinical program, which we anticipate will further reduce spending during the remainder of 2023.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unable to raise capital when needed or on attractive terms, we could be forced to delay, reduce or eliminate our research and development programs or future commercialization efforts.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our material cash requirements consisted of $32.6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 Quarterly Report on Form 10-Q. Our most significant purchase commitments consist of approximately $13.9 million in cancellable purchase obligations to our CROs and other clinical trial vendors.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that our existing cash and cash equivalents will enable us to fund our operating expenses and capital requirements into 2026.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 Based on our current forecast, we believe that we will have sufficient cash to maintain our planned operations for the next twelve months following the issuance of these condensed consolidated financial statements.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progress, costs and results of discovery, preclinical development, laboratory testing and clinical trials for TSHA-102 and any current and future product candidates that we advance;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we develop, in-license or acquire other product candidates and technologies in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and development requirements of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headcount growth and associated costs as we expand our research and development capabilities and establish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preparing, filing and prosecuting patent applications, maintaining and enforcing our intellectual property rights and defending any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revenue, if any, received from commercial sales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operating as a public company. </w:t>
      </w:r>
    </w:p>
    <w:p>
      <w:pPr>
        <w:pStyle w:val="TextBody"/>
        <w:bidi w:val="0"/>
        <w:spacing w:before="360" w:after="283"/>
        <w:jc w:val="left"/>
        <w:rPr>
          <w:rFonts w:ascii="Times New Roman" w:hAnsi="Times New Roman"/>
          <w:sz w:val="20"/>
        </w:rPr>
      </w:pPr>
      <w:r>
        <w:rPr>
          <w:rFonts w:ascii="Times New Roman" w:hAnsi="Times New Roman"/>
          <w:b w:val="false"/>
          <w:color w:val="000000"/>
          <w:sz w:val="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shows a summary of our cash flows for the nine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7349" w:type="dxa"/>
        <w:jc w:val="left"/>
        <w:tblInd w:w="0" w:type="dxa"/>
        <w:tblLayout w:type="fixed"/>
        <w:tblCellMar>
          <w:top w:w="28" w:type="dxa"/>
          <w:left w:w="28" w:type="dxa"/>
          <w:bottom w:w="28" w:type="dxa"/>
          <w:right w:w="28" w:type="dxa"/>
        </w:tblCellMar>
      </w:tblPr>
      <w:tblGrid>
        <w:gridCol w:w="4636"/>
        <w:gridCol w:w="146"/>
        <w:gridCol w:w="211"/>
        <w:gridCol w:w="781"/>
        <w:gridCol w:w="166"/>
        <w:gridCol w:w="146"/>
        <w:gridCol w:w="211"/>
        <w:gridCol w:w="841"/>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(103,102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(22,560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the nine months ended September 30, 2023, our net cash used in operating activities of $56.9 million primarily consisted of a net loss of $159.3 million, primarily attributable to the loss recorded on the change in fair value of our warrant liability. The net loss of $159.3 million was offset by $115.6 million of adjustments for non-cash items, primarily due to the change in fair value of warrant liability of $100.5 million and stock-based compensation expense of $5.9 million. Additional cash used in operating activities of $13.2 million was primarily due to a decrease in deferred revenue.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2022, our net cash used in operating activities of $103.1 million primarily consisted of a net loss of $110.9 million, primarily attributable to our spending on research and development expenses. The net loss of $110.9 million was partially offset by adjustments for non-cash items, primarily stock-based compensation, research and development license fees and depreciation expense of $17.6 million. Additional cash used in operating activities of $11.8 million was primarily due to a decrease in accounts payable and accrued expenses which was partially offset by an increase in prepaid expenses and other assets of $2.0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investing activities used $7.3 million of cash primarily attributable to capital expenditures related to the close out of our in-house manufacturing facility project and payment of a $3.5 million milestone license fee. During the nine months ended September 30, 2022, investing activities used $22.6 million of cash primarily attributable to research and development license payments of $4.3 million, including regulatory milestone payments paid to Abeona pursuant to the Rett and CLN1 Agreements and $18.3 million in capital expenditures related to our in-house manufacturing facility and research and development lab.</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financing activities provided approximately $140.6 million of cash, which is primarily attributable to the proceeds from the August 2023 Private Placement, partially offset by the payment of shelf registration costs and other financing transactions. During the nine months ended September 30, 2022, financing activities provided $10.9 million of cash, which is primarily attributable to $11.6 million net proceeds from the sale of 2,000,000 shares of common stock pursuant to the Sales Agreement and partially offset by cash used in other financing activities.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did not have during the periods presented, and we do not currently have, any off-balance sheet arrangements, as defined in the rules and regulations of the SEC.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material changes to our critical accounting policies that are disclosed in our audited consolidated financial statements for the year ended December 31, 2022 filed with the SEC on March 28, 2023.</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as an emerging growth company, we may take advantage of specified reduced disclosure and other requirements that are otherwise applicable generally to public companies. These provisions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exception from compliance with the auditor attestation requirements of Section 404 of the Sarbanes-Oxley Act of 2002, as amended;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reduced disclosure about our executive compensation arrangements in our periodic reports, proxy statements and registration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exemptions from the requirements of holding non-binding advisory votes on executive compensation or golden parachute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exemption from compliance with the requirements of the Public Company Accounting Oversight Board regarding the communication of critical audit matters in the auditor’s report on financial statements.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September 30, 2023, our disclosure controls and procedures were effective to provide reasonable assurance that the information required to be disclosed by us in this Form 10-Q was (a) reported</w:t>
      </w:r>
      <w:r>
        <w:rPr>
          <w:rFonts w:ascii="Times New Roman" w:hAnsi="Times New Roman"/>
          <w:color w:val="000000"/>
          <w:sz w:val="20"/>
        </w:rPr>
        <w:t xml:space="preserve"> </w:t>
      </w:r>
      <w:r>
        <w:rPr>
          <w:rFonts w:ascii="Times New Roman" w:hAnsi="Times New Roman"/>
          <w:b w:val="false"/>
          <w:color w:val="000000"/>
          <w:sz w:val="20"/>
        </w:rPr>
        <w:t>within the time periods specified by SEC rules and regulations, and (b) communicated to our management, including our Chief Executive Officer and Chief Financial Officer, to allow timely decisions regarding any required disclosure.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Internal Controls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2022, filed with the Securities and Exchange Commission on March 28, 2023. Other than as described below, there have been no material changes to the risk factors described in that report.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in August 2023 we announced initial clinical observations from the first adult patient treated in the Phase 1/2 REVEAL trial of TSHA-102. However, those observations may not endure or be repeated in subsequently dosed patients or any age or disease severity, including patients receiving higher doses of TSHA-102. Initial clinical observations also may not translate into success on primary endpoints of the REVEAL trial through week 52. Differences between preliminary or interim data and final data could significantly harm our business prospects and may cause the trading price of our common stock to fluctuate significantly.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our current and future intellectual property licenses with third parties, we could lose rights that are important to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heavily reliant upon licenses to certain patent rights and proprietary technology for the development of our product candidates, in particular the UT Southwestern Agreement and our license agreements with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 For example, in July 2023 we received a notice from Hannah's Hope Foundation that alleges we are in breach of our license agreement relating to TSHA-120 for the treatment of GAN. We believe we are not in breach of such agreement and intend to pursue all avenues with Hannah's Hope Foundation to resolve this dispute; however, there is no guarantee that we will be successful in such effort.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obtain stockholder approval for the Charter Amendment to increase the number of authorized shares of our common stock, we will be required to pay liquidated damages to holders of the Pre-Funded Warrants.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required to hold a special meeting of stockholders for the purpose of obtaining stockholder approval of the Charter Amendment to increase the number of authorized shares of our common stock no later than December 31, 2023. We have agreed to use our best efforts to obtain such stockholder approval and to cause our board of directors to recommend to the stockholders that they approve such matter. If such stockholder approval is not obtained by December 31, 2023, we are required to hold an additional stockholder meeting every three months thereafter until such stockholder approval is obtained.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do not obtain stockholder approval of the Charter Amendment by December 31, 2023, we are required to pay liquidated damages of 2.0% of the aggregate purchase price paid by each holder of Pre-Funded Warrants. For any subsequent failure to obtain such stockholder approval, we are required to pay an additional 2.0% of such aggregate purchase price as liquidated damages.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existing indebtedness contains restrictions that potentially limit our flexibility in operating our business. In addition, we may be required to make a prepayment or repay our outstanding indebtedness earlier than we expect, or we may be unable to draw down the remaining tranches under our Term Loan Agreement if we are unable to satisfy certain conditions.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November 13, 2023, we entered into a Loan and Security Agreement, or the Trinity Term Loan Agreement, with the lenders party thereto from time to time, or the Trinity Lenders, and Trinity Capital Inc., as administrative agent and collateral agent for the Trinity Lenders, or Trinity, which provides for term loans of up to $40.0 million in the aggregate available in a single tranche. The Trinity Term Loan Agreement contains various covenants that limit our ability to engage in specified types of transactions. These covenants limit our ability to, among other things: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incur or assume certain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merge or consolidate or acquire all or substantially all of the capital stock or property of another entity;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 the nature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 our organizational structure or type;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license, transfer, or dispose of certain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grant certain types of liens on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make certain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pay cash dividends;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enter into material transactions with affiliates.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 breach of any of these covenants could result in an event of default under the Trinity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Trinity Term Loan Agreement. In the case of a continuing event of default under the Trinity Term Loan Agreement, the Trinity Lenders could elect to declare all amounts outstanding to be immediately due and payable, proceed against the collateral in which we granted the Trinity Lenders a security interest under the Trinity Term Loan Agreement, or otherwise exercise the rights of a secured creditor.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Amounts outstanding under the Trinity Term Loan Agreement are secured by all of our existing and future assets, including intellectual property.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At closing, we drew the full $40.0 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not have enough available cash to repay or refinance our indebtedness at the time any such repayment is required. In such an event, we may be required to delay, limit, reduce, or terminate our preclinical and clinical product development or commercialization efforts or grant others rights to develop and market product candidates that we would otherwise prefer to develop and market ourselves. Our business, financial condition, and results of operations could be materially adversely affected as a result.</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Use of Proceeds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Trinity Term Loans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On November 13, 2023, we entered into the Trinity Term Loan Agreement, by and among us, Trinity Lenders, and Trinity, as administrative agent and collateral agent for the Trinity Lenders. The Trinity Term Loan Agreement provides for, on November 13, 2023, $40.0 million aggregate principal amount of Trinity Term Loans. We drew the Trinity Term Loans in full on the Trinity Closing Date.</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interest rate applicable to the Trinity Term Loans is the greater of (a) the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w:t>
      </w:r>
    </w:p>
    <w:p>
      <w:pPr>
        <w:pStyle w:val="TextBody"/>
        <w:bidi w:val="0"/>
        <w:jc w:val="left"/>
        <w:rPr>
          <w:rFonts w:ascii="Times New Roman" w:hAnsi="Times New Roman"/>
          <w:sz w:val="20"/>
        </w:rPr>
      </w:pPr>
      <w:r>
        <w:rPr>
          <w:rFonts w:ascii="Times New Roman" w:hAnsi="Times New Roman"/>
          <w:b w:val="false"/>
          <w:color w:val="000000"/>
          <w:sz w:val="20"/>
        </w:rPr>
        <w:t>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we paid to Trinity a commitment fee of 1.00% of the original principal amount of the Trinity Term Loans. Upon repayment in full of the Trinity Term Loans, we will pay to Trinity an end of term payment equal to 5.00% of the original principal amount of the Trinity Term Loans.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The obligations under the Trinity Term Loan Agreement are secured by a perfected security interest in all of our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our ability to engage in specified types of transactions without the consent of Trinity and the Trinity Lenders which include, among others, incurring or assuming certain debt; merging, consolidating or acquiring all or substantially all of the capital stock 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property of another entity; changing the nature of our business; changing our organizational structure or type; licensing, transferring or disposing of certain assets; granting certain types of liens on our assets; making certain investments; and paying cash dividends.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foregoing description of the Trinity Term Loan Agreement does not purport to be complete and is qualified in its entirety by reference to the text of the Trinity Term Loan Agreement, a copy of which is filed herewith as Exhibit 10.2 and incorporated by reference herein.</w:t>
      </w:r>
    </w:p>
    <w:p>
      <w:pPr>
        <w:pStyle w:val="TextBody"/>
        <w:bidi w:val="0"/>
        <w:jc w:val="left"/>
        <w:rPr>
          <w:rFonts w:ascii="Times New Roman" w:hAnsi="Times New Roman"/>
          <w:b/>
          <w:color w:val="000000"/>
          <w:sz w:val="20"/>
        </w:rPr>
      </w:pPr>
      <w:r>
        <w:rPr>
          <w:rFonts w:ascii="Times New Roman" w:hAnsi="Times New Roman"/>
          <w:b/>
          <w:color w:val="000000"/>
          <w:sz w:val="20"/>
        </w:rPr>
        <w:t>Termination of Silicon Valley Bank Term Loan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November 13, 2023, in connection with the closing of the Trinity Term Loan, the existing Loan and Security Agreement by and among us, the lenders party thereto from time to time and Silicon Valley Bank, as administrative agent and collateral agent for the Lenders, dated as of August 12, 2021, or the Closing Date, which provided for provided for (i) on the Closing Date, $40.0 million aggregate principal amount of term loans available through December 31, 2021, (ii) from January 1, 2022 until September 30, 2022, an additional $20.0 million term loan facility available at our option upon having three distinct and active clinical stage programs at the time of draw, (iii) from October 1, 2022 until March 31, 2023, an additional $20.0 million term loan facility available at our option upon having three distinct and active clinical stage programs at the time of draw and (iv) from April 1, 2023 until December 31, 2023, an additional $20.0 million term loan facility available upon approval by the Agent and the Lenders, or, collectively, the Term Loans, was terminated and the Term Loans were repaid in full. All subsidiary guarantees of the Term Loans were automatically released upon the termination of the Loan and Security Agreement.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exhibits listed on the Exhibit Index are either filed or furnished with this report or incorporated herein by reference.</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1"/>
        <w:gridCol w:w="146"/>
        <w:gridCol w:w="9228"/>
      </w:tblGrid>
      <w:tr>
        <w:trPr/>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8" w:type="dxa"/>
            <w:tcBorders/>
            <w:vAlign w:val="center"/>
          </w:tcPr>
          <w:p>
            <w:pPr>
              <w:pStyle w:val="TableContents"/>
              <w:bidi w:val="0"/>
              <w:spacing w:before="0" w:after="283"/>
              <w:jc w:val="left"/>
              <w:rPr>
                <w:sz w:val="4"/>
                <w:szCs w:val="4"/>
              </w:rPr>
            </w:pPr>
            <w:r>
              <w:rPr>
                <w:sz w:val="4"/>
                <w:szCs w:val="4"/>
              </w:rPr>
            </w:r>
          </w:p>
        </w:tc>
      </w:tr>
      <w:tr>
        <w:trPr/>
        <w:tc>
          <w:tcPr>
            <w:tcW w:w="83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b w:val="false"/>
                  <w:color w:val="0000FF"/>
                  <w:sz w:val="20"/>
                  <w:u w:val="single"/>
                </w:rPr>
                <w:t>Amended and Restated Certificate of Incorporation (incorporated by reference to Exhibit 3.1 to the Company’s Current Report on Form 8-K (File No. 001-39536), filed with the Securities and Exchange Commission on September 29, 2020).</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b w:val="false"/>
                  <w:color w:val="0000FF"/>
                  <w:sz w:val="20"/>
                  <w:u w:val="single"/>
                </w:rPr>
                <w:t>Amended and Restated Bylaws (incorporated by reference to Exhibit 3.4 to the Company’s Current Report on Form 8-K (File No. 001-39536), filed with the Securities and Exchange Commission on September 29, 2020).</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b w:val="false"/>
                  <w:color w:val="0000FF"/>
                  <w:sz w:val="20"/>
                  <w:u w:val="single"/>
                </w:rPr>
                <w:t>Form of Pre-Funded Warrant to Purchase Common Stock (incorporated by reference to Exhibit 4.1 to the Company’s Current Report on Form 8-K (File No. 001-39536), filed with the Securities and Exchange Commission on August 14, 2023).</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b w:val="false"/>
                  <w:color w:val="0000FF"/>
                  <w:sz w:val="20"/>
                  <w:u w:val="single"/>
                </w:rPr>
                <w:t>Form of Securities Purchase Agreement, dated August 14, 2023, by and among the Company and the Purchasers (incorporated by reference to Exhibit 4.1 to the Company’s Current Report on Form 8-K (File No. 001-39536), filed with the Securities and Exchange Commission on August 14, 2023).</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10.2*</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jc w:val="left"/>
              <w:rPr/>
            </w:pPr>
            <w:hyperlink w:anchor="tsha-ex10_2.htm">
              <w:r>
                <w:rPr>
                  <w:rStyle w:val="InternetLink"/>
                  <w:rFonts w:ascii="Times New Roman" w:hAnsi="Times New Roman"/>
                  <w:b w:val="false"/>
                  <w:color w:val="0000FF"/>
                  <w:sz w:val="20"/>
                  <w:u w:val="single"/>
                </w:rPr>
                <w:t>Loan and Security Agreement, dated November 13, 2023 by and among the Company,</w:t>
              </w:r>
            </w:hyperlink>
          </w:p>
          <w:p>
            <w:pPr>
              <w:pStyle w:val="TableContents"/>
              <w:bidi w:val="0"/>
              <w:jc w:val="left"/>
              <w:rPr/>
            </w:pPr>
            <w:hyperlink w:anchor="tsha-ex10_2.htm">
              <w:r>
                <w:rPr>
                  <w:rStyle w:val="InternetLink"/>
                  <w:rFonts w:ascii="Times New Roman" w:hAnsi="Times New Roman"/>
                  <w:b w:val="false"/>
                  <w:color w:val="0000FF"/>
                  <w:sz w:val="20"/>
                  <w:u w:val="single"/>
                </w:rPr>
                <w:t>and the lenders from time to time party thereto as lenders, and Trinity Capital, Inc. as administrative agent and collateral</w:t>
              </w:r>
            </w:hyperlink>
          </w:p>
          <w:p>
            <w:pPr>
              <w:pStyle w:val="TableContents"/>
              <w:bidi w:val="0"/>
              <w:spacing w:before="0" w:after="283"/>
              <w:jc w:val="left"/>
              <w:rPr/>
            </w:pPr>
            <w:hyperlink w:anchor="tsha-ex10_2.htm">
              <w:r>
                <w:rPr>
                  <w:rStyle w:val="InternetLink"/>
                  <w:rFonts w:ascii="Times New Roman" w:hAnsi="Times New Roman"/>
                  <w:b w:val="false"/>
                  <w:color w:val="0000FF"/>
                  <w:sz w:val="20"/>
                  <w:u w:val="single"/>
                </w:rPr>
                <w:t>agent.</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XBRL Instance Document - the instance document does not appear in the Interactive Data File because its XBRL tags are embedded within the Inline XBRL document</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Portions of this agreement (indicated by asterisks) have been omitted because the registrant has determined they are not material and are the type of information that the registrant treats as private or confidential.</w:t>
      </w:r>
    </w:p>
    <w:p>
      <w:pPr>
        <w:pStyle w:val="TextBody"/>
        <w:bidi w:val="0"/>
        <w:spacing w:before="12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92" w:type="dxa"/>
        <w:jc w:val="left"/>
        <w:tblInd w:w="0" w:type="dxa"/>
        <w:tblLayout w:type="fixed"/>
        <w:tblCellMar>
          <w:top w:w="28" w:type="dxa"/>
          <w:left w:w="28" w:type="dxa"/>
          <w:bottom w:w="28" w:type="dxa"/>
          <w:right w:w="28" w:type="dxa"/>
        </w:tblCellMar>
      </w:tblPr>
      <w:tblGrid>
        <w:gridCol w:w="2206"/>
        <w:gridCol w:w="109"/>
        <w:gridCol w:w="406"/>
        <w:gridCol w:w="387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Taysha Gene Therapies,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sha-ex10_2.htm"/>
      <w:bookmarkStart w:id="22" w:name="kstshaex10_2"/>
      <w:bookmarkEnd w:id="21"/>
      <w:bookmarkEnd w:id="22"/>
      <w:r>
        <w:rPr>
          <w:rFonts w:ascii="Times New Roman" w:hAnsi="Times New Roman"/>
          <w:b/>
          <w:color w:val="000000"/>
          <w:sz w:val="20"/>
        </w:rPr>
        <w:t>Exhibit 10.2</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CERTAIN INFORMATION HAS BEEN EXCLUDED FROM THIS AGREEMENT (INDICATED BY “[***]”) BECAUSE TAYSHA GENE THERAPIES, INC. HAS DETERMINED SUCH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Arial" w:hAnsi="Arial"/>
          <w:b/>
          <w:color w:val="000000"/>
          <w:sz w:val="20"/>
        </w:rPr>
      </w:pPr>
      <w:r>
        <w:rPr>
          <w:rFonts w:ascii="Arial" w:hAnsi="Arial"/>
          <w:b/>
          <w:color w:val="000000"/>
          <w:sz w:val="20"/>
        </w:rPr>
        <w:t>LOAN AND SECURITY AGREEMENT</w:t>
      </w:r>
    </w:p>
    <w:p>
      <w:pPr>
        <w:pStyle w:val="TextBody"/>
        <w:bidi w:val="0"/>
        <w:spacing w:before="0" w:after="240"/>
        <w:jc w:val="both"/>
        <w:rPr>
          <w:rFonts w:ascii="Times New Roman" w:hAnsi="Times New Roman"/>
          <w:sz w:val="20"/>
        </w:rPr>
      </w:pPr>
      <w:r>
        <w:rPr>
          <w:rFonts w:ascii="Arial" w:hAnsi="Arial"/>
          <w:b w:val="false"/>
          <w:color w:val="000000"/>
          <w:sz w:val="20"/>
        </w:rPr>
        <w:t>THIS LOAN AND SECURITY AGREEMENT is made as of November 13, 2023 (the “</w:t>
      </w:r>
      <w:r>
        <w:rPr>
          <w:rFonts w:ascii="Arial" w:hAnsi="Arial"/>
          <w:b w:val="false"/>
          <w:color w:val="000000"/>
          <w:sz w:val="20"/>
          <w:u w:val="single"/>
        </w:rPr>
        <w:t>Closing Date</w:t>
      </w:r>
      <w:r>
        <w:rPr>
          <w:rFonts w:ascii="Times New Roman" w:hAnsi="Times New Roman"/>
          <w:color w:val="000000"/>
          <w:sz w:val="20"/>
        </w:rPr>
        <w:t>”</w:t>
      </w:r>
      <w:r>
        <w:rPr>
          <w:rFonts w:ascii="Arial" w:hAnsi="Arial"/>
          <w:b w:val="false"/>
          <w:color w:val="000000"/>
          <w:sz w:val="20"/>
        </w:rPr>
        <w:t>), by and among TAYSHA GENE THERAPIES, INC., a Delaware corporation (“</w:t>
      </w:r>
      <w:r>
        <w:rPr>
          <w:rFonts w:ascii="Arial" w:hAnsi="Arial"/>
          <w:b w:val="false"/>
          <w:color w:val="000000"/>
          <w:sz w:val="20"/>
          <w:u w:val="single"/>
        </w:rPr>
        <w:t>Borrower</w:t>
      </w:r>
      <w:r>
        <w:rPr>
          <w:rFonts w:ascii="Times New Roman" w:hAnsi="Times New Roman"/>
          <w:color w:val="000000"/>
          <w:sz w:val="20"/>
        </w:rPr>
        <w:t>”</w:t>
      </w:r>
      <w:r>
        <w:rPr>
          <w:rFonts w:ascii="Arial" w:hAnsi="Arial"/>
          <w:b w:val="false"/>
          <w:color w:val="000000"/>
          <w:sz w:val="20"/>
        </w:rPr>
        <w:t>), the lenders from time to time party hereto (each, a “</w:t>
      </w:r>
      <w:r>
        <w:rPr>
          <w:rFonts w:ascii="Arial" w:hAnsi="Arial"/>
          <w:b w:val="false"/>
          <w:color w:val="000000"/>
          <w:sz w:val="20"/>
          <w:u w:val="single"/>
        </w:rPr>
        <w:t>Lender</w:t>
      </w:r>
      <w:r>
        <w:rPr>
          <w:rFonts w:ascii="Times New Roman" w:hAnsi="Times New Roman"/>
          <w:color w:val="000000"/>
          <w:sz w:val="20"/>
        </w:rPr>
        <w:t xml:space="preserve">” </w:t>
      </w:r>
      <w:r>
        <w:rPr>
          <w:rFonts w:ascii="Arial" w:hAnsi="Arial"/>
          <w:b w:val="false"/>
          <w:color w:val="000000"/>
          <w:sz w:val="20"/>
        </w:rPr>
        <w:t>and collectively, the “</w:t>
      </w:r>
      <w:r>
        <w:rPr>
          <w:rFonts w:ascii="Arial" w:hAnsi="Arial"/>
          <w:b w:val="false"/>
          <w:color w:val="000000"/>
          <w:sz w:val="20"/>
          <w:u w:val="single"/>
        </w:rPr>
        <w:t>Lenders</w:t>
      </w:r>
      <w:r>
        <w:rPr>
          <w:rFonts w:ascii="Times New Roman" w:hAnsi="Times New Roman"/>
          <w:color w:val="000000"/>
          <w:sz w:val="20"/>
        </w:rPr>
        <w:t>”</w:t>
      </w:r>
      <w:r>
        <w:rPr>
          <w:rFonts w:ascii="Arial" w:hAnsi="Arial"/>
          <w:b w:val="false"/>
          <w:color w:val="000000"/>
          <w:sz w:val="20"/>
        </w:rPr>
        <w:t>) and TRINITY CAPITAL INC., a Maryland corporation, as administrative agent and collateral agent for the Lenders (“</w:t>
      </w:r>
      <w:r>
        <w:rPr>
          <w:rFonts w:ascii="Arial" w:hAnsi="Arial"/>
          <w:b w:val="false"/>
          <w:color w:val="000000"/>
          <w:sz w:val="20"/>
          <w:u w:val="single"/>
        </w:rPr>
        <w:t>Administrative Agent</w:t>
      </w:r>
      <w:r>
        <w:rPr>
          <w:rFonts w:ascii="Arial" w:hAnsi="Arial"/>
          <w:b w:val="false"/>
          <w:color w:val="000000"/>
          <w:sz w:val="20"/>
        </w:rPr>
        <w:t>).</w:t>
      </w:r>
    </w:p>
    <w:p>
      <w:pPr>
        <w:pStyle w:val="TextBody"/>
        <w:bidi w:val="0"/>
        <w:spacing w:before="0" w:after="240"/>
        <w:jc w:val="center"/>
        <w:rPr>
          <w:rFonts w:ascii="Arial" w:hAnsi="Arial"/>
          <w:b/>
          <w:color w:val="000000"/>
          <w:sz w:val="20"/>
          <w:u w:val="single"/>
        </w:rPr>
      </w:pPr>
      <w:r>
        <w:rPr>
          <w:rFonts w:ascii="Arial" w:hAnsi="Arial"/>
          <w:b/>
          <w:color w:val="000000"/>
          <w:sz w:val="20"/>
          <w:u w:val="single"/>
        </w:rPr>
        <w:t>RECITALS</w:t>
      </w:r>
    </w:p>
    <w:p>
      <w:pPr>
        <w:pStyle w:val="TextBody"/>
        <w:bidi w:val="0"/>
        <w:spacing w:before="0" w:after="240"/>
        <w:jc w:val="both"/>
        <w:rPr>
          <w:rFonts w:ascii="Times New Roman" w:hAnsi="Times New Roman"/>
          <w:sz w:val="20"/>
        </w:rPr>
      </w:pPr>
      <w:r>
        <w:rPr>
          <w:rFonts w:ascii="Arial" w:hAnsi="Arial"/>
          <w:b/>
          <w:color w:val="000000"/>
          <w:sz w:val="20"/>
        </w:rPr>
        <w:t>WHEREAS</w:t>
      </w:r>
      <w:r>
        <w:rPr>
          <w:rFonts w:ascii="Arial" w:hAnsi="Arial"/>
          <w:b w:val="false"/>
          <w:color w:val="000000"/>
          <w:sz w:val="20"/>
        </w:rPr>
        <w:t>, Borrower may, from time to time, desire to borrow from Lenders, and Lenders, may, from time to time, make available to Borrower, term loans (each a “</w:t>
      </w:r>
      <w:r>
        <w:rPr>
          <w:rFonts w:ascii="Arial" w:hAnsi="Arial"/>
          <w:b w:val="false"/>
          <w:color w:val="000000"/>
          <w:sz w:val="20"/>
          <w:u w:val="single"/>
        </w:rPr>
        <w:t>Loan</w:t>
      </w:r>
      <w:r>
        <w:rPr>
          <w:rFonts w:ascii="Times New Roman" w:hAnsi="Times New Roman"/>
          <w:color w:val="000000"/>
          <w:sz w:val="20"/>
        </w:rPr>
        <w:t xml:space="preserve">” </w:t>
      </w:r>
      <w:r>
        <w:rPr>
          <w:rFonts w:ascii="Arial" w:hAnsi="Arial"/>
          <w:b w:val="false"/>
          <w:color w:val="000000"/>
          <w:sz w:val="20"/>
        </w:rPr>
        <w:t>and collectively the “</w:t>
      </w:r>
      <w:r>
        <w:rPr>
          <w:rFonts w:ascii="Arial" w:hAnsi="Arial"/>
          <w:b w:val="false"/>
          <w:color w:val="000000"/>
          <w:sz w:val="20"/>
          <w:u w:val="single"/>
        </w:rPr>
        <w:t>Loans</w:t>
      </w:r>
      <w:r>
        <w:rPr>
          <w:rFonts w:ascii="Times New Roman" w:hAnsi="Times New Roman"/>
          <w:color w:val="000000"/>
          <w:sz w:val="20"/>
        </w:rPr>
        <w:t>”</w:t>
      </w:r>
      <w:r>
        <w:rPr>
          <w:rFonts w:ascii="Arial" w:hAnsi="Arial"/>
          <w:b w:val="false"/>
          <w:color w:val="000000"/>
          <w:sz w:val="20"/>
        </w:rPr>
        <w:t>); and</w:t>
      </w:r>
    </w:p>
    <w:p>
      <w:pPr>
        <w:pStyle w:val="TextBody"/>
        <w:bidi w:val="0"/>
        <w:spacing w:before="0" w:after="240"/>
        <w:jc w:val="both"/>
        <w:rPr>
          <w:rFonts w:ascii="Times New Roman" w:hAnsi="Times New Roman"/>
          <w:sz w:val="20"/>
        </w:rPr>
      </w:pPr>
      <w:r>
        <w:rPr>
          <w:rFonts w:ascii="Arial" w:hAnsi="Arial"/>
          <w:b/>
          <w:color w:val="000000"/>
          <w:sz w:val="20"/>
        </w:rPr>
        <w:t>WHEREAS</w:t>
      </w:r>
      <w:r>
        <w:rPr>
          <w:rFonts w:ascii="Arial" w:hAnsi="Arial"/>
          <w:b w:val="false"/>
          <w:color w:val="000000"/>
          <w:sz w:val="20"/>
        </w:rPr>
        <w:t>, Borrower and Lenders desire that this Agreement shall serve as a master agreement which sets forth the terms and conditions governing any Loan by Lenders to Borrower.</w:t>
      </w:r>
    </w:p>
    <w:p>
      <w:pPr>
        <w:pStyle w:val="TextBody"/>
        <w:bidi w:val="0"/>
        <w:spacing w:before="0" w:after="240"/>
        <w:jc w:val="both"/>
        <w:rPr>
          <w:rFonts w:ascii="Times New Roman" w:hAnsi="Times New Roman"/>
          <w:sz w:val="20"/>
        </w:rPr>
      </w:pPr>
      <w:r>
        <w:rPr>
          <w:rFonts w:ascii="Arial" w:hAnsi="Arial"/>
          <w:b/>
          <w:color w:val="000000"/>
          <w:sz w:val="20"/>
        </w:rPr>
        <w:t>NOW, THEREFORE</w:t>
      </w:r>
      <w:r>
        <w:rPr>
          <w:rFonts w:ascii="Arial" w:hAnsi="Arial"/>
          <w:b w:val="false"/>
          <w:color w:val="000000"/>
          <w:sz w:val="20"/>
        </w:rPr>
        <w:t>, in consideration of the agreements and covenants contained herein, and for other good and valuable consideration, the receipt and sufficiency of which is hereby acknowledged, the parties hereto agree as follows:</w:t>
      </w:r>
    </w:p>
    <w:p>
      <w:pPr>
        <w:pStyle w:val="TextBody"/>
        <w:bidi w:val="0"/>
        <w:spacing w:before="0" w:after="240"/>
        <w:jc w:val="center"/>
        <w:rPr>
          <w:rFonts w:ascii="Arial" w:hAnsi="Arial"/>
          <w:b/>
          <w:caps/>
          <w:color w:val="000000"/>
          <w:sz w:val="20"/>
        </w:rPr>
      </w:pPr>
      <w:r>
        <w:rPr>
          <w:rFonts w:ascii="Arial" w:hAnsi="Arial"/>
          <w:b/>
          <w:caps/>
          <w:color w:val="000000"/>
          <w:sz w:val="20"/>
        </w:rPr>
        <w:t>Article 1</w:t>
      </w:r>
    </w:p>
    <w:p>
      <w:pPr>
        <w:pStyle w:val="TextBody"/>
        <w:bidi w:val="0"/>
        <w:spacing w:before="0" w:after="240"/>
        <w:jc w:val="center"/>
        <w:rPr>
          <w:rFonts w:ascii="Arial" w:hAnsi="Arial"/>
          <w:b/>
          <w:caps/>
          <w:color w:val="000000"/>
          <w:sz w:val="20"/>
          <w:u w:val="single"/>
        </w:rPr>
      </w:pPr>
      <w:r>
        <w:rPr>
          <w:rFonts w:ascii="Arial" w:hAnsi="Arial"/>
          <w:b/>
          <w:caps/>
          <w:color w:val="000000"/>
          <w:sz w:val="20"/>
          <w:u w:val="single"/>
        </w:rPr>
        <w:br/>
        <w:br/>
        <w:t>DEFINITIONS</w:t>
      </w:r>
    </w:p>
    <w:p>
      <w:pPr>
        <w:pStyle w:val="TextBody"/>
        <w:bidi w:val="0"/>
        <w:spacing w:before="0" w:after="240"/>
        <w:jc w:val="both"/>
        <w:rPr>
          <w:rFonts w:ascii="Arial" w:hAnsi="Arial"/>
          <w:b w:val="false"/>
          <w:color w:val="000000"/>
          <w:sz w:val="20"/>
        </w:rPr>
      </w:pPr>
      <w:r>
        <w:rPr>
          <w:rFonts w:ascii="Arial" w:hAnsi="Arial"/>
          <w:b w:val="false"/>
          <w:color w:val="000000"/>
          <w:sz w:val="20"/>
        </w:rPr>
        <w:t>As used herein, all capitalized terms shall have the meanings set forth below. All other capitalized terms used but not defined herein shall have the meaning given to such terms in the UCC. Any accounting term used but not defined herein shall be construed in accordance with GAAP and all calculations shall be made in accordance with GAAP. The term “financial statements” shall include the accompanying notes and schedules.</w:t>
      </w:r>
    </w:p>
    <w:p>
      <w:pPr>
        <w:pStyle w:val="TextBody"/>
        <w:bidi w:val="0"/>
        <w:spacing w:before="0" w:after="240"/>
        <w:jc w:val="both"/>
        <w:rPr/>
      </w:pPr>
      <w:r>
        <w:rPr>
          <w:color w:val="000000"/>
        </w:rPr>
        <w:t>“</w:t>
      </w:r>
      <w:r>
        <w:rPr>
          <w:rFonts w:ascii="Arial" w:hAnsi="Arial"/>
          <w:b w:val="false"/>
          <w:color w:val="000000"/>
          <w:sz w:val="20"/>
          <w:u w:val="single"/>
        </w:rPr>
        <w:t>Account Control Agreement</w:t>
      </w:r>
      <w:r>
        <w:rPr>
          <w:color w:val="000000"/>
        </w:rPr>
        <w:t xml:space="preserve">” </w:t>
      </w:r>
      <w:r>
        <w:rPr>
          <w:rFonts w:ascii="Arial" w:hAnsi="Arial"/>
          <w:b w:val="false"/>
          <w:color w:val="000000"/>
          <w:sz w:val="20"/>
        </w:rPr>
        <w:t xml:space="preserve">means any deposit account control agreement or securities account control agreement in a form acceptable to Administrative Agent required to perfect Administrative Agent’s security interest in all Deposit Accounts and Securities Accounts of Borrower and each of its Subsidiaries. </w:t>
      </w:r>
    </w:p>
    <w:p>
      <w:pPr>
        <w:pStyle w:val="TextBody"/>
        <w:bidi w:val="0"/>
        <w:spacing w:before="0" w:after="240"/>
        <w:jc w:val="both"/>
        <w:rPr/>
      </w:pPr>
      <w:r>
        <w:rPr>
          <w:color w:val="000000"/>
        </w:rPr>
        <w:t>“</w:t>
      </w:r>
      <w:r>
        <w:rPr>
          <w:rFonts w:ascii="Arial" w:hAnsi="Arial"/>
          <w:b w:val="false"/>
          <w:color w:val="000000"/>
          <w:sz w:val="20"/>
          <w:u w:val="single"/>
        </w:rPr>
        <w:t>Administrative Agent</w:t>
      </w:r>
      <w:r>
        <w:rPr>
          <w:color w:val="000000"/>
        </w:rPr>
        <w:t xml:space="preserve">” </w:t>
      </w:r>
      <w:r>
        <w:rPr>
          <w:rFonts w:ascii="Arial" w:hAnsi="Arial"/>
          <w:b w:val="false"/>
          <w:color w:val="000000"/>
          <w:sz w:val="20"/>
        </w:rPr>
        <w:t>means Trinity Capital Inc., in its capacity as administrative agent and collateral agent under the Loan Documents, or any successor administrative agent and collateral agent appointed in accordance with Article 5.</w:t>
      </w:r>
    </w:p>
    <w:p>
      <w:pPr>
        <w:pStyle w:val="TextBody"/>
        <w:bidi w:val="0"/>
        <w:spacing w:before="0" w:after="240"/>
        <w:jc w:val="both"/>
        <w:rPr/>
      </w:pPr>
      <w:r>
        <w:rPr>
          <w:color w:val="000000"/>
        </w:rPr>
        <w:t>“</w:t>
      </w:r>
      <w:r>
        <w:rPr>
          <w:rFonts w:ascii="Arial" w:hAnsi="Arial"/>
          <w:b w:val="false"/>
          <w:color w:val="000000"/>
          <w:sz w:val="20"/>
          <w:u w:val="single"/>
        </w:rPr>
        <w:t>Administrative Agent’s Account</w:t>
      </w:r>
      <w:r>
        <w:rPr>
          <w:color w:val="000000"/>
        </w:rPr>
        <w:t xml:space="preserve">” </w:t>
      </w:r>
      <w:r>
        <w:rPr>
          <w:rFonts w:ascii="Arial" w:hAnsi="Arial"/>
          <w:b w:val="false"/>
          <w:color w:val="000000"/>
          <w:sz w:val="20"/>
        </w:rPr>
        <w:t>means an account at a bank designated by the Administrative Agent from time to time in a written notice to Borrower as the account into which the Borrower shall make all payments to the Administrative Agent for the benefit of the Administrative Agent and the Lenders under this Agreement and the other Loan Documents.</w:t>
      </w:r>
    </w:p>
    <w:p>
      <w:pPr>
        <w:pStyle w:val="TextBody"/>
        <w:bidi w:val="0"/>
        <w:spacing w:before="0" w:after="240"/>
        <w:jc w:val="both"/>
        <w:rPr/>
      </w:pPr>
      <w:r>
        <w:rPr>
          <w:color w:val="000000"/>
        </w:rPr>
        <w:t>“</w:t>
      </w:r>
      <w:r>
        <w:rPr>
          <w:rFonts w:ascii="Arial" w:hAnsi="Arial"/>
          <w:b w:val="false"/>
          <w:color w:val="000000"/>
          <w:sz w:val="20"/>
          <w:u w:val="single"/>
        </w:rPr>
        <w:t>Administrative Agent’s Expenses</w:t>
      </w:r>
      <w:r>
        <w:rPr>
          <w:color w:val="000000"/>
        </w:rPr>
        <w:t xml:space="preserve">” </w:t>
      </w:r>
      <w:r>
        <w:rPr>
          <w:rFonts w:ascii="Arial" w:hAnsi="Arial"/>
          <w:b w:val="false"/>
          <w:color w:val="000000"/>
          <w:sz w:val="20"/>
        </w:rPr>
        <w:t xml:space="preserve">means all reasonable and documented out of pocket costs or expenses (including reasonable and documented attorneys’ fees and expenses) incurred by Administrative Agent in connection with the preparation, negotiation, documentation, drafting, amendment, modification, administration, perfection and funding of the Loan Documents; and all of Administrative Agent’s reasonable and documented attorneys’ fees, costs and expenses incurred in enforcing or defending the Loan Documents (including fees and expenses of appeal or review) and the rights of Administrative Agent in and to the Loans and the Collateral or otherwise hereunder, including the exercise of any rights or remedies afforded hereunder or under applicable law, whether or not suit is brought, whether before or after bankruptcy or insolvency, including all fees and costs incurred by Administrative Agent in connection with </w:t>
      </w:r>
    </w:p>
    <w:p>
      <w:pPr>
        <w:pStyle w:val="TextBody"/>
        <w:bidi w:val="0"/>
        <w:jc w:val="center"/>
        <w:rPr>
          <w:rFonts w:ascii="Arial" w:hAnsi="Arial"/>
          <w:b w:val="false"/>
          <w:color w:val="000000"/>
          <w:sz w:val="20"/>
        </w:rPr>
      </w:pPr>
      <w:r>
        <w:rPr>
          <w:rFonts w:ascii="Arial" w:hAnsi="Arial"/>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its enforcement of its rights in a bankruptcy or insolvency proceeding filed by or against Borrower, any Subsidiary or their respective Property.</w:t>
      </w:r>
    </w:p>
    <w:p>
      <w:pPr>
        <w:pStyle w:val="TextBody"/>
        <w:bidi w:val="0"/>
        <w:spacing w:before="0" w:after="240"/>
        <w:jc w:val="both"/>
        <w:rPr/>
      </w:pPr>
      <w:r>
        <w:rPr>
          <w:color w:val="000000"/>
        </w:rPr>
        <w:t>“</w:t>
      </w:r>
      <w:r>
        <w:rPr>
          <w:rFonts w:ascii="Arial" w:hAnsi="Arial"/>
          <w:b w:val="false"/>
          <w:color w:val="000000"/>
          <w:sz w:val="20"/>
          <w:u w:val="single"/>
        </w:rPr>
        <w:t>Advance</w:t>
      </w:r>
      <w:r>
        <w:rPr>
          <w:color w:val="000000"/>
        </w:rPr>
        <w:t xml:space="preserve">” </w:t>
      </w:r>
      <w:r>
        <w:rPr>
          <w:rFonts w:ascii="Arial" w:hAnsi="Arial"/>
          <w:b w:val="false"/>
          <w:color w:val="000000"/>
          <w:sz w:val="20"/>
        </w:rPr>
        <w:t>means any Loan funds advanced under this Agreement.</w:t>
      </w:r>
    </w:p>
    <w:p>
      <w:pPr>
        <w:pStyle w:val="TextBody"/>
        <w:bidi w:val="0"/>
        <w:spacing w:before="0" w:after="240"/>
        <w:jc w:val="both"/>
        <w:rPr/>
      </w:pPr>
      <w:r>
        <w:rPr>
          <w:color w:val="000000"/>
        </w:rPr>
        <w:t>“</w:t>
      </w:r>
      <w:r>
        <w:rPr>
          <w:rFonts w:ascii="Arial" w:hAnsi="Arial"/>
          <w:b w:val="false"/>
          <w:color w:val="000000"/>
          <w:sz w:val="20"/>
          <w:u w:val="single"/>
        </w:rPr>
        <w:t>Affiliate</w:t>
      </w:r>
      <w:r>
        <w:rPr>
          <w:color w:val="000000"/>
        </w:rPr>
        <w:t xml:space="preserve">” </w:t>
      </w:r>
      <w:r>
        <w:rPr>
          <w:rFonts w:ascii="Arial" w:hAnsi="Arial"/>
          <w:b w:val="false"/>
          <w:color w:val="000000"/>
          <w:sz w:val="20"/>
        </w:rPr>
        <w:t>means, with respect to any Person, any other Person that owns or controls directly or indirectly ten percent (10%) or more of the stock of another entity of such Person, any other Person that controls or is controlled by or is under common control with such Person and each of such Person’s officers, directors, managers, joint venturers or partners. For purposes of this definition, the term “control” of a Person means the possession, direct or indirect, of the power to direct or cause the direction of the management and policies of such Person, whether through the ownership of voting Equity Securities, by contract or otherwise and the terms “controlled by” and “under common control with” shall have correlative meanings.</w:t>
      </w:r>
    </w:p>
    <w:p>
      <w:pPr>
        <w:pStyle w:val="TextBody"/>
        <w:bidi w:val="0"/>
        <w:spacing w:before="0" w:after="240"/>
        <w:jc w:val="both"/>
        <w:rPr/>
      </w:pPr>
      <w:r>
        <w:rPr>
          <w:color w:val="000000"/>
        </w:rPr>
        <w:t>“</w:t>
      </w:r>
      <w:r>
        <w:rPr>
          <w:rFonts w:ascii="Arial" w:hAnsi="Arial"/>
          <w:b w:val="false"/>
          <w:color w:val="000000"/>
          <w:sz w:val="20"/>
          <w:u w:val="single"/>
        </w:rPr>
        <w:t>Agreement</w:t>
      </w:r>
      <w:r>
        <w:rPr>
          <w:color w:val="000000"/>
        </w:rPr>
        <w:t xml:space="preserve">” </w:t>
      </w:r>
      <w:r>
        <w:rPr>
          <w:rFonts w:ascii="Arial" w:hAnsi="Arial"/>
          <w:b w:val="false"/>
          <w:color w:val="000000"/>
          <w:sz w:val="20"/>
        </w:rPr>
        <w:t>means this Loan and Security Agreement and all Schedules and Exhibits annexed hereto and made a part hereof, as the same may be amended, supplemented and or modified from time to time by the parties hereto.</w:t>
      </w:r>
    </w:p>
    <w:p>
      <w:pPr>
        <w:pStyle w:val="TextBody"/>
        <w:bidi w:val="0"/>
        <w:spacing w:before="0" w:after="240"/>
        <w:jc w:val="both"/>
        <w:rPr/>
      </w:pPr>
      <w:r>
        <w:rPr>
          <w:color w:val="000000"/>
        </w:rPr>
        <w:t>“</w:t>
      </w:r>
      <w:r>
        <w:rPr>
          <w:rFonts w:ascii="Arial" w:hAnsi="Arial"/>
          <w:b w:val="false"/>
          <w:color w:val="000000"/>
          <w:sz w:val="20"/>
          <w:u w:val="single"/>
        </w:rPr>
        <w:t>Amortization Date</w:t>
      </w:r>
      <w:r>
        <w:rPr>
          <w:color w:val="000000"/>
        </w:rPr>
        <w:t xml:space="preserve">” </w:t>
      </w:r>
      <w:r>
        <w:rPr>
          <w:rFonts w:ascii="Arial" w:hAnsi="Arial"/>
          <w:b w:val="false"/>
          <w:color w:val="000000"/>
          <w:sz w:val="20"/>
        </w:rPr>
        <w:t xml:space="preserve">has the meaning provided in </w:t>
      </w:r>
      <w:r>
        <w:rPr>
          <w:rFonts w:ascii="Arial" w:hAnsi="Arial"/>
          <w:b w:val="false"/>
          <w:color w:val="000000"/>
          <w:sz w:val="20"/>
          <w:u w:val="single"/>
        </w:rPr>
        <w:t>Section 2.1(a)</w:t>
      </w:r>
      <w:r>
        <w:rPr>
          <w:rFonts w:ascii="Arial" w:hAnsi="Arial"/>
          <w:b w:val="false"/>
          <w:color w:val="000000"/>
          <w:sz w:val="20"/>
        </w:rPr>
        <w:t>.</w:t>
      </w:r>
    </w:p>
    <w:p>
      <w:pPr>
        <w:pStyle w:val="TextBody"/>
        <w:bidi w:val="0"/>
        <w:spacing w:before="0" w:after="240"/>
        <w:jc w:val="both"/>
        <w:rPr/>
      </w:pPr>
      <w:r>
        <w:rPr>
          <w:color w:val="000000"/>
        </w:rPr>
        <w:t>“</w:t>
      </w:r>
      <w:r>
        <w:rPr>
          <w:rFonts w:ascii="Arial" w:hAnsi="Arial"/>
          <w:b w:val="false"/>
          <w:color w:val="000000"/>
          <w:sz w:val="20"/>
          <w:u w:val="single"/>
        </w:rPr>
        <w:t>Amortization Schedule</w:t>
      </w:r>
      <w:r>
        <w:rPr>
          <w:color w:val="000000"/>
        </w:rPr>
        <w:t xml:space="preserve">” </w:t>
      </w:r>
      <w:r>
        <w:rPr>
          <w:rFonts w:ascii="Arial" w:hAnsi="Arial"/>
          <w:b w:val="false"/>
          <w:color w:val="000000"/>
          <w:sz w:val="20"/>
        </w:rPr>
        <w:t xml:space="preserve">has the meaning provided in </w:t>
      </w:r>
      <w:r>
        <w:rPr>
          <w:rFonts w:ascii="Arial" w:hAnsi="Arial"/>
          <w:b w:val="false"/>
          <w:color w:val="000000"/>
          <w:sz w:val="20"/>
          <w:u w:val="single"/>
        </w:rPr>
        <w:t>Section 2.1(a)</w:t>
      </w:r>
      <w:r>
        <w:rPr>
          <w:rFonts w:ascii="Arial" w:hAnsi="Arial"/>
          <w:b w:val="false"/>
          <w:color w:val="000000"/>
          <w:sz w:val="20"/>
        </w:rPr>
        <w:t>.</w:t>
      </w:r>
    </w:p>
    <w:p>
      <w:pPr>
        <w:pStyle w:val="TextBody"/>
        <w:bidi w:val="0"/>
        <w:spacing w:before="0" w:after="240"/>
        <w:jc w:val="both"/>
        <w:rPr/>
      </w:pPr>
      <w:r>
        <w:rPr>
          <w:color w:val="000000"/>
        </w:rPr>
        <w:t>“</w:t>
      </w:r>
      <w:r>
        <w:rPr>
          <w:rFonts w:ascii="Arial" w:hAnsi="Arial"/>
          <w:b w:val="false"/>
          <w:color w:val="000000"/>
          <w:sz w:val="20"/>
          <w:u w:val="single"/>
        </w:rPr>
        <w:t>Anti-Terrorism Laws</w:t>
      </w:r>
      <w:r>
        <w:rPr>
          <w:color w:val="000000"/>
        </w:rPr>
        <w:t xml:space="preserve">” </w:t>
      </w:r>
      <w:r>
        <w:rPr>
          <w:rFonts w:ascii="Arial" w:hAnsi="Arial"/>
          <w:b w:val="false"/>
          <w:color w:val="000000"/>
          <w:sz w:val="20"/>
        </w:rPr>
        <w:t>means any laws relating to terrorism or money laundering, including Executive Order No. 13224 (effective September 24, 2001), the USA PATRIOT Act, the laws comprising or implementing the Bank Secrecy Act, and the laws administered by OFAC.</w:t>
      </w:r>
    </w:p>
    <w:p>
      <w:pPr>
        <w:pStyle w:val="TextBody"/>
        <w:bidi w:val="0"/>
        <w:spacing w:before="0" w:after="240"/>
        <w:jc w:val="both"/>
        <w:rPr/>
      </w:pPr>
      <w:r>
        <w:rPr>
          <w:color w:val="000000"/>
        </w:rPr>
        <w:t>“</w:t>
      </w:r>
      <w:r>
        <w:rPr>
          <w:rFonts w:ascii="Arial" w:hAnsi="Arial"/>
          <w:b w:val="false"/>
          <w:color w:val="000000"/>
          <w:sz w:val="20"/>
          <w:u w:val="single"/>
        </w:rPr>
        <w:t>Applicable Rate</w:t>
      </w:r>
      <w:r>
        <w:rPr>
          <w:color w:val="000000"/>
        </w:rPr>
        <w:t xml:space="preserve">” </w:t>
      </w:r>
      <w:r>
        <w:rPr>
          <w:rFonts w:ascii="Arial" w:hAnsi="Arial"/>
          <w:b w:val="false"/>
          <w:color w:val="000000"/>
          <w:sz w:val="20"/>
        </w:rPr>
        <w:t>means a variable annual interest rate equal to the greater of (i) the Prime Rate plus four and one-half percent (4.50%) or (ii) twelve and three-quarters percent (12.75%).</w:t>
      </w:r>
    </w:p>
    <w:p>
      <w:pPr>
        <w:pStyle w:val="TextBody"/>
        <w:bidi w:val="0"/>
        <w:spacing w:before="0" w:after="240"/>
        <w:jc w:val="both"/>
        <w:rPr/>
      </w:pPr>
      <w:r>
        <w:rPr>
          <w:color w:val="000000"/>
        </w:rPr>
        <w:t>“</w:t>
      </w:r>
      <w:r>
        <w:rPr>
          <w:rFonts w:ascii="Arial" w:hAnsi="Arial"/>
          <w:b w:val="false"/>
          <w:color w:val="000000"/>
          <w:sz w:val="20"/>
          <w:u w:val="single"/>
        </w:rPr>
        <w:t>Assignment and Acceptance</w:t>
      </w:r>
      <w:r>
        <w:rPr>
          <w:rFonts w:ascii="Times New Roman" w:hAnsi="Times New Roman"/>
          <w:color w:val="000000"/>
          <w:sz w:val="20"/>
        </w:rPr>
        <w:t xml:space="preserve">” </w:t>
      </w:r>
      <w:r>
        <w:rPr>
          <w:rFonts w:ascii="Arial" w:hAnsi="Arial"/>
          <w:b w:val="false"/>
          <w:color w:val="000000"/>
          <w:sz w:val="20"/>
        </w:rPr>
        <w:t>means an assignment and acceptance entered into by an assigning Lender and an eligible assignee and, to the extent required, consented to by the Administrative Agent and Borrower in accordance with Section 5.4 hereof and substantially in form reasonably acceptable to the Administrative Agent and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Arial" w:hAnsi="Arial"/>
          <w:b w:val="false"/>
          <w:color w:val="000000"/>
          <w:sz w:val="20"/>
          <w:u w:val="single"/>
        </w:rPr>
        <w:t>BLA</w:t>
      </w:r>
      <w:r>
        <w:rPr>
          <w:rFonts w:ascii="Times New Roman" w:hAnsi="Times New Roman"/>
          <w:color w:val="000000"/>
          <w:sz w:val="20"/>
        </w:rPr>
        <w:t xml:space="preserve">” </w:t>
      </w:r>
      <w:r>
        <w:rPr>
          <w:rFonts w:ascii="Arial" w:hAnsi="Arial"/>
          <w:b w:val="false"/>
          <w:color w:val="000000"/>
          <w:sz w:val="20"/>
        </w:rPr>
        <w:t>means Biologics License Application.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Arial" w:hAnsi="Arial"/>
          <w:b w:val="false"/>
          <w:color w:val="000000"/>
          <w:sz w:val="20"/>
          <w:u w:val="single"/>
        </w:rPr>
        <w:t>Blocked Person</w:t>
      </w:r>
      <w:r>
        <w:rPr>
          <w:rFonts w:ascii="Times New Roman" w:hAnsi="Times New Roman"/>
          <w:color w:val="000000"/>
          <w:sz w:val="20"/>
        </w:rPr>
        <w:t xml:space="preserve">” </w:t>
      </w:r>
      <w:r>
        <w:rPr>
          <w:rFonts w:ascii="Arial" w:hAnsi="Arial"/>
          <w:b w:val="false"/>
          <w:color w:val="000000"/>
          <w:sz w:val="20"/>
        </w:rPr>
        <w:t>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w:t>
      </w:r>
    </w:p>
    <w:p>
      <w:pPr>
        <w:pStyle w:val="TextBody"/>
        <w:bidi w:val="0"/>
        <w:spacing w:before="0" w:after="240"/>
        <w:jc w:val="both"/>
        <w:rPr/>
      </w:pPr>
      <w:r>
        <w:rPr>
          <w:color w:val="000000"/>
        </w:rPr>
        <w:t>“</w:t>
      </w:r>
      <w:r>
        <w:rPr>
          <w:rFonts w:ascii="Arial" w:hAnsi="Arial"/>
          <w:b w:val="false"/>
          <w:color w:val="000000"/>
          <w:sz w:val="20"/>
          <w:u w:val="single"/>
        </w:rPr>
        <w:t>Business Day</w:t>
      </w:r>
      <w:r>
        <w:rPr>
          <w:color w:val="000000"/>
        </w:rPr>
        <w:t xml:space="preserve">” </w:t>
      </w:r>
      <w:r>
        <w:rPr>
          <w:rFonts w:ascii="Arial" w:hAnsi="Arial"/>
          <w:b w:val="false"/>
          <w:color w:val="000000"/>
          <w:sz w:val="20"/>
        </w:rPr>
        <w:t>means a day when the banks in Phoenix, Arizona are open for business.</w:t>
      </w:r>
    </w:p>
    <w:p>
      <w:pPr>
        <w:pStyle w:val="TextBody"/>
        <w:bidi w:val="0"/>
        <w:spacing w:before="0" w:after="240"/>
        <w:jc w:val="both"/>
        <w:rPr/>
      </w:pPr>
      <w:r>
        <w:rPr>
          <w:color w:val="000000"/>
        </w:rPr>
        <w:t>“</w:t>
      </w:r>
      <w:r>
        <w:rPr>
          <w:rFonts w:ascii="Arial" w:hAnsi="Arial"/>
          <w:b w:val="false"/>
          <w:color w:val="000000"/>
          <w:sz w:val="20"/>
          <w:u w:val="single"/>
        </w:rPr>
        <w:t>Change of Control</w:t>
      </w:r>
      <w:r>
        <w:rPr>
          <w:color w:val="000000"/>
        </w:rPr>
        <w:t xml:space="preserve">” </w:t>
      </w:r>
      <w:r>
        <w:rPr>
          <w:rFonts w:ascii="Arial" w:hAnsi="Arial"/>
          <w:b w:val="false"/>
          <w:color w:val="000000"/>
          <w:sz w:val="20"/>
        </w:rPr>
        <w:t xml:space="preserve">means the closing of any transaction or series of transactions by which Borrower shall merge with (whether or not Borrower is the surviving entity) or consolidate into any other Person or lease or sell substantially all of its and its subsidiaries’ assets substantially as an entirety to any other Person or by which any Person, entity or group (within the meaning of Rule 13d-5 under the Securities Exchange Act of 1934) acquires, directly or indirectly, forty-nine percent (49%) or more of Borrower’s outstanding capital stock that has ordinary voting power for the election of directors of Borrower (determined </w:t>
      </w:r>
    </w:p>
    <w:p>
      <w:pPr>
        <w:pStyle w:val="TextBody"/>
        <w:bidi w:val="0"/>
        <w:jc w:val="center"/>
        <w:rPr>
          <w:rFonts w:ascii="Arial" w:hAnsi="Arial"/>
          <w:b w:val="false"/>
          <w:color w:val="000000"/>
          <w:sz w:val="20"/>
        </w:rPr>
      </w:pPr>
      <w:r>
        <w:rPr>
          <w:rFonts w:ascii="Arial" w:hAnsi="Arial"/>
          <w:b w:val="false"/>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on a fully diluted basis), unless in each case, as a condition to the closing and consummation of such transaction that would otherwise constitute a “Change of Control,” the Obligations will be paid in full.</w:t>
      </w:r>
    </w:p>
    <w:p>
      <w:pPr>
        <w:pStyle w:val="TextBody"/>
        <w:bidi w:val="0"/>
        <w:spacing w:before="0" w:after="240"/>
        <w:jc w:val="left"/>
        <w:rPr/>
      </w:pPr>
      <w:r>
        <w:rPr>
          <w:color w:val="000000"/>
        </w:rPr>
        <w:t>“</w:t>
      </w:r>
      <w:r>
        <w:rPr>
          <w:rFonts w:ascii="Arial" w:hAnsi="Arial"/>
          <w:b w:val="false"/>
          <w:color w:val="000000"/>
          <w:sz w:val="20"/>
          <w:u w:val="single"/>
        </w:rPr>
        <w:t>Closing Date</w:t>
      </w:r>
      <w:r>
        <w:rPr>
          <w:rFonts w:ascii="Times New Roman" w:hAnsi="Times New Roman"/>
          <w:color w:val="000000"/>
          <w:sz w:val="20"/>
        </w:rPr>
        <w:t xml:space="preserve">” </w:t>
      </w:r>
      <w:r>
        <w:rPr>
          <w:rFonts w:ascii="Arial" w:hAnsi="Arial"/>
          <w:b w:val="false"/>
          <w:color w:val="000000"/>
          <w:sz w:val="20"/>
        </w:rPr>
        <w:t>has the meaning set forth in the preamble hereto.</w:t>
      </w:r>
    </w:p>
    <w:p>
      <w:pPr>
        <w:pStyle w:val="TextBody"/>
        <w:bidi w:val="0"/>
        <w:spacing w:before="0" w:after="240"/>
        <w:jc w:val="both"/>
        <w:rPr/>
      </w:pPr>
      <w:r>
        <w:rPr>
          <w:color w:val="000000"/>
        </w:rPr>
        <w:t>“</w:t>
      </w:r>
      <w:r>
        <w:rPr>
          <w:rFonts w:ascii="Arial" w:hAnsi="Arial"/>
          <w:b w:val="false"/>
          <w:color w:val="000000"/>
          <w:sz w:val="20"/>
          <w:u w:val="single"/>
        </w:rPr>
        <w:t>Collateral</w:t>
      </w:r>
      <w:r>
        <w:rPr>
          <w:color w:val="000000"/>
        </w:rPr>
        <w:t xml:space="preserve">” </w:t>
      </w:r>
      <w:r>
        <w:rPr>
          <w:rFonts w:ascii="Arial" w:hAnsi="Arial"/>
          <w:b w:val="false"/>
          <w:color w:val="000000"/>
          <w:sz w:val="20"/>
        </w:rPr>
        <w:t xml:space="preserve">has the meaning provided in </w:t>
      </w:r>
      <w:r>
        <w:rPr>
          <w:rFonts w:ascii="Arial" w:hAnsi="Arial"/>
          <w:b w:val="false"/>
          <w:color w:val="000000"/>
          <w:sz w:val="20"/>
          <w:u w:val="single"/>
        </w:rPr>
        <w:t>Article 3</w:t>
      </w:r>
      <w:r>
        <w:rPr>
          <w:rFonts w:ascii="Arial" w:hAnsi="Arial"/>
          <w:b w:val="false"/>
          <w:color w:val="000000"/>
          <w:sz w:val="20"/>
        </w:rPr>
        <w:t>.</w:t>
      </w:r>
    </w:p>
    <w:p>
      <w:pPr>
        <w:pStyle w:val="TextBody"/>
        <w:bidi w:val="0"/>
        <w:spacing w:before="0" w:after="240"/>
        <w:jc w:val="both"/>
        <w:rPr/>
      </w:pPr>
      <w:r>
        <w:rPr>
          <w:color w:val="000000"/>
        </w:rPr>
        <w:t>“</w:t>
      </w:r>
      <w:r>
        <w:rPr>
          <w:rFonts w:ascii="Arial" w:hAnsi="Arial"/>
          <w:b w:val="false"/>
          <w:color w:val="000000"/>
          <w:sz w:val="20"/>
          <w:u w:val="single"/>
        </w:rPr>
        <w:t>Commitments</w:t>
      </w:r>
      <w:r>
        <w:rPr>
          <w:color w:val="000000"/>
        </w:rPr>
        <w:t xml:space="preserve">” </w:t>
      </w:r>
      <w:r>
        <w:rPr>
          <w:rFonts w:ascii="Arial" w:hAnsi="Arial"/>
          <w:b w:val="false"/>
          <w:color w:val="000000"/>
          <w:sz w:val="20"/>
        </w:rPr>
        <w:t xml:space="preserve">means, with respect to each Lender, such Lender’s obligation to make Loans to the Borrower hereunder in a principal amount equal to the amount set forth under the heading “Commitment” opposite such Lender’s name on </w:t>
      </w:r>
      <w:r>
        <w:rPr>
          <w:rFonts w:ascii="Arial" w:hAnsi="Arial"/>
          <w:b w:val="false"/>
          <w:color w:val="000000"/>
          <w:sz w:val="20"/>
          <w:u w:val="single"/>
        </w:rPr>
        <w:t>Schedule 2</w:t>
      </w:r>
      <w:r>
        <w:rPr>
          <w:rFonts w:ascii="Arial" w:hAnsi="Arial"/>
          <w:b w:val="false"/>
          <w:color w:val="000000"/>
          <w:sz w:val="20"/>
        </w:rPr>
        <w:t xml:space="preserve">. </w:t>
      </w:r>
    </w:p>
    <w:p>
      <w:pPr>
        <w:pStyle w:val="TextBody"/>
        <w:bidi w:val="0"/>
        <w:spacing w:before="0" w:after="240"/>
        <w:jc w:val="both"/>
        <w:rPr/>
      </w:pPr>
      <w:r>
        <w:rPr>
          <w:color w:val="000000"/>
        </w:rPr>
        <w:t>“</w:t>
      </w:r>
      <w:r>
        <w:rPr>
          <w:rFonts w:ascii="Arial" w:hAnsi="Arial"/>
          <w:b w:val="false"/>
          <w:color w:val="000000"/>
          <w:sz w:val="20"/>
          <w:u w:val="single"/>
        </w:rPr>
        <w:t>Commitment Fee</w:t>
      </w:r>
      <w:r>
        <w:rPr>
          <w:color w:val="000000"/>
        </w:rPr>
        <w:t xml:space="preserve">” </w:t>
      </w:r>
      <w:r>
        <w:rPr>
          <w:rFonts w:ascii="Arial" w:hAnsi="Arial"/>
          <w:b w:val="false"/>
          <w:color w:val="000000"/>
          <w:sz w:val="20"/>
        </w:rPr>
        <w:t xml:space="preserve">is for each Advance the fully earned and non-refundable commitment fee equal to one percent (1.00%) of the aggregate principal amount of such Advance. </w:t>
      </w:r>
    </w:p>
    <w:p>
      <w:pPr>
        <w:pStyle w:val="TextBody"/>
        <w:bidi w:val="0"/>
        <w:spacing w:before="0" w:after="240"/>
        <w:jc w:val="both"/>
        <w:rPr/>
      </w:pPr>
      <w:r>
        <w:rPr>
          <w:color w:val="000000"/>
        </w:rPr>
        <w:t>“</w:t>
      </w:r>
      <w:r>
        <w:rPr>
          <w:rFonts w:ascii="Arial" w:hAnsi="Arial"/>
          <w:b w:val="false"/>
          <w:color w:val="000000"/>
          <w:sz w:val="20"/>
          <w:u w:val="single"/>
        </w:rPr>
        <w:t>Compliance Certificate</w:t>
      </w:r>
      <w:r>
        <w:rPr>
          <w:color w:val="000000"/>
        </w:rPr>
        <w:t xml:space="preserve">” </w:t>
      </w:r>
      <w:r>
        <w:rPr>
          <w:rFonts w:ascii="Arial" w:hAnsi="Arial"/>
          <w:b w:val="false"/>
          <w:color w:val="000000"/>
          <w:sz w:val="20"/>
        </w:rPr>
        <w:t>is that certain certificate in substantially the form attached hereto as Exhibit D.</w:t>
      </w:r>
    </w:p>
    <w:p>
      <w:pPr>
        <w:pStyle w:val="TextBody"/>
        <w:bidi w:val="0"/>
        <w:spacing w:before="0" w:after="240"/>
        <w:jc w:val="both"/>
        <w:rPr/>
      </w:pPr>
      <w:r>
        <w:rPr>
          <w:color w:val="000000"/>
        </w:rPr>
        <w:t>“</w:t>
      </w:r>
      <w:r>
        <w:rPr>
          <w:rFonts w:ascii="Arial" w:hAnsi="Arial"/>
          <w:b w:val="false"/>
          <w:color w:val="000000"/>
          <w:sz w:val="20"/>
          <w:u w:val="single"/>
        </w:rPr>
        <w:t>Debt</w:t>
      </w:r>
      <w:r>
        <w:rPr>
          <w:color w:val="000000"/>
        </w:rPr>
        <w:t xml:space="preserve">” </w:t>
      </w:r>
      <w:r>
        <w:rPr>
          <w:rFonts w:ascii="Arial" w:hAnsi="Arial"/>
          <w:b w:val="false"/>
          <w:color w:val="000000"/>
          <w:sz w:val="20"/>
        </w:rPr>
        <w:t>means (a) all indebtedness for borrowed money; (b) all indebtedness for the deferred purchase price of property or services (other than (i) trade payables and accrued expenses incurred in the Ordinary Course of Business, (ii) any earn-out, purchase price adjustment or similar obligation until such obligation appears in the liabilities section of the balance sheet and (iii) any amounts being disputed in good faith by Borrower where such dispute would not cause, or be reasonably expected to cause, a Material Adverse Change); (c) all obligations evidenced by notes, bonds, debentures or other similar instruments; (d) 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(e) equity securities subject to repurchase or redemption by the holder of such equity securities (other than in connection with a Change of Control or asset sale) prior to 91 days after the Maturity Date, (f) all obligations, contingent or otherwise, as an account party or applicant under acceptance, letter of credit or similar facilities in respect of obligations of the kind referred to in subsections (a) through (e) of this definition; and (g) all obligations of the kind referred to in subsections (a) through (f) above secured by (or which the holder of such obligation has an existing right, contingent or otherwise, to be secured by) any Lien on property (including accounts and contract rights). Notwithstanding anything herein to the contrary, operating leases shall not constitute Debt hereunder.</w:t>
      </w:r>
    </w:p>
    <w:p>
      <w:pPr>
        <w:pStyle w:val="TextBody"/>
        <w:bidi w:val="0"/>
        <w:spacing w:before="0" w:after="240"/>
        <w:jc w:val="both"/>
        <w:rPr/>
      </w:pPr>
      <w:r>
        <w:rPr>
          <w:color w:val="000000"/>
        </w:rPr>
        <w:t>“</w:t>
      </w:r>
      <w:r>
        <w:rPr>
          <w:rFonts w:ascii="Arial" w:hAnsi="Arial"/>
          <w:b w:val="false"/>
          <w:color w:val="000000"/>
          <w:sz w:val="20"/>
          <w:u w:val="single"/>
        </w:rPr>
        <w:t>Default Rate</w:t>
      </w:r>
      <w:r>
        <w:rPr>
          <w:color w:val="000000"/>
        </w:rPr>
        <w:t xml:space="preserve">” </w:t>
      </w:r>
      <w:r>
        <w:rPr>
          <w:rFonts w:ascii="Arial" w:hAnsi="Arial"/>
          <w:b w:val="false"/>
          <w:color w:val="000000"/>
          <w:sz w:val="20"/>
        </w:rPr>
        <w:t xml:space="preserve">has the meaning set forth in </w:t>
      </w:r>
      <w:r>
        <w:rPr>
          <w:rFonts w:ascii="Arial" w:hAnsi="Arial"/>
          <w:b w:val="false"/>
          <w:color w:val="000000"/>
          <w:sz w:val="20"/>
          <w:u w:val="single"/>
        </w:rPr>
        <w:t>Section 2.2(c)</w:t>
      </w:r>
      <w:r>
        <w:rPr>
          <w:rFonts w:ascii="Arial" w:hAnsi="Arial"/>
          <w:b w:val="false"/>
          <w:color w:val="000000"/>
          <w:sz w:val="20"/>
        </w:rPr>
        <w:t>.</w:t>
      </w:r>
    </w:p>
    <w:p>
      <w:pPr>
        <w:pStyle w:val="TextBody"/>
        <w:bidi w:val="0"/>
        <w:spacing w:before="0" w:after="240"/>
        <w:jc w:val="both"/>
        <w:rPr/>
      </w:pPr>
      <w:r>
        <w:rPr>
          <w:color w:val="000000"/>
        </w:rPr>
        <w:t>“</w:t>
      </w:r>
      <w:r>
        <w:rPr>
          <w:rFonts w:ascii="Arial" w:hAnsi="Arial"/>
          <w:b w:val="false"/>
          <w:color w:val="000000"/>
          <w:sz w:val="20"/>
          <w:u w:val="single"/>
        </w:rPr>
        <w:t>Defaulting Lender</w:t>
      </w:r>
      <w:r>
        <w:rPr>
          <w:color w:val="000000"/>
        </w:rPr>
        <w:t xml:space="preserve">” </w:t>
      </w:r>
      <w:r>
        <w:rPr>
          <w:rFonts w:ascii="Arial" w:hAnsi="Arial"/>
          <w:b w:val="false"/>
          <w:color w:val="000000"/>
          <w:sz w:val="20"/>
        </w:rPr>
        <w:t>means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hAnsi="Arial"/>
          <w:b w:val="false"/>
          <w:color w:val="000000"/>
          <w:sz w:val="20"/>
          <w:u w:val="single"/>
        </w:rPr>
        <w:t>provided</w:t>
      </w:r>
      <w:r>
        <w:rPr>
          <w:color w:val="000000"/>
        </w:rPr>
        <w:t xml:space="preserve"> </w:t>
      </w:r>
      <w:r>
        <w:rPr>
          <w:rFonts w:ascii="Arial" w:hAnsi="Arial"/>
          <w:b w:val="false"/>
          <w:color w:val="000000"/>
          <w:sz w:val="20"/>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w:t>
      </w:r>
    </w:p>
    <w:p>
      <w:pPr>
        <w:pStyle w:val="TextBody"/>
        <w:bidi w:val="0"/>
        <w:jc w:val="center"/>
        <w:rPr>
          <w:rFonts w:ascii="Arial" w:hAnsi="Arial"/>
          <w:b w:val="false"/>
          <w:color w:val="000000"/>
          <w:sz w:val="20"/>
        </w:rPr>
      </w:pPr>
      <w:r>
        <w:rPr>
          <w:rFonts w:ascii="Arial" w:hAnsi="Arial"/>
          <w:b w:val="false"/>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Federal Deposit Insurance Corporation or any other state or federal regulatory authority acting in such a capacity or (iii) become the subject of a bail-in action. Notwithstanding anything to the contrary herein, a Lender shall not be a Defaulting Lender solely by virtue of the ownership or acquisition of any Equity Security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permits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upon delivery of written notice of such determination to the Borrower and each Lender.</w:t>
      </w:r>
    </w:p>
    <w:p>
      <w:pPr>
        <w:pStyle w:val="TextBody"/>
        <w:bidi w:val="0"/>
        <w:spacing w:before="0" w:after="240"/>
        <w:jc w:val="both"/>
        <w:rPr/>
      </w:pPr>
      <w:r>
        <w:rPr>
          <w:color w:val="000000"/>
        </w:rPr>
        <w:t>“</w:t>
      </w:r>
      <w:r>
        <w:rPr>
          <w:rFonts w:ascii="Arial" w:hAnsi="Arial"/>
          <w:b w:val="false"/>
          <w:color w:val="000000"/>
          <w:sz w:val="20"/>
          <w:u w:val="single"/>
        </w:rPr>
        <w:t>Deposit Account</w:t>
      </w:r>
      <w:r>
        <w:rPr>
          <w:color w:val="000000"/>
        </w:rPr>
        <w:t xml:space="preserve">” </w:t>
      </w:r>
      <w:r>
        <w:rPr>
          <w:rFonts w:ascii="Arial" w:hAnsi="Arial"/>
          <w:b w:val="false"/>
          <w:color w:val="000000"/>
          <w:sz w:val="20"/>
        </w:rPr>
        <w:t>means any “deposit account” as defined in the UCC with such additions to the term as may hereafter be made, and includes any checking account, savings account, or certificate of deposit.</w:t>
      </w:r>
    </w:p>
    <w:p>
      <w:pPr>
        <w:pStyle w:val="TextBody"/>
        <w:bidi w:val="0"/>
        <w:spacing w:before="0" w:after="240"/>
        <w:jc w:val="both"/>
        <w:rPr/>
      </w:pPr>
      <w:r>
        <w:rPr>
          <w:color w:val="000000"/>
        </w:rPr>
        <w:t>“</w:t>
      </w:r>
      <w:r>
        <w:rPr>
          <w:rFonts w:ascii="Arial" w:hAnsi="Arial"/>
          <w:b w:val="false"/>
          <w:color w:val="000000"/>
          <w:sz w:val="20"/>
          <w:u w:val="single"/>
        </w:rPr>
        <w:t>Documentation and Funding Fees</w:t>
      </w:r>
      <w:r>
        <w:rPr>
          <w:color w:val="000000"/>
        </w:rPr>
        <w:t xml:space="preserve">” </w:t>
      </w:r>
      <w:r>
        <w:rPr>
          <w:rFonts w:ascii="Arial" w:hAnsi="Arial"/>
          <w:b w:val="false"/>
          <w:color w:val="000000"/>
          <w:sz w:val="20"/>
        </w:rPr>
        <w:t xml:space="preserve">has the meaning set forth in </w:t>
      </w:r>
      <w:r>
        <w:rPr>
          <w:rFonts w:ascii="Arial" w:hAnsi="Arial"/>
          <w:b w:val="false"/>
          <w:color w:val="000000"/>
          <w:sz w:val="20"/>
          <w:u w:val="single"/>
        </w:rPr>
        <w:t>Section 2.1(c)</w:t>
      </w:r>
      <w:r>
        <w:rPr>
          <w:rFonts w:ascii="Arial" w:hAnsi="Arial"/>
          <w:b w:val="false"/>
          <w:color w:val="000000"/>
          <w:sz w:val="20"/>
        </w:rPr>
        <w:t>.</w:t>
      </w:r>
    </w:p>
    <w:p>
      <w:pPr>
        <w:pStyle w:val="TextBody"/>
        <w:bidi w:val="0"/>
        <w:spacing w:before="0" w:after="240"/>
        <w:jc w:val="both"/>
        <w:rPr/>
      </w:pPr>
      <w:r>
        <w:rPr>
          <w:color w:val="000000"/>
        </w:rPr>
        <w:t>“</w:t>
      </w:r>
      <w:r>
        <w:rPr>
          <w:rFonts w:ascii="Arial" w:hAnsi="Arial"/>
          <w:b w:val="false"/>
          <w:color w:val="000000"/>
          <w:sz w:val="20"/>
          <w:u w:val="single"/>
        </w:rPr>
        <w:t>End of Term Payment</w:t>
      </w:r>
      <w:r>
        <w:rPr>
          <w:color w:val="000000"/>
        </w:rPr>
        <w:t xml:space="preserve">” </w:t>
      </w:r>
      <w:r>
        <w:rPr>
          <w:rFonts w:ascii="Arial" w:hAnsi="Arial"/>
          <w:b w:val="false"/>
          <w:color w:val="000000"/>
          <w:sz w:val="20"/>
        </w:rPr>
        <w:t xml:space="preserve">has the meaning set forth in </w:t>
      </w:r>
      <w:r>
        <w:rPr>
          <w:rFonts w:ascii="Arial" w:hAnsi="Arial"/>
          <w:b w:val="false"/>
          <w:color w:val="000000"/>
          <w:sz w:val="20"/>
          <w:u w:val="single"/>
        </w:rPr>
        <w:t>Section 2.9</w:t>
      </w:r>
      <w:r>
        <w:rPr>
          <w:rFonts w:ascii="Arial" w:hAnsi="Arial"/>
          <w:b w:val="false"/>
          <w:color w:val="000000"/>
          <w:sz w:val="20"/>
        </w:rPr>
        <w:t>.</w:t>
      </w:r>
    </w:p>
    <w:p>
      <w:pPr>
        <w:pStyle w:val="TextBody"/>
        <w:bidi w:val="0"/>
        <w:spacing w:before="0" w:after="240"/>
        <w:jc w:val="both"/>
        <w:rPr/>
      </w:pPr>
      <w:r>
        <w:rPr>
          <w:color w:val="000000"/>
        </w:rPr>
        <w:t>“</w:t>
      </w:r>
      <w:r>
        <w:rPr>
          <w:rFonts w:ascii="Arial" w:hAnsi="Arial"/>
          <w:b w:val="false"/>
          <w:color w:val="000000"/>
          <w:sz w:val="20"/>
          <w:u w:val="single"/>
        </w:rPr>
        <w:t>Equity Securities</w:t>
      </w:r>
      <w:r>
        <w:rPr>
          <w:color w:val="000000"/>
        </w:rPr>
        <w:t xml:space="preserve">” </w:t>
      </w:r>
      <w:r>
        <w:rPr>
          <w:rFonts w:ascii="Arial" w:hAnsi="Arial"/>
          <w:b w:val="false"/>
          <w:color w:val="000000"/>
          <w:sz w:val="20"/>
        </w:rPr>
        <w:t xml:space="preserve">of any Person means (a) all common stock, preferred stock, participations, shares, partnership interests, membership interests or other equity interests in and of such Person (regardless of how designated and whether or not voting or non-voting) and (b) all warrants, options and other rights to acquire any of the foregoing, but excluding any debt securities convertible into such shares or other such equity interests unless such debt securities are converted into such shares or other such equity interests. </w:t>
      </w:r>
    </w:p>
    <w:p>
      <w:pPr>
        <w:pStyle w:val="TextBody"/>
        <w:bidi w:val="0"/>
        <w:spacing w:before="0" w:after="240"/>
        <w:jc w:val="both"/>
        <w:rPr/>
      </w:pPr>
      <w:r>
        <w:rPr>
          <w:color w:val="000000"/>
        </w:rPr>
        <w:t>“</w:t>
      </w:r>
      <w:r>
        <w:rPr>
          <w:rFonts w:ascii="Arial" w:hAnsi="Arial"/>
          <w:b w:val="false"/>
          <w:color w:val="000000"/>
          <w:sz w:val="20"/>
          <w:u w:val="single"/>
        </w:rPr>
        <w:t>Event of Default</w:t>
      </w:r>
      <w:r>
        <w:rPr>
          <w:color w:val="000000"/>
        </w:rPr>
        <w:t xml:space="preserve">” </w:t>
      </w:r>
      <w:r>
        <w:rPr>
          <w:rFonts w:ascii="Arial" w:hAnsi="Arial"/>
          <w:b w:val="false"/>
          <w:color w:val="000000"/>
          <w:sz w:val="20"/>
        </w:rPr>
        <w:t>means any of the following events and conditions at any time, unless waived in writing by Administrative Agent, and shall constitute an Event of Default:</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failure on the part of Borrower to remit to Administrative Agent (i) any payment of principal or interest when due or (ii) any other amounts required to be remitted under this Agreement or any Loan Documents on or before such amount is due, and such failure continues for three (3) Business Days (which three (3) Business Day cure period shall not apply to payments due on the Maturity Date). During such cure period, the failure to make or pay any payment specified under clause (ii) is not an Event of Default (but no Advance will be made during the cure period);</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pPr>
      <w:r>
        <w:rPr>
          <w:rFonts w:ascii="Arial" w:hAnsi="Arial"/>
          <w:b w:val="false"/>
          <w:color w:val="000000"/>
          <w:sz w:val="20"/>
        </w:rPr>
        <w:t xml:space="preserve">failure on the part of Borrower: (A) to perform any obligation arising under </w:t>
      </w:r>
      <w:r>
        <w:rPr>
          <w:rFonts w:ascii="Arial" w:hAnsi="Arial"/>
          <w:b w:val="false"/>
          <w:color w:val="000000"/>
          <w:sz w:val="20"/>
          <w:u w:val="single"/>
        </w:rPr>
        <w:t>Section 4.2</w:t>
      </w:r>
      <w:r>
        <w:rPr>
          <w:color w:val="000000"/>
        </w:rPr>
        <w:t xml:space="preserve"> </w:t>
      </w:r>
      <w:r>
        <w:rPr>
          <w:rFonts w:ascii="Arial" w:hAnsi="Arial"/>
          <w:b w:val="false"/>
          <w:color w:val="000000"/>
          <w:sz w:val="20"/>
        </w:rPr>
        <w:t xml:space="preserve">or to comply with any covenants of </w:t>
      </w:r>
      <w:r>
        <w:rPr>
          <w:rFonts w:ascii="Arial" w:hAnsi="Arial"/>
          <w:b w:val="false"/>
          <w:color w:val="000000"/>
          <w:sz w:val="20"/>
          <w:u w:val="single"/>
        </w:rPr>
        <w:t>Section 4.3</w:t>
      </w:r>
      <w:r>
        <w:rPr>
          <w:color w:val="000000"/>
        </w:rPr>
        <w:t xml:space="preserve"> </w:t>
      </w:r>
      <w:r>
        <w:rPr>
          <w:rFonts w:ascii="Arial" w:hAnsi="Arial"/>
          <w:b w:val="false"/>
          <w:color w:val="000000"/>
          <w:sz w:val="20"/>
        </w:rPr>
        <w:t xml:space="preserve">or (B) duly to observe or perform in any other of its respective covenants or agreements in this Agreement or any other Loan Document, which failure continues for a period of ten (10) Business Days after the occurrence of such breach; </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there is (a) a default in any agreement to which Borrower or any of its Subsidiaries is a party with a third party or parties resulting in the acceleration of the maturity of any Debt in an amount in excess of One Million Dollars ($1,000,000.00) provided, however, that the Event of Default under this clause (c) caused by the occurrence of a breach or default under such other agreement shall be cured or waived for purposes of this Agreement upon Administrative Agent receiving written notice from the party asserting such breach or default of such cure or waiver of the breach or default under such other agreement, if at the time of such cure or waiver under such other agreement (x) Administrative Agent has not declared an Event of Default under this Agreement and/or exercised any rights with respect thereto; and (y) any such cure or waiver does not result in an Event of Default under any other provision of this Agreement or any Loan Document;</w:t>
      </w:r>
    </w:p>
    <w:p>
      <w:pPr>
        <w:pStyle w:val="TextBody"/>
        <w:bidi w:val="0"/>
        <w:jc w:val="center"/>
        <w:rPr>
          <w:rFonts w:ascii="Arial" w:hAnsi="Arial"/>
          <w:b w:val="false"/>
          <w:color w:val="000000"/>
          <w:sz w:val="20"/>
        </w:rPr>
      </w:pPr>
      <w:r>
        <w:rPr>
          <w:rFonts w:ascii="Arial" w:hAnsi="Arial"/>
          <w:b w:val="false"/>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if any representation or warranty of Borrower made in this Agreement or in any certificate or other writing delivered pursuant hereto or any other related document is materially incorrect or misleading as of the time when the same shall have been made;</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any provision of this Agreement or any Lien or security interest of Administrative Agent in the Collateral ceases for any reason to be valid, binding and in full force and effect other than as expressly permitted hereunder;</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any bankruptcy, insolvency or other similar proceeding is filed by Borrower or any of its Subsidiaries;</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any involuntary bankruptcy, insolvency or other similar proceeding is filed against Borrower or any of its Subsidiaries and such proceeding or petition shall not be dismissed within forty-five (45) days after filing;</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any assignment is made by Borrower or any attempt by Borrower to assign any of its duties or rights hereunder;</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Borrower is consolidated with, merged with (other than if a Subsidiary merges into Borrower and Borrower is the surviving entity), or sells its properties and assets substantially as an entity to another entity without Lender’s prior written consent, provided that no consent of Lender shall be required if, in connection with such merger or sale of properties and assets the Obligations will be paid in full;</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pPr>
      <w:r>
        <w:rPr>
          <w:rFonts w:ascii="Arial" w:hAnsi="Arial"/>
          <w:b w:val="false"/>
          <w:color w:val="000000"/>
          <w:sz w:val="20"/>
        </w:rPr>
        <w:t xml:space="preserve">(i) If any material portion of Borrower’s or any of its Subsidiaries’ assets (A) is attached, seized, subjected to a writ or distress warrant, or is levied upon or (B) comes into the possession of any trustee, receiver or person acting in a similar capacity and such attachment, seizure, writ or distress warrant or levy has not been removed, discharged or rescinded within ten (10) Business Days, (ii) if Borrower or any of its Subsidiaries is enjoined, restrained or in way prevented by court order from continuing to conduct all or any material part of its business affairs, (iii) if a judgment or other claim becomes a Lien or encumbrance upon any material portion of Borrower’s or any of its Subsidiaries’ assets or (iv) if a notice of Lien, levy or assessment if filed of record with respect to any material portion of Borrower’s or any of its Subsidiaries’ assets by the United States Government, or any department agency or instrumentality thereof, or by any state, county municipal, or governmental agency, and the same is not paid within ten (10) Business Days after Borrower or any Subsidiary receives notice thereof; </w:t>
      </w:r>
      <w:r>
        <w:rPr>
          <w:rFonts w:ascii="Arial" w:hAnsi="Arial"/>
          <w:b w:val="false"/>
          <w:i/>
          <w:color w:val="000000"/>
          <w:sz w:val="20"/>
        </w:rPr>
        <w:t>provided</w:t>
      </w:r>
      <w:r>
        <w:rPr>
          <w:color w:val="000000"/>
        </w:rPr>
        <w:t xml:space="preserve"> </w:t>
      </w:r>
      <w:r>
        <w:rPr>
          <w:rFonts w:ascii="Arial" w:hAnsi="Arial"/>
          <w:b w:val="false"/>
          <w:color w:val="000000"/>
          <w:sz w:val="20"/>
        </w:rPr>
        <w:t>that none of the foregoing shall constitute an Event of Default where such action or event is stayed or an adequate bond has been posted pending a good faith contest by Borrower;</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rFonts w:ascii="Arial" w:hAnsi="Arial"/>
          <w:b w:val="false"/>
          <w:color w:val="000000"/>
          <w:sz w:val="20"/>
        </w:rPr>
      </w:pPr>
      <w:r>
        <w:rPr>
          <w:rFonts w:ascii="Arial" w:hAnsi="Arial"/>
          <w:b w:val="false"/>
          <w:color w:val="000000"/>
          <w:sz w:val="20"/>
        </w:rPr>
        <w:t>If any of the Loan Documents shall cease to be, or Borrower shall assert that any of the Loan Documents is not, a legal, valid and binding obligation of Borrower enforceable in accordance with its terms;</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rFonts w:ascii="Arial" w:hAnsi="Arial"/>
          <w:b w:val="false"/>
          <w:color w:val="000000"/>
          <w:sz w:val="20"/>
        </w:rPr>
      </w:pPr>
      <w:r>
        <w:rPr>
          <w:rFonts w:ascii="Arial" w:hAnsi="Arial"/>
          <w:b w:val="false"/>
          <w:color w:val="000000"/>
          <w:sz w:val="20"/>
        </w:rPr>
        <w:t>If there occurs a Material Adverse Change to Borrower;</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rFonts w:ascii="Arial" w:hAnsi="Arial"/>
          <w:b w:val="false"/>
          <w:color w:val="000000"/>
          <w:sz w:val="20"/>
        </w:rPr>
      </w:pPr>
      <w:r>
        <w:rPr>
          <w:rFonts w:ascii="Arial" w:hAnsi="Arial"/>
          <w:b w:val="false"/>
          <w:color w:val="000000"/>
          <w:sz w:val="20"/>
        </w:rPr>
        <w:t>there is a Change of Control, unless, as a condition to the closing of such change of control the Obligations will be paid in full; or</w:t>
      </w:r>
    </w:p>
    <w:p>
      <w:pPr>
        <w:pStyle w:val="TextBody"/>
        <w:bidi w:val="0"/>
        <w:spacing w:before="0" w:after="240"/>
        <w:jc w:val="both"/>
        <w:rPr>
          <w:rFonts w:ascii="Arial" w:hAnsi="Arial"/>
          <w:b w:val="false"/>
          <w:color w:val="000000"/>
          <w:sz w:val="20"/>
        </w:rPr>
      </w:pPr>
      <w:r>
        <w:rPr>
          <w:rFonts w:ascii="Arial" w:hAnsi="Arial"/>
          <w:b w:val="false"/>
          <w:color w:val="000000"/>
          <w:sz w:val="20"/>
        </w:rPr>
        <w:t>(n)</w:t>
      </w:r>
    </w:p>
    <w:p>
      <w:pPr>
        <w:pStyle w:val="TextBody"/>
        <w:bidi w:val="0"/>
        <w:spacing w:before="0" w:after="240"/>
        <w:jc w:val="both"/>
        <w:rPr>
          <w:rFonts w:ascii="Arial" w:hAnsi="Arial"/>
          <w:b w:val="false"/>
          <w:color w:val="000000"/>
          <w:sz w:val="20"/>
        </w:rPr>
      </w:pPr>
      <w:r>
        <w:rPr>
          <w:rFonts w:ascii="Arial" w:hAnsi="Arial"/>
          <w:b w:val="false"/>
          <w:color w:val="000000"/>
          <w:sz w:val="20"/>
        </w:rPr>
        <w:t>a final, non-appealable judgment which is not covered by insurance is entered against Borrower or any Subsidiary for an amount in excess of One Million Dollars ($1,000,000.00), which is not paid or bonded within twenty (20) days of entry.</w:t>
      </w:r>
    </w:p>
    <w:p>
      <w:pPr>
        <w:pStyle w:val="TextBody"/>
        <w:bidi w:val="0"/>
        <w:spacing w:before="0" w:after="240"/>
        <w:jc w:val="both"/>
        <w:rPr/>
      </w:pPr>
      <w:r>
        <w:rPr>
          <w:color w:val="000000"/>
        </w:rPr>
        <w:t>“</w:t>
      </w:r>
      <w:r>
        <w:rPr>
          <w:rFonts w:ascii="Arial" w:hAnsi="Arial"/>
          <w:b w:val="false"/>
          <w:color w:val="000000"/>
          <w:sz w:val="20"/>
          <w:u w:val="single"/>
        </w:rPr>
        <w:t>Excluded Account</w:t>
      </w:r>
      <w:r>
        <w:rPr>
          <w:color w:val="000000"/>
        </w:rPr>
        <w:t xml:space="preserve">” </w:t>
      </w:r>
      <w:r>
        <w:rPr>
          <w:rFonts w:ascii="Arial" w:hAnsi="Arial"/>
          <w:b w:val="false"/>
          <w:color w:val="000000"/>
          <w:sz w:val="20"/>
        </w:rPr>
        <w:t xml:space="preserve">means (a) any account specifically used, and identified in writing as such to Administrative Agent, for payroll, payroll taxes, workers’ compensation or unemployment compensation premiums or benefits, pension benefits, and other employee wage and benefit payments to or for the benefit of the employees of the Borrower and its Subsidiaries, not to exceed the amounts to fund the next two (2) succeeding payroll periods, (b) any deposit account, securities account, commodities account or other </w:t>
      </w:r>
    </w:p>
    <w:p>
      <w:pPr>
        <w:pStyle w:val="TextBody"/>
        <w:bidi w:val="0"/>
        <w:jc w:val="center"/>
        <w:rPr>
          <w:rFonts w:ascii="Arial" w:hAnsi="Arial"/>
          <w:b w:val="false"/>
          <w:color w:val="000000"/>
          <w:sz w:val="20"/>
        </w:rPr>
      </w:pPr>
      <w:r>
        <w:rPr>
          <w:rFonts w:ascii="Arial" w:hAnsi="Arial"/>
          <w:b w:val="false"/>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account to the extent solely used to hold any cash or cash equivalents pledged as a Permitted Lien, as may be designated in writing to Administrative Agent from time to time after the Closing Date, (c) deposits held as cash collateral with Metro Title Company, LLC, as escrow agent and (d) any Deposit Account used exclusively to maintain deposits or cash collateral for the benefit of unaffiliated third parties as expressly permitted by this Agreement, as may be designated in writing to Administrative Agent from time to time after the Closing Date.</w:t>
      </w:r>
    </w:p>
    <w:p>
      <w:pPr>
        <w:pStyle w:val="TextBody"/>
        <w:bidi w:val="0"/>
        <w:spacing w:before="0" w:after="240"/>
        <w:jc w:val="both"/>
        <w:rPr/>
      </w:pPr>
      <w:r>
        <w:rPr>
          <w:color w:val="000000"/>
        </w:rPr>
        <w:t>“</w:t>
      </w:r>
      <w:r>
        <w:rPr>
          <w:rFonts w:ascii="Arial" w:hAnsi="Arial"/>
          <w:b w:val="false"/>
          <w:color w:val="000000"/>
          <w:sz w:val="20"/>
          <w:u w:val="single"/>
        </w:rPr>
        <w:t>Excluded Taxes</w:t>
      </w:r>
      <w:r>
        <w:rPr>
          <w:color w:val="000000"/>
        </w:rPr>
        <w:t xml:space="preserve">” </w:t>
      </w:r>
      <w:r>
        <w:rPr>
          <w:rFonts w:ascii="Arial" w:hAnsi="Arial"/>
          <w:b w:val="false"/>
          <w:color w:val="000000"/>
          <w:sz w:val="20"/>
        </w:rPr>
        <w:t>means any of the following Taxes imposed on or with respect to a Lender or Administrative Agent or required to be withheld or deducted from a payment to a Lender or Administrative Agent: (a) Taxes imposed on or measured by net income (however denominated), franchise Taxes and branch profits Taxes, in each case, (i) imposed as a result of such Lender or Administrative Agent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Taxes imposed on amounts payable to or for the account of such Lender with respect to an applicable interest in a Loan or Commitment pursuant to a law in effect on the date on which such Lender acquires the applicable interest in such Loan or Commitment or changes its lending office, except in each case to the extent that, pursuant to Section 2.11, additional amounts with respect to such Taxes were payable either to such Lender’s assignor immediately before such Lender became a party hereto or to such Lender immediately before it changes its lending office, (c) Taxes attributable to such Lender’s or Administrative Agent’s failure to comply with Section 2.11(g), and (d) any Taxes imposed under FATCA.</w:t>
      </w:r>
    </w:p>
    <w:p>
      <w:pPr>
        <w:pStyle w:val="TextBody"/>
        <w:bidi w:val="0"/>
        <w:spacing w:before="0" w:after="240"/>
        <w:jc w:val="both"/>
        <w:rPr/>
      </w:pPr>
      <w:r>
        <w:rPr>
          <w:color w:val="000000"/>
        </w:rPr>
        <w:t>“</w:t>
      </w:r>
      <w:r>
        <w:rPr>
          <w:rFonts w:ascii="Arial" w:hAnsi="Arial"/>
          <w:b w:val="false"/>
          <w:color w:val="000000"/>
          <w:sz w:val="20"/>
          <w:u w:val="single"/>
        </w:rPr>
        <w:t>FATCA</w:t>
      </w:r>
      <w:r>
        <w:rPr>
          <w:color w:val="000000"/>
        </w:rPr>
        <w:t xml:space="preserve">” </w:t>
      </w:r>
      <w:r>
        <w:rPr>
          <w:rFonts w:ascii="Arial" w:hAnsi="Arial"/>
          <w:b w:val="false"/>
          <w:color w:val="000000"/>
          <w:sz w:val="20"/>
        </w:rPr>
        <w:t>means Sections 1471 through 1474 of the Code, as of the date of this Agreement (or any amended or successor version to the extent such version is substantively comparable and not materially more onerous to comply with), any current or future Treasury Regulations or official administrative interpretations thereof, any agreements entered into pursuant to current Section 1471(b)(1) of the Code (or any amended or successor version described above), any intergovernmental agreement, treaty or convention among Governmental Authorities (and any related fiscal or regulatory legislation, rules or official practices) implementing the foregoing.</w:t>
      </w:r>
    </w:p>
    <w:p>
      <w:pPr>
        <w:pStyle w:val="TextBody"/>
        <w:bidi w:val="0"/>
        <w:spacing w:before="0" w:after="240"/>
        <w:jc w:val="both"/>
        <w:rPr/>
      </w:pPr>
      <w:r>
        <w:rPr>
          <w:color w:val="000000"/>
        </w:rPr>
        <w:t>“</w:t>
      </w:r>
      <w:r>
        <w:rPr>
          <w:rFonts w:ascii="Arial" w:hAnsi="Arial"/>
          <w:b w:val="false"/>
          <w:color w:val="000000"/>
          <w:sz w:val="20"/>
          <w:u w:val="single"/>
        </w:rPr>
        <w:t>GAAP</w:t>
      </w:r>
      <w:r>
        <w:rPr>
          <w:color w:val="000000"/>
        </w:rPr>
        <w:t xml:space="preserve">” </w:t>
      </w:r>
      <w:r>
        <w:rPr>
          <w:rFonts w:ascii="Arial" w:hAnsi="Arial"/>
          <w:b w:val="false"/>
          <w:color w:val="000000"/>
          <w:sz w:val="20"/>
        </w:rPr>
        <w:t>means generally accepted accounting principles, consistently applied, as in effect from time to time in the United States.</w:t>
      </w:r>
    </w:p>
    <w:p>
      <w:pPr>
        <w:pStyle w:val="TextBody"/>
        <w:bidi w:val="0"/>
        <w:spacing w:before="0" w:after="240"/>
        <w:jc w:val="both"/>
        <w:rPr/>
      </w:pPr>
      <w:r>
        <w:rPr>
          <w:color w:val="000000"/>
        </w:rPr>
        <w:t>“</w:t>
      </w:r>
      <w:r>
        <w:rPr>
          <w:rFonts w:ascii="Arial" w:hAnsi="Arial"/>
          <w:b w:val="false"/>
          <w:color w:val="000000"/>
          <w:sz w:val="20"/>
          <w:u w:val="single"/>
        </w:rPr>
        <w:t>Good Faith Deposit</w:t>
      </w:r>
      <w:r>
        <w:rPr>
          <w:color w:val="000000"/>
        </w:rPr>
        <w:t xml:space="preserve">” </w:t>
      </w:r>
      <w:r>
        <w:rPr>
          <w:rFonts w:ascii="Arial" w:hAnsi="Arial"/>
          <w:b w:val="false"/>
          <w:color w:val="000000"/>
          <w:sz w:val="20"/>
        </w:rPr>
        <w:t>is the fully earned and non-refundable deposit in the amount of Seventy-Five Thousand Dollars ($75,000.00), which will be applied toward Administrative Agent’s Expenses on the Closing Date.</w:t>
      </w:r>
    </w:p>
    <w:p>
      <w:pPr>
        <w:pStyle w:val="TextBody"/>
        <w:bidi w:val="0"/>
        <w:spacing w:before="0" w:after="240"/>
        <w:jc w:val="both"/>
        <w:rPr/>
      </w:pPr>
      <w:r>
        <w:rPr>
          <w:color w:val="000000"/>
        </w:rPr>
        <w:t>“</w:t>
      </w:r>
      <w:r>
        <w:rPr>
          <w:rFonts w:ascii="Arial" w:hAnsi="Arial"/>
          <w:b w:val="false"/>
          <w:color w:val="000000"/>
          <w:sz w:val="20"/>
          <w:u w:val="single"/>
        </w:rPr>
        <w:t>Governmental Approval</w:t>
      </w:r>
      <w:r>
        <w:rPr>
          <w:color w:val="000000"/>
        </w:rPr>
        <w:t xml:space="preserve">” </w:t>
      </w:r>
      <w:r>
        <w:rPr>
          <w:rFonts w:ascii="Arial" w:hAnsi="Arial"/>
          <w:b w:val="false"/>
          <w:color w:val="000000"/>
          <w:sz w:val="20"/>
        </w:rPr>
        <w:t>is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240"/>
        <w:jc w:val="both"/>
        <w:rPr/>
      </w:pPr>
      <w:r>
        <w:rPr>
          <w:color w:val="000000"/>
        </w:rPr>
        <w:t>“</w:t>
      </w:r>
      <w:r>
        <w:rPr>
          <w:rFonts w:ascii="Arial" w:hAnsi="Arial"/>
          <w:b w:val="false"/>
          <w:color w:val="000000"/>
          <w:sz w:val="20"/>
          <w:u w:val="single"/>
        </w:rPr>
        <w:t>Governmental Authority</w:t>
      </w:r>
      <w:r>
        <w:rPr>
          <w:color w:val="000000"/>
        </w:rPr>
        <w:t xml:space="preserve">” </w:t>
      </w:r>
      <w:r>
        <w:rPr>
          <w:rFonts w:ascii="Arial" w:hAnsi="Arial"/>
          <w:b w:val="false"/>
          <w:color w:val="000000"/>
          <w:sz w:val="20"/>
        </w:rPr>
        <w:t>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bidi w:val="0"/>
        <w:spacing w:before="0" w:after="240"/>
        <w:jc w:val="both"/>
        <w:rPr/>
      </w:pPr>
      <w:r>
        <w:rPr>
          <w:color w:val="000000"/>
        </w:rPr>
        <w:t>“</w:t>
      </w:r>
      <w:r>
        <w:rPr>
          <w:rFonts w:ascii="Arial" w:hAnsi="Arial"/>
          <w:b w:val="false"/>
          <w:color w:val="000000"/>
          <w:sz w:val="20"/>
          <w:u w:val="single"/>
        </w:rPr>
        <w:t>Inactive Subsidiary</w:t>
      </w:r>
      <w:r>
        <w:rPr>
          <w:color w:val="000000"/>
        </w:rPr>
        <w:t xml:space="preserve">” </w:t>
      </w:r>
      <w:r>
        <w:rPr>
          <w:rFonts w:ascii="Arial" w:hAnsi="Arial"/>
          <w:b w:val="false"/>
          <w:color w:val="000000"/>
          <w:sz w:val="20"/>
        </w:rPr>
        <w:t xml:space="preserve">means each Subsidiary identified by Borrower as “inactive” on the Perfection Certificate. </w:t>
      </w:r>
    </w:p>
    <w:p>
      <w:pPr>
        <w:pStyle w:val="TextBody"/>
        <w:bidi w:val="0"/>
        <w:spacing w:before="0" w:after="240"/>
        <w:jc w:val="both"/>
        <w:rPr/>
      </w:pPr>
      <w:r>
        <w:rPr>
          <w:color w:val="000000"/>
        </w:rPr>
        <w:t>“</w:t>
      </w:r>
      <w:r>
        <w:rPr>
          <w:rFonts w:ascii="Arial" w:hAnsi="Arial"/>
          <w:b w:val="false"/>
          <w:color w:val="000000"/>
          <w:sz w:val="20"/>
          <w:u w:val="single"/>
        </w:rPr>
        <w:t>Indemnified Taxes</w:t>
      </w:r>
      <w:r>
        <w:rPr>
          <w:color w:val="000000"/>
        </w:rPr>
        <w:t xml:space="preserve">” </w:t>
      </w:r>
      <w:r>
        <w:rPr>
          <w:rFonts w:ascii="Arial" w:hAnsi="Arial"/>
          <w:b w:val="false"/>
          <w:color w:val="000000"/>
          <w:sz w:val="20"/>
        </w:rPr>
        <w:t xml:space="preserve">means (a) all Taxes, other than Excluded Taxes, imposed on or with respect to any payment made by or on account of any obligation of any Borrower under any Loan Document and (b) to the extent not otherwise described in (a), Other Taxes. </w:t>
      </w:r>
    </w:p>
    <w:p>
      <w:pPr>
        <w:pStyle w:val="TextBody"/>
        <w:bidi w:val="0"/>
        <w:spacing w:before="0" w:after="240"/>
        <w:jc w:val="both"/>
        <w:rPr/>
      </w:pPr>
      <w:r>
        <w:rPr>
          <w:color w:val="000000"/>
        </w:rPr>
        <w:t>“</w:t>
      </w:r>
      <w:r>
        <w:rPr>
          <w:rFonts w:ascii="Arial" w:hAnsi="Arial"/>
          <w:b w:val="false"/>
          <w:color w:val="000000"/>
          <w:sz w:val="20"/>
          <w:u w:val="single"/>
        </w:rPr>
        <w:t>Intellectual Property</w:t>
      </w:r>
      <w:r>
        <w:rPr>
          <w:color w:val="000000"/>
        </w:rPr>
        <w:t xml:space="preserve">” </w:t>
      </w:r>
      <w:r>
        <w:rPr>
          <w:rFonts w:ascii="Arial" w:hAnsi="Arial"/>
          <w:b w:val="false"/>
          <w:color w:val="000000"/>
          <w:sz w:val="20"/>
        </w:rPr>
        <w:t xml:space="preserve">means any and all intellectual property, including copyrights, copyright licenses, patents, patent licenses, trademarks, trademark licenses, technology, know-how and processes, </w:t>
      </w:r>
    </w:p>
    <w:p>
      <w:pPr>
        <w:pStyle w:val="TextBody"/>
        <w:bidi w:val="0"/>
        <w:jc w:val="center"/>
        <w:rPr>
          <w:rFonts w:ascii="Arial" w:hAnsi="Arial"/>
          <w:b w:val="false"/>
          <w:color w:val="000000"/>
          <w:sz w:val="20"/>
        </w:rPr>
      </w:pPr>
      <w:r>
        <w:rPr>
          <w:rFonts w:ascii="Arial" w:hAnsi="Arial"/>
          <w:b w:val="false"/>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all rights therein, and all rights to sue at law or in equity for any past present or future infringement, violation, misuse, misappropriation or other impairment thereof, whether arising under United States, multinational or foreign laws or otherwise, including the right to receive injunctive relief and all proceeds and damages therefrom.</w:t>
      </w:r>
    </w:p>
    <w:p>
      <w:pPr>
        <w:pStyle w:val="TextBody"/>
        <w:bidi w:val="0"/>
        <w:spacing w:before="0" w:after="240"/>
        <w:jc w:val="both"/>
        <w:rPr/>
      </w:pPr>
      <w:r>
        <w:rPr>
          <w:color w:val="000000"/>
        </w:rPr>
        <w:t>“</w:t>
      </w:r>
      <w:r>
        <w:rPr>
          <w:rFonts w:ascii="Arial" w:hAnsi="Arial"/>
          <w:b w:val="false"/>
          <w:color w:val="000000"/>
          <w:sz w:val="20"/>
          <w:u w:val="single"/>
        </w:rPr>
        <w:t>Interest Only Milestone</w:t>
      </w:r>
      <w:r>
        <w:rPr>
          <w:color w:val="000000"/>
        </w:rPr>
        <w:t xml:space="preserve">” </w:t>
      </w:r>
      <w:r>
        <w:rPr>
          <w:rFonts w:ascii="Arial" w:hAnsi="Arial"/>
          <w:b w:val="false"/>
          <w:color w:val="000000"/>
          <w:sz w:val="20"/>
        </w:rPr>
        <w:t xml:space="preserve">means [***]. </w:t>
      </w:r>
    </w:p>
    <w:p>
      <w:pPr>
        <w:pStyle w:val="TextBody"/>
        <w:bidi w:val="0"/>
        <w:spacing w:before="0" w:after="240"/>
        <w:jc w:val="both"/>
        <w:rPr/>
      </w:pPr>
      <w:r>
        <w:rPr>
          <w:color w:val="000000"/>
        </w:rPr>
        <w:t>“</w:t>
      </w:r>
      <w:r>
        <w:rPr>
          <w:rFonts w:ascii="Arial" w:hAnsi="Arial"/>
          <w:b w:val="false"/>
          <w:color w:val="000000"/>
          <w:sz w:val="20"/>
          <w:u w:val="single"/>
        </w:rPr>
        <w:t>Interest Only Period</w:t>
      </w:r>
      <w:r>
        <w:rPr>
          <w:color w:val="000000"/>
        </w:rPr>
        <w:t xml:space="preserve">” </w:t>
      </w:r>
      <w:r>
        <w:rPr>
          <w:rFonts w:ascii="Arial" w:hAnsi="Arial"/>
          <w:b w:val="false"/>
          <w:color w:val="000000"/>
          <w:sz w:val="20"/>
        </w:rPr>
        <w:t>means the period from and including the Closing Date and through but excluding the thirty-seventh (37</w:t>
      </w:r>
      <w:r>
        <w:rPr>
          <w:rFonts w:ascii="Arial" w:hAnsi="Arial"/>
          <w:b w:val="false"/>
          <w:color w:val="000000"/>
          <w:sz w:val="13"/>
        </w:rPr>
        <w:t>th</w:t>
      </w:r>
      <w:r>
        <w:rPr>
          <w:rFonts w:ascii="Arial" w:hAnsi="Arial"/>
          <w:b w:val="false"/>
          <w:color w:val="000000"/>
          <w:sz w:val="20"/>
        </w:rPr>
        <w:t>) Payment Date following the Closing Date, provided that if Borrower achieves the Interest Only Milestone, the Interest Only Period shall be the period beginning on the Closing Date and through but excluding the forty-ninth (49</w:t>
      </w:r>
      <w:r>
        <w:rPr>
          <w:rFonts w:ascii="Arial" w:hAnsi="Arial"/>
          <w:b w:val="false"/>
          <w:color w:val="000000"/>
          <w:sz w:val="13"/>
        </w:rPr>
        <w:t>th</w:t>
      </w:r>
      <w:r>
        <w:rPr>
          <w:rFonts w:ascii="Arial" w:hAnsi="Arial"/>
          <w:b w:val="false"/>
          <w:color w:val="000000"/>
          <w:sz w:val="20"/>
        </w:rPr>
        <w:t>) Payment Date following the Closing Date.</w:t>
      </w:r>
    </w:p>
    <w:p>
      <w:pPr>
        <w:pStyle w:val="TextBody"/>
        <w:bidi w:val="0"/>
        <w:spacing w:before="0" w:after="240"/>
        <w:jc w:val="both"/>
        <w:rPr/>
      </w:pPr>
      <w:r>
        <w:rPr>
          <w:color w:val="000000"/>
        </w:rPr>
        <w:t>“</w:t>
      </w:r>
      <w:r>
        <w:rPr>
          <w:rFonts w:ascii="Arial" w:hAnsi="Arial"/>
          <w:b w:val="false"/>
          <w:color w:val="000000"/>
          <w:sz w:val="20"/>
          <w:u w:val="single"/>
        </w:rPr>
        <w:t>Investment</w:t>
      </w:r>
      <w:r>
        <w:rPr>
          <w:color w:val="000000"/>
        </w:rPr>
        <w:t xml:space="preserve">” </w:t>
      </w:r>
      <w:r>
        <w:rPr>
          <w:rFonts w:ascii="Arial" w:hAnsi="Arial"/>
          <w:b w:val="false"/>
          <w:color w:val="000000"/>
          <w:sz w:val="20"/>
        </w:rPr>
        <w:t>means the purchase or acquisition of any capital stock, equity interest, or any obligations or other securities of, or any interest in, any Person, or the extension of any advance, loan, extension of credit or capital contribution to, or any other investment in, or deposit with, any Person.</w:t>
      </w:r>
    </w:p>
    <w:p>
      <w:pPr>
        <w:pStyle w:val="TextBody"/>
        <w:bidi w:val="0"/>
        <w:spacing w:before="0" w:after="240"/>
        <w:jc w:val="both"/>
        <w:rPr/>
      </w:pPr>
      <w:r>
        <w:rPr>
          <w:color w:val="000000"/>
        </w:rPr>
        <w:t>“</w:t>
      </w:r>
      <w:r>
        <w:rPr>
          <w:rFonts w:ascii="Arial" w:hAnsi="Arial"/>
          <w:b w:val="false"/>
          <w:color w:val="000000"/>
          <w:sz w:val="20"/>
          <w:u w:val="single"/>
        </w:rPr>
        <w:t>IP Security Agreement</w:t>
      </w:r>
      <w:r>
        <w:rPr>
          <w:color w:val="000000"/>
        </w:rPr>
        <w:t xml:space="preserve">” </w:t>
      </w:r>
      <w:r>
        <w:rPr>
          <w:rFonts w:ascii="Arial" w:hAnsi="Arial"/>
          <w:b w:val="false"/>
          <w:color w:val="000000"/>
          <w:sz w:val="20"/>
        </w:rPr>
        <w:t>means the Intellectual Property Security Agreement, dated as of the date hereof, by and among Administrative Agent and each grantor party thereto (as amended, amended and restated, supplemented or otherwise modified from time to time).</w:t>
      </w:r>
    </w:p>
    <w:p>
      <w:pPr>
        <w:pStyle w:val="TextBody"/>
        <w:bidi w:val="0"/>
        <w:spacing w:before="0" w:after="240"/>
        <w:jc w:val="both"/>
        <w:rPr/>
      </w:pPr>
      <w:r>
        <w:rPr>
          <w:color w:val="000000"/>
        </w:rPr>
        <w:t>“</w:t>
      </w:r>
      <w:r>
        <w:rPr>
          <w:rFonts w:ascii="Arial" w:hAnsi="Arial"/>
          <w:b w:val="false"/>
          <w:color w:val="000000"/>
          <w:sz w:val="20"/>
          <w:u w:val="single"/>
        </w:rPr>
        <w:t>Key Person</w:t>
      </w:r>
      <w:r>
        <w:rPr>
          <w:color w:val="000000"/>
        </w:rPr>
        <w:t xml:space="preserve">” </w:t>
      </w:r>
      <w:r>
        <w:rPr>
          <w:rFonts w:ascii="Arial" w:hAnsi="Arial"/>
          <w:b w:val="false"/>
          <w:color w:val="000000"/>
          <w:sz w:val="20"/>
        </w:rPr>
        <w:t>is each of Borrower’s (i) Chief Executive Officer, who is Sean P. Nolan as of the Closing Date and (ii) Chief Financial Officer, who is Kamran Alam as of the Closing Date.</w:t>
      </w:r>
    </w:p>
    <w:p>
      <w:pPr>
        <w:pStyle w:val="TextBody"/>
        <w:bidi w:val="0"/>
        <w:spacing w:before="0" w:after="240"/>
        <w:jc w:val="both"/>
        <w:rPr/>
      </w:pPr>
      <w:r>
        <w:rPr>
          <w:color w:val="000000"/>
        </w:rPr>
        <w:t>“</w:t>
      </w:r>
      <w:r>
        <w:rPr>
          <w:rFonts w:ascii="Arial" w:hAnsi="Arial"/>
          <w:b w:val="false"/>
          <w:color w:val="000000"/>
          <w:sz w:val="20"/>
          <w:u w:val="single"/>
        </w:rPr>
        <w:t>Knowledge” or “Knowledge of Borrower</w:t>
      </w:r>
      <w:r>
        <w:rPr>
          <w:color w:val="000000"/>
        </w:rPr>
        <w:t xml:space="preserve">” </w:t>
      </w:r>
      <w:r>
        <w:rPr>
          <w:rFonts w:ascii="Arial" w:hAnsi="Arial"/>
          <w:b w:val="false"/>
          <w:color w:val="000000"/>
          <w:sz w:val="20"/>
        </w:rPr>
        <w:t>means the actual knowledge of the chief executive officer, chief operating officer or chief financial officer of Borrower and such knowledge that would be obtained upon due inquiry and reasonable investigation by such Persons.</w:t>
      </w:r>
    </w:p>
    <w:p>
      <w:pPr>
        <w:pStyle w:val="TextBody"/>
        <w:bidi w:val="0"/>
        <w:spacing w:before="0" w:after="240"/>
        <w:jc w:val="both"/>
        <w:rPr/>
      </w:pPr>
      <w:r>
        <w:rPr>
          <w:color w:val="000000"/>
        </w:rPr>
        <w:t>“</w:t>
      </w:r>
      <w:r>
        <w:rPr>
          <w:rFonts w:ascii="Arial" w:hAnsi="Arial"/>
          <w:b w:val="false"/>
          <w:color w:val="000000"/>
          <w:sz w:val="20"/>
          <w:u w:val="single"/>
        </w:rPr>
        <w:t>Lender’s Expenses</w:t>
      </w:r>
      <w:r>
        <w:rPr>
          <w:color w:val="000000"/>
        </w:rPr>
        <w:t xml:space="preserve">” </w:t>
      </w:r>
      <w:r>
        <w:rPr>
          <w:rFonts w:ascii="Arial" w:hAnsi="Arial"/>
          <w:b w:val="false"/>
          <w:color w:val="000000"/>
          <w:sz w:val="20"/>
        </w:rPr>
        <w:t>means all reasonable and documented out of pocket costs or expenses (including reasonably and documented attorneys’ fees and expenses) incurred in connection with the preparation, negotiation, documentation, drafting, amendment, modification, administration, perfection and funding of the Loan Documents; and all of Lenders’ reasonable and documented attorneys’ fees, costs and expenses incurred in enforcing or defending the Loan Documents (including fees and expenses of appeal or review) and the rights of a Lender in and to the Loans and the Collateral or otherwise hereunder, including the exercise of any rights or remedies afforded hereunder or under applicable law, whether or not suit is brought, whether before or after bankruptcy or insolvency, including all reasonable and documented fees and costs incurred by any Lender in connection with such Lender’s enforcement of its rights in a bankruptcy or insolvency proceeding filed by or against Borrower, any Subsidiary or their respective Property.</w:t>
      </w:r>
    </w:p>
    <w:p>
      <w:pPr>
        <w:pStyle w:val="TextBody"/>
        <w:bidi w:val="0"/>
        <w:spacing w:before="0" w:after="240"/>
        <w:jc w:val="both"/>
        <w:rPr/>
      </w:pPr>
      <w:r>
        <w:rPr>
          <w:color w:val="000000"/>
        </w:rPr>
        <w:t>“</w:t>
      </w:r>
      <w:r>
        <w:rPr>
          <w:rFonts w:ascii="Arial" w:hAnsi="Arial"/>
          <w:b w:val="false"/>
          <w:color w:val="000000"/>
          <w:sz w:val="20"/>
          <w:u w:val="single"/>
        </w:rPr>
        <w:t>Lien</w:t>
      </w:r>
      <w:r>
        <w:rPr>
          <w:color w:val="000000"/>
        </w:rPr>
        <w:t xml:space="preserve">” </w:t>
      </w:r>
      <w:r>
        <w:rPr>
          <w:rFonts w:ascii="Arial" w:hAnsi="Arial"/>
          <w:b w:val="false"/>
          <w:color w:val="000000"/>
          <w:sz w:val="20"/>
        </w:rPr>
        <w:t>means a claim, mortgage, deed of trust, levy, charge, pledge, security interest or other encumbrance of any kind, whether voluntarily incurred or arising by operation of law or otherwise against any property.</w:t>
      </w:r>
    </w:p>
    <w:p>
      <w:pPr>
        <w:pStyle w:val="TextBody"/>
        <w:bidi w:val="0"/>
        <w:spacing w:before="0" w:after="240"/>
        <w:jc w:val="both"/>
        <w:rPr/>
      </w:pPr>
      <w:r>
        <w:rPr>
          <w:color w:val="000000"/>
          <w:u w:val="single"/>
        </w:rPr>
        <w:t>“</w:t>
      </w:r>
      <w:r>
        <w:rPr>
          <w:rFonts w:ascii="Arial" w:hAnsi="Arial"/>
          <w:b w:val="false"/>
          <w:color w:val="000000"/>
          <w:sz w:val="20"/>
          <w:u w:val="single"/>
        </w:rPr>
        <w:t>Loan Advance Request Form</w:t>
      </w:r>
      <w:r>
        <w:rPr>
          <w:color w:val="000000"/>
        </w:rPr>
        <w:t xml:space="preserve">” </w:t>
      </w:r>
      <w:r>
        <w:rPr>
          <w:rFonts w:ascii="Arial" w:hAnsi="Arial"/>
          <w:b w:val="false"/>
          <w:color w:val="000000"/>
          <w:sz w:val="20"/>
        </w:rPr>
        <w:t xml:space="preserve">is that certain form attached hereto as </w:t>
      </w:r>
      <w:r>
        <w:rPr>
          <w:rFonts w:ascii="Arial" w:hAnsi="Arial"/>
          <w:b w:val="false"/>
          <w:color w:val="000000"/>
          <w:sz w:val="20"/>
          <w:u w:val="single"/>
        </w:rPr>
        <w:t>Exhibit E</w:t>
      </w:r>
      <w:r>
        <w:rPr>
          <w:rFonts w:ascii="Arial" w:hAnsi="Arial"/>
          <w:b w:val="false"/>
          <w:color w:val="000000"/>
          <w:sz w:val="20"/>
        </w:rPr>
        <w:t>.</w:t>
      </w:r>
    </w:p>
    <w:p>
      <w:pPr>
        <w:pStyle w:val="TextBody"/>
        <w:bidi w:val="0"/>
        <w:spacing w:before="0" w:after="240"/>
        <w:jc w:val="both"/>
        <w:rPr/>
      </w:pPr>
      <w:r>
        <w:rPr>
          <w:color w:val="000000"/>
        </w:rPr>
        <w:t>“</w:t>
      </w:r>
      <w:r>
        <w:rPr>
          <w:rFonts w:ascii="Arial" w:hAnsi="Arial"/>
          <w:b w:val="false"/>
          <w:color w:val="000000"/>
          <w:sz w:val="20"/>
          <w:u w:val="single"/>
        </w:rPr>
        <w:t>Loan Documents</w:t>
      </w:r>
      <w:r>
        <w:rPr>
          <w:color w:val="000000"/>
        </w:rPr>
        <w:t xml:space="preserve">” </w:t>
      </w:r>
      <w:r>
        <w:rPr>
          <w:rFonts w:ascii="Arial" w:hAnsi="Arial"/>
          <w:b w:val="false"/>
          <w:color w:val="000000"/>
          <w:sz w:val="20"/>
        </w:rPr>
        <w:t xml:space="preserve">means this Agreement and any schedules, exhibits, certificates, notices, and any other documents related to this Agreement, the Notes (if any), [***], every Account Control Agreement, the IP Security Agreement, and any other intercreditor agreement, or subordination agreement, any documents pertaining to a mortgage, any landlord waivers and bailee waivers, the Perfection Certificate, each Compliance Certificate, each Loan Advance Request Form and every other document evidencing, securing or relating to the Loans, in each case as amended, amended and restated, supplemented or otherwise modified from time to time. </w:t>
      </w:r>
    </w:p>
    <w:p>
      <w:pPr>
        <w:pStyle w:val="TextBody"/>
        <w:bidi w:val="0"/>
        <w:spacing w:before="0" w:after="240"/>
        <w:jc w:val="both"/>
        <w:rPr/>
      </w:pPr>
      <w:r>
        <w:rPr>
          <w:color w:val="000000"/>
        </w:rPr>
        <w:t>“</w:t>
      </w:r>
      <w:r>
        <w:rPr>
          <w:rFonts w:ascii="Arial" w:hAnsi="Arial"/>
          <w:b w:val="false"/>
          <w:color w:val="000000"/>
          <w:sz w:val="20"/>
          <w:u w:val="single"/>
        </w:rPr>
        <w:t>Loans</w:t>
      </w:r>
      <w:r>
        <w:rPr>
          <w:color w:val="000000"/>
        </w:rPr>
        <w:t xml:space="preserve">” </w:t>
      </w:r>
      <w:r>
        <w:rPr>
          <w:rFonts w:ascii="Arial" w:hAnsi="Arial"/>
          <w:b w:val="false"/>
          <w:color w:val="000000"/>
          <w:sz w:val="20"/>
        </w:rPr>
        <w:t>has the meaning set forth in the preamble above.</w:t>
      </w:r>
    </w:p>
    <w:p>
      <w:pPr>
        <w:pStyle w:val="TextBody"/>
        <w:bidi w:val="0"/>
        <w:jc w:val="center"/>
        <w:rPr>
          <w:rFonts w:ascii="Arial" w:hAnsi="Arial"/>
          <w:b w:val="false"/>
          <w:color w:val="000000"/>
          <w:sz w:val="20"/>
        </w:rPr>
      </w:pPr>
      <w:r>
        <w:rPr>
          <w:rFonts w:ascii="Arial" w:hAnsi="Arial"/>
          <w:b w:val="false"/>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Arial" w:hAnsi="Arial"/>
          <w:b w:val="false"/>
          <w:color w:val="000000"/>
          <w:sz w:val="20"/>
          <w:u w:val="single"/>
        </w:rPr>
        <w:t>Material Adverse Change</w:t>
      </w:r>
      <w:r>
        <w:rPr>
          <w:color w:val="000000"/>
        </w:rPr>
        <w:t xml:space="preserve">” </w:t>
      </w:r>
      <w:r>
        <w:rPr>
          <w:rFonts w:ascii="Arial" w:hAnsi="Arial"/>
          <w:b w:val="false"/>
          <w:color w:val="000000"/>
          <w:sz w:val="20"/>
        </w:rPr>
        <w:t>means (i) a materially adverse effect on the business, financial condition, operations, performance or Property of Borrower and its Subsidiaries, taken as a whole, or (ii) a material impairment of the ability of Borrower to perform its obligations under or remain in compliance with this Agreement and the other Loan Documents, or any documents executed in connection therewith.</w:t>
      </w:r>
    </w:p>
    <w:p>
      <w:pPr>
        <w:pStyle w:val="TextBody"/>
        <w:bidi w:val="0"/>
        <w:spacing w:before="0" w:after="240"/>
        <w:jc w:val="both"/>
        <w:rPr/>
      </w:pPr>
      <w:r>
        <w:rPr>
          <w:color w:val="000000"/>
        </w:rPr>
        <w:t>“</w:t>
      </w:r>
      <w:r>
        <w:rPr>
          <w:rFonts w:ascii="Arial" w:hAnsi="Arial"/>
          <w:b w:val="false"/>
          <w:color w:val="000000"/>
          <w:sz w:val="20"/>
          <w:u w:val="single"/>
        </w:rPr>
        <w:t>Maturity Date</w:t>
      </w:r>
      <w:r>
        <w:rPr>
          <w:color w:val="000000"/>
        </w:rPr>
        <w:t xml:space="preserve">” </w:t>
      </w:r>
      <w:r>
        <w:rPr>
          <w:rFonts w:ascii="Arial" w:hAnsi="Arial"/>
          <w:b w:val="false"/>
          <w:color w:val="000000"/>
          <w:sz w:val="20"/>
        </w:rPr>
        <w:t xml:space="preserve">November 13, 2028. </w:t>
      </w:r>
    </w:p>
    <w:p>
      <w:pPr>
        <w:pStyle w:val="TextBody"/>
        <w:bidi w:val="0"/>
        <w:spacing w:before="0" w:after="240"/>
        <w:jc w:val="both"/>
        <w:rPr/>
      </w:pPr>
      <w:r>
        <w:rPr>
          <w:color w:val="000000"/>
        </w:rPr>
        <w:t>“</w:t>
      </w:r>
      <w:r>
        <w:rPr>
          <w:rFonts w:ascii="Arial" w:hAnsi="Arial"/>
          <w:b w:val="false"/>
          <w:color w:val="000000"/>
          <w:sz w:val="20"/>
          <w:u w:val="single"/>
        </w:rPr>
        <w:t>Notes</w:t>
      </w:r>
      <w:r>
        <w:rPr>
          <w:color w:val="000000"/>
        </w:rPr>
        <w:t xml:space="preserve">” </w:t>
      </w:r>
      <w:r>
        <w:rPr>
          <w:rFonts w:ascii="Arial" w:hAnsi="Arial"/>
          <w:b w:val="false"/>
          <w:color w:val="000000"/>
          <w:sz w:val="20"/>
        </w:rPr>
        <w:t xml:space="preserve">means a promissory note or notes in the form of </w:t>
      </w:r>
      <w:r>
        <w:rPr>
          <w:rFonts w:ascii="Arial" w:hAnsi="Arial"/>
          <w:b w:val="false"/>
          <w:color w:val="000000"/>
          <w:sz w:val="20"/>
          <w:u w:val="single"/>
        </w:rPr>
        <w:t>Exhibit A</w:t>
      </w:r>
      <w:r>
        <w:rPr>
          <w:color w:val="000000"/>
        </w:rPr>
        <w:t xml:space="preserve"> </w:t>
      </w:r>
      <w:r>
        <w:rPr>
          <w:rFonts w:ascii="Arial" w:hAnsi="Arial"/>
          <w:b w:val="false"/>
          <w:color w:val="000000"/>
          <w:sz w:val="20"/>
        </w:rPr>
        <w:t>hereto.</w:t>
      </w:r>
    </w:p>
    <w:p>
      <w:pPr>
        <w:pStyle w:val="TextBody"/>
        <w:bidi w:val="0"/>
        <w:spacing w:before="0" w:after="240"/>
        <w:jc w:val="both"/>
        <w:rPr/>
      </w:pPr>
      <w:r>
        <w:rPr>
          <w:color w:val="000000"/>
        </w:rPr>
        <w:t>“</w:t>
      </w:r>
      <w:r>
        <w:rPr>
          <w:rFonts w:ascii="Arial" w:hAnsi="Arial"/>
          <w:b w:val="false"/>
          <w:color w:val="000000"/>
          <w:sz w:val="20"/>
          <w:u w:val="single"/>
        </w:rPr>
        <w:t>Obligations</w:t>
      </w:r>
      <w:r>
        <w:rPr>
          <w:color w:val="000000"/>
        </w:rPr>
        <w:t xml:space="preserve">” </w:t>
      </w:r>
      <w:r>
        <w:rPr>
          <w:rFonts w:ascii="Arial" w:hAnsi="Arial"/>
          <w:b w:val="false"/>
          <w:color w:val="000000"/>
          <w:sz w:val="20"/>
        </w:rPr>
        <w:t>means all present and future obligations owing by Borrower to Administrative Agent and the Lenders governed or evidenced by the Loan Documents whether or not for the payment of money, whether or not evidenced by any note or other instrument, whether direct or indirect, absolute or contingent, due or to become due, joint or several, primary or secondary, liquidated or unliquidated, secured or unsecured, original or renewed or extended, whether arising before, during or after the commencement of any bankruptcy case in which Borrower is a debtor (specifically including interest accruing after the commencement of any bankruptcy, insolvency or similar proceeding with respect to Borrower, whether or not a claim for such post-commencement interest is allowed), including but not limited to any obligations arising pursuant to letters of credit or acceptance transactions or any other financial accommodations.</w:t>
      </w:r>
    </w:p>
    <w:p>
      <w:pPr>
        <w:pStyle w:val="TextBody"/>
        <w:bidi w:val="0"/>
        <w:spacing w:before="0" w:after="240"/>
        <w:jc w:val="both"/>
        <w:rPr/>
      </w:pPr>
      <w:r>
        <w:rPr>
          <w:color w:val="000000"/>
        </w:rPr>
        <w:t>“</w:t>
      </w:r>
      <w:r>
        <w:rPr>
          <w:rFonts w:ascii="Arial" w:hAnsi="Arial"/>
          <w:b w:val="false"/>
          <w:color w:val="000000"/>
          <w:sz w:val="20"/>
          <w:u w:val="single"/>
        </w:rPr>
        <w:t>OFAC</w:t>
      </w:r>
      <w:r>
        <w:rPr>
          <w:color w:val="000000"/>
        </w:rPr>
        <w:t xml:space="preserve">” </w:t>
      </w:r>
      <w:r>
        <w:rPr>
          <w:rFonts w:ascii="Arial" w:hAnsi="Arial"/>
          <w:b w:val="false"/>
          <w:color w:val="000000"/>
          <w:sz w:val="20"/>
        </w:rPr>
        <w:t>means the United States Department of the Treasury’s Office of Foreign Assets Control.</w:t>
      </w:r>
    </w:p>
    <w:p>
      <w:pPr>
        <w:pStyle w:val="TextBody"/>
        <w:bidi w:val="0"/>
        <w:spacing w:before="0" w:after="240"/>
        <w:jc w:val="both"/>
        <w:rPr/>
      </w:pPr>
      <w:r>
        <w:rPr>
          <w:color w:val="000000"/>
        </w:rPr>
        <w:t>“</w:t>
      </w:r>
      <w:r>
        <w:rPr>
          <w:rFonts w:ascii="Arial" w:hAnsi="Arial"/>
          <w:b w:val="false"/>
          <w:color w:val="000000"/>
          <w:sz w:val="20"/>
          <w:u w:val="single"/>
        </w:rPr>
        <w:t>Operating Documents</w:t>
      </w:r>
      <w:r>
        <w:rPr>
          <w:color w:val="000000"/>
        </w:rPr>
        <w:t xml:space="preserve">” </w:t>
      </w:r>
      <w:r>
        <w:rPr>
          <w:rFonts w:ascii="Arial" w:hAnsi="Arial"/>
          <w:b w:val="false"/>
          <w:color w:val="000000"/>
          <w:sz w:val="20"/>
        </w:rPr>
        <w:t>means, for any Person, such Person’s formation documents, as certified by the Secretary of State (or equivalent agency) of such Person’s jurisdiction of organization on a date that is no earlier than thirty (30) days prior to the Closing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240"/>
        <w:jc w:val="both"/>
        <w:rPr/>
      </w:pPr>
      <w:r>
        <w:rPr>
          <w:color w:val="000000"/>
        </w:rPr>
        <w:t>“</w:t>
      </w:r>
      <w:r>
        <w:rPr>
          <w:rFonts w:ascii="Arial" w:hAnsi="Arial"/>
          <w:b w:val="false"/>
          <w:color w:val="000000"/>
          <w:sz w:val="20"/>
          <w:u w:val="single"/>
        </w:rPr>
        <w:t>Ordinary Course of Business</w:t>
      </w:r>
      <w:r>
        <w:rPr>
          <w:color w:val="000000"/>
        </w:rPr>
        <w:t xml:space="preserve">” </w:t>
      </w:r>
      <w:r>
        <w:rPr>
          <w:rFonts w:ascii="Arial" w:hAnsi="Arial"/>
          <w:b w:val="false"/>
          <w:color w:val="000000"/>
          <w:sz w:val="20"/>
        </w:rPr>
        <w:t>means, in respect of any transaction involving any Person, the ordinary course of such Person’s business as conducted by any such Person in accordance with the usual and customary customs and practices in the kind of business in which such Person is engaged, and undertaken by such Person in good faith and not for purposes of evading any covenant or restriction in any Loan Document.</w:t>
      </w:r>
    </w:p>
    <w:p>
      <w:pPr>
        <w:pStyle w:val="TextBody"/>
        <w:bidi w:val="0"/>
        <w:spacing w:before="0" w:after="240"/>
        <w:jc w:val="both"/>
        <w:rPr/>
      </w:pPr>
      <w:r>
        <w:rPr>
          <w:color w:val="000000"/>
        </w:rPr>
        <w:t>“</w:t>
      </w:r>
      <w:r>
        <w:rPr>
          <w:rFonts w:ascii="Arial" w:hAnsi="Arial"/>
          <w:b w:val="false"/>
          <w:color w:val="000000"/>
          <w:sz w:val="20"/>
          <w:u w:val="single"/>
        </w:rPr>
        <w:t>Other Connection Taxes</w:t>
      </w:r>
      <w:r>
        <w:rPr>
          <w:color w:val="000000"/>
        </w:rPr>
        <w:t xml:space="preserve">” </w:t>
      </w:r>
      <w:r>
        <w:rPr>
          <w:rFonts w:ascii="Arial" w:hAnsi="Arial"/>
          <w:b w:val="false"/>
          <w:color w:val="000000"/>
          <w:sz w:val="20"/>
        </w:rPr>
        <w:t>means, with respect to any Lender or Administrative Agent, Taxes imposed as a result of a present or former connection between such Lender or Administrative Agent and the jurisdiction imposing such Tax (other than connections arising from such Lender or Administrative Agent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Arial" w:hAnsi="Arial"/>
          <w:b w:val="false"/>
          <w:color w:val="000000"/>
          <w:sz w:val="20"/>
          <w:u w:val="single"/>
        </w:rPr>
        <w:t>Other Taxes</w:t>
      </w:r>
      <w:r>
        <w:rPr>
          <w:color w:val="000000"/>
        </w:rPr>
        <w:t xml:space="preserve">” </w:t>
      </w:r>
      <w:r>
        <w:rPr>
          <w:rFonts w:ascii="Arial" w:hAnsi="Arial"/>
          <w:b w:val="false"/>
          <w:color w:val="000000"/>
          <w:sz w:val="20"/>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before="0" w:after="240"/>
        <w:jc w:val="both"/>
        <w:rPr/>
      </w:pPr>
      <w:r>
        <w:rPr>
          <w:color w:val="000000"/>
        </w:rPr>
        <w:t>“</w:t>
      </w:r>
      <w:r>
        <w:rPr>
          <w:rFonts w:ascii="Arial" w:hAnsi="Arial"/>
          <w:b w:val="false"/>
          <w:color w:val="000000"/>
          <w:sz w:val="20"/>
          <w:u w:val="single"/>
        </w:rPr>
        <w:t>Payment Date</w:t>
      </w:r>
      <w:r>
        <w:rPr>
          <w:color w:val="000000"/>
        </w:rPr>
        <w:t xml:space="preserve">” </w:t>
      </w:r>
      <w:r>
        <w:rPr>
          <w:rFonts w:ascii="Arial" w:hAnsi="Arial"/>
          <w:b w:val="false"/>
          <w:color w:val="000000"/>
          <w:sz w:val="20"/>
        </w:rPr>
        <w:t>means the first (1st) day of each month, or if such day is not a Business Day, the next Business Day.</w:t>
      </w:r>
    </w:p>
    <w:p>
      <w:pPr>
        <w:pStyle w:val="TextBody"/>
        <w:bidi w:val="0"/>
        <w:spacing w:before="0" w:after="240"/>
        <w:jc w:val="both"/>
        <w:rPr/>
      </w:pPr>
      <w:r>
        <w:rPr>
          <w:color w:val="000000"/>
        </w:rPr>
        <w:t>“</w:t>
      </w:r>
      <w:r>
        <w:rPr>
          <w:rFonts w:ascii="Arial" w:hAnsi="Arial"/>
          <w:b w:val="false"/>
          <w:color w:val="000000"/>
          <w:sz w:val="20"/>
          <w:u w:val="single"/>
        </w:rPr>
        <w:t>Perfection Certificate</w:t>
      </w:r>
      <w:r>
        <w:rPr>
          <w:color w:val="000000"/>
        </w:rPr>
        <w:t xml:space="preserve">” </w:t>
      </w:r>
      <w:r>
        <w:rPr>
          <w:rFonts w:ascii="Arial" w:hAnsi="Arial"/>
          <w:b w:val="false"/>
          <w:color w:val="000000"/>
          <w:sz w:val="20"/>
        </w:rPr>
        <w:t>means the perfection certificate delivered to Administrative Agent dated as of the Closing Date.</w:t>
      </w:r>
    </w:p>
    <w:p>
      <w:pPr>
        <w:pStyle w:val="TextBody"/>
        <w:bidi w:val="0"/>
        <w:spacing w:before="0" w:after="240"/>
        <w:jc w:val="both"/>
        <w:rPr/>
      </w:pPr>
      <w:r>
        <w:rPr>
          <w:color w:val="000000"/>
        </w:rPr>
        <w:t>“</w:t>
      </w:r>
      <w:r>
        <w:rPr>
          <w:rFonts w:ascii="Arial" w:hAnsi="Arial"/>
          <w:b w:val="false"/>
          <w:color w:val="000000"/>
          <w:sz w:val="20"/>
          <w:u w:val="single"/>
        </w:rPr>
        <w:t>Permitted Debt</w:t>
      </w:r>
      <w:r>
        <w:rPr>
          <w:color w:val="000000"/>
        </w:rPr>
        <w:t xml:space="preserve">” </w:t>
      </w:r>
      <w:r>
        <w:rPr>
          <w:rFonts w:ascii="Arial" w:hAnsi="Arial"/>
          <w:b w:val="false"/>
          <w:color w:val="000000"/>
          <w:sz w:val="20"/>
        </w:rPr>
        <w:t>means and includes:</w:t>
      </w:r>
    </w:p>
    <w:p>
      <w:pPr>
        <w:pStyle w:val="TextBody"/>
        <w:bidi w:val="0"/>
        <w:jc w:val="center"/>
        <w:rPr>
          <w:rFonts w:ascii="Arial" w:hAnsi="Arial"/>
          <w:b w:val="false"/>
          <w:color w:val="000000"/>
          <w:sz w:val="20"/>
        </w:rPr>
      </w:pPr>
      <w:r>
        <w:rPr>
          <w:rFonts w:ascii="Arial" w:hAnsi="Arial"/>
          <w:b w:val="false"/>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Debt of Borrower to Lenders under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Debt of Borrower in an aggregate principal amount not to exceed One Million Dollars ($1,000,000.00) at any time, secured by Liens permitted under clause (g) of the definition of Permitted Liens;</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Debt consisting of reimbursement obligations with respect to letters of credit in an aggregate face amount not to exceed Two Hundred Fifty Thousand Dollars ($250,000.00) at any time, and any other letters of credit, provided that any such letters of credit are designated in writing to the Administrative Agent and approved by Administrative Agent from time to time after the Closing Date; </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Debt incurred on corporate credit cards in the Ordinary Course of Business with JP Morgan Chase Bank, N.A., provided that the aggregate outstanding principal amount shall not exceed Two Hundred Fifty Thousand Dollars ($250,000.00);</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Debt of Borrower existing on the date hereof and set forth on the Perfection Certificate;</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pPr>
      <w:r>
        <w:rPr>
          <w:rFonts w:ascii="Arial" w:hAnsi="Arial"/>
          <w:b w:val="false"/>
          <w:color w:val="000000"/>
          <w:sz w:val="20"/>
        </w:rPr>
        <w:t xml:space="preserve">extensions, refinancings, modifications, amendments and restatements of any items of Permitted Debt under subsections (a)-(c) above; </w:t>
      </w:r>
      <w:r>
        <w:rPr>
          <w:rFonts w:ascii="Arial" w:hAnsi="Arial"/>
          <w:b w:val="false"/>
          <w:i/>
          <w:color w:val="000000"/>
          <w:sz w:val="20"/>
        </w:rPr>
        <w:t>provided</w:t>
      </w:r>
      <w:r>
        <w:rPr>
          <w:color w:val="000000"/>
        </w:rPr>
        <w:t xml:space="preserve"> </w:t>
      </w:r>
      <w:r>
        <w:rPr>
          <w:rFonts w:ascii="Arial" w:hAnsi="Arial"/>
          <w:b w:val="false"/>
          <w:color w:val="000000"/>
          <w:sz w:val="20"/>
        </w:rPr>
        <w:t xml:space="preserve">that the principal amount thereof is not increased or the terms thereof are not modified to impose materially more burdensome terms upon Borrower; </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Debt of Borrower subordinated to the Obligations pursuant to a subordination, intercreditor, or similar agreement in form and substance, and on terms, satisfactory to Administrative Agent in Administrative Agent’s sole reasonable discretion; </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unsecured Debt to trade creditors incurred in the Ordinary Course of Business;</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Debt incurred as a result of endorsing negotiable instruments received in the Ordinary Course of Business;</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rFonts w:ascii="Arial" w:hAnsi="Arial"/>
          <w:b w:val="false"/>
          <w:color w:val="000000"/>
          <w:sz w:val="20"/>
        </w:rPr>
      </w:pPr>
      <w:r>
        <w:rPr>
          <w:rFonts w:ascii="Arial" w:hAnsi="Arial"/>
          <w:b w:val="false"/>
          <w:color w:val="000000"/>
          <w:sz w:val="20"/>
        </w:rPr>
        <w:t>Debt incurred in connection with insurance premium financings in the Ordinary Course of Business; provided that any Lien securing such Indebtedness is limited to the unearned premium of such insurance;</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rFonts w:ascii="Arial" w:hAnsi="Arial"/>
          <w:b w:val="false"/>
          <w:color w:val="000000"/>
          <w:sz w:val="20"/>
        </w:rPr>
      </w:pPr>
      <w:r>
        <w:rPr>
          <w:rFonts w:ascii="Arial" w:hAnsi="Arial"/>
          <w:b w:val="false"/>
          <w:color w:val="000000"/>
          <w:sz w:val="20"/>
        </w:rPr>
        <w:t>other unsecured Debt not otherwise permitted hereunder in an aggregate outstanding principal amount not to exceed Five Hundred Thousand Dollars ($500,000); and</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rFonts w:ascii="Arial" w:hAnsi="Arial"/>
          <w:b w:val="false"/>
          <w:color w:val="000000"/>
          <w:sz w:val="20"/>
        </w:rPr>
      </w:pPr>
      <w:r>
        <w:rPr>
          <w:rFonts w:ascii="Arial" w:hAnsi="Arial"/>
          <w:b w:val="false"/>
          <w:color w:val="000000"/>
          <w:sz w:val="20"/>
        </w:rPr>
        <w:t>to the extent constituting Debt, investments permitted in clause (g) of the definition of “Permitted Investments”; provided that intercompany Debt shall be subject to a subordination agreement in favor of, and in form and substance reasonably acceptable to, Agent; and</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rFonts w:ascii="Arial" w:hAnsi="Arial"/>
          <w:b w:val="false"/>
          <w:color w:val="000000"/>
          <w:sz w:val="20"/>
        </w:rPr>
      </w:pPr>
      <w:r>
        <w:rPr>
          <w:rFonts w:ascii="Arial" w:hAnsi="Arial"/>
          <w:b w:val="false"/>
          <w:color w:val="000000"/>
          <w:sz w:val="20"/>
        </w:rPr>
        <w:t>Debt in respect of performance bonds, bid bonds, appeal bonds, surety bonds and similar obligations incurred in the Ordinary Course of Business.</w:t>
      </w:r>
    </w:p>
    <w:p>
      <w:pPr>
        <w:pStyle w:val="TextBody"/>
        <w:bidi w:val="0"/>
        <w:spacing w:before="0" w:after="240"/>
        <w:jc w:val="both"/>
        <w:rPr/>
      </w:pPr>
      <w:r>
        <w:rPr>
          <w:color w:val="000000"/>
        </w:rPr>
        <w:t>“</w:t>
      </w:r>
      <w:r>
        <w:rPr>
          <w:rFonts w:ascii="Arial" w:hAnsi="Arial"/>
          <w:b w:val="false"/>
          <w:color w:val="000000"/>
          <w:sz w:val="20"/>
          <w:u w:val="single"/>
        </w:rPr>
        <w:t>Permitted Investment</w:t>
      </w:r>
      <w:r>
        <w:rPr>
          <w:color w:val="000000"/>
        </w:rPr>
        <w:t xml:space="preserve">” </w:t>
      </w:r>
      <w:r>
        <w:rPr>
          <w:rFonts w:ascii="Arial" w:hAnsi="Arial"/>
          <w:b w:val="false"/>
          <w:color w:val="000000"/>
          <w:sz w:val="20"/>
        </w:rPr>
        <w:t>means</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Deposits and Deposit Accounts (which shall be subject to Account Control Agreements as required herein) with commercial banks organized under the laws of the United States or a state thereof to the extent: (i) the Deposit Accounts of each such institution are insured by the Federal Deposit Insurance Corporation up to the legal limit; and (ii) each such institution has an aggregate capital and surplus of not less than One Hundred Million Dollars ($100,000,000.00);</w:t>
      </w:r>
    </w:p>
    <w:p>
      <w:pPr>
        <w:pStyle w:val="TextBody"/>
        <w:bidi w:val="0"/>
        <w:jc w:val="center"/>
        <w:rPr>
          <w:rFonts w:ascii="Arial" w:hAnsi="Arial"/>
          <w:b w:val="false"/>
          <w:color w:val="000000"/>
          <w:sz w:val="20"/>
        </w:rPr>
      </w:pPr>
      <w:r>
        <w:rPr>
          <w:rFonts w:ascii="Arial" w:hAnsi="Arial"/>
          <w:b w:val="false"/>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Investments in marketable obligations issued or fully guaranteed by the United States and maturing not more than one (1) year from the date of issuance;</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Investments in open market commercial paper rated at least “A1” or “P1” or higher by a national credit rating agency and maturing not more than one (1) year from the creation thereof; </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other highly liquid investments consistent with Borrower’s investment policy approved by Borrower’s board of directors as in effect, and as provided to and reviewed and approved by Administrative Agent, prior to the Closing Date (together with Amendments thereto, as provided to and reviewed and approved in writing by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Investments consisting of the endorsement of negotiable instruments for deposit or collection or similar transactions in the ordinary course of Borrower;</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Investments outstanding on the date hereof and set forth on the Perfection Certificate; </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Investments (i) from one Borrower into another Borrower, (ii) by Borrower in Subsidiaries that are not Guarantors not to exceed Fifty Thousand Dollars ($50,000.00) in the aggregate in any fiscal year, and (iii) by Subsidiaries that are not Guarantors in other Subsidiaries that are not Guarantors;</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Investments (including debt obligations) received in connection with the bankruptcy or reorganization of customers or suppliers and in settlement of delinquent obligations of, and other disputes with, customers or suppliers arising in the Ordinary Course of Business; </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Investments consisting of notes receivable of, or prepaid royalties and other credit extensions, to customers and suppliers who are not Affiliates, in the Ordinary Course of Business; provided that this paragraph shall not apply to Investments of Borrower in any Subsidiary; and</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Investments accepted in connection with transfers permitted by this Agreement, in accordance with Section 4.3 (d); </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rFonts w:ascii="Arial" w:hAnsi="Arial"/>
          <w:b w:val="false"/>
          <w:color w:val="000000"/>
          <w:sz w:val="20"/>
        </w:rPr>
      </w:pPr>
      <w:r>
        <w:rPr>
          <w:rFonts w:ascii="Arial" w:hAnsi="Arial"/>
          <w:b w:val="false"/>
          <w:color w:val="000000"/>
          <w:sz w:val="20"/>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Two Hundred Fifty Thousand Dollars ($250,000.00) in the aggregate in any fiscal year;</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Investments consisting of deposits to secure the performance of bids, trade contracts, statutory obligations, surety and appeal bonds (other than bonds related to judgments or litigation) or performance bonds, in each case in the Ordinary Course of Business; </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rFonts w:ascii="Arial" w:hAnsi="Arial"/>
          <w:b w:val="false"/>
          <w:color w:val="000000"/>
          <w:sz w:val="20"/>
        </w:rPr>
      </w:pPr>
      <w:r>
        <w:rPr>
          <w:rFonts w:ascii="Arial" w:hAnsi="Arial"/>
          <w:b w:val="false"/>
          <w:color w:val="000000"/>
          <w:sz w:val="20"/>
        </w:rPr>
        <w:t>Other Investments aggregating not in excess of Five Hundred Thousand Dollars ($500,000.00) per year.</w:t>
      </w:r>
    </w:p>
    <w:p>
      <w:pPr>
        <w:pStyle w:val="TextBody"/>
        <w:bidi w:val="0"/>
        <w:spacing w:before="0" w:after="240"/>
        <w:jc w:val="both"/>
        <w:rPr/>
      </w:pPr>
      <w:r>
        <w:rPr>
          <w:color w:val="000000"/>
        </w:rPr>
        <w:t>“</w:t>
      </w:r>
      <w:r>
        <w:rPr>
          <w:rFonts w:ascii="Arial" w:hAnsi="Arial"/>
          <w:b w:val="false"/>
          <w:color w:val="000000"/>
          <w:sz w:val="20"/>
          <w:u w:val="single"/>
        </w:rPr>
        <w:t>Permitted License</w:t>
      </w:r>
      <w:r>
        <w:rPr>
          <w:color w:val="000000"/>
        </w:rPr>
        <w:t xml:space="preserve">” </w:t>
      </w:r>
      <w:r>
        <w:rPr>
          <w:rFonts w:ascii="Arial" w:hAnsi="Arial"/>
          <w:b w:val="false"/>
          <w:color w:val="000000"/>
          <w:sz w:val="20"/>
        </w:rPr>
        <w:t xml:space="preserve">means (A) licenses of over-the-counter software that is commercially available to the public, and (B) non-exclusive and exclusive licenses for the use of the Intellectual Property of Borrower or any of its Subsidiaries entered into in the Ordinary Course of Business, provided, that, with respect to each such license described in clause (B), (i) no Event of Default has occurred or is continuing at the time of such license; (ii) the license constitutes an arm’s 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w:t>
      </w:r>
    </w:p>
    <w:p>
      <w:pPr>
        <w:pStyle w:val="TextBody"/>
        <w:bidi w:val="0"/>
        <w:jc w:val="center"/>
        <w:rPr>
          <w:rFonts w:ascii="Arial" w:hAnsi="Arial"/>
          <w:b w:val="false"/>
          <w:color w:val="000000"/>
          <w:sz w:val="20"/>
        </w:rPr>
      </w:pPr>
      <w:r>
        <w:rPr>
          <w:rFonts w:ascii="Arial" w:hAnsi="Arial"/>
          <w:b w:val="false"/>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Lender and delivers to Lender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an Account Control Agreement.</w:t>
      </w:r>
    </w:p>
    <w:p>
      <w:pPr>
        <w:pStyle w:val="TextBody"/>
        <w:bidi w:val="0"/>
        <w:spacing w:before="0" w:after="240"/>
        <w:jc w:val="both"/>
        <w:rPr/>
      </w:pPr>
      <w:r>
        <w:rPr>
          <w:color w:val="000000"/>
        </w:rPr>
        <w:t>“</w:t>
      </w:r>
      <w:r>
        <w:rPr>
          <w:rFonts w:ascii="Arial" w:hAnsi="Arial"/>
          <w:b w:val="false"/>
          <w:color w:val="000000"/>
          <w:sz w:val="20"/>
          <w:u w:val="single"/>
        </w:rPr>
        <w:t>Permitted Liens</w:t>
      </w:r>
      <w:r>
        <w:rPr>
          <w:color w:val="000000"/>
        </w:rPr>
        <w:t xml:space="preserve">” </w:t>
      </w:r>
      <w:r>
        <w:rPr>
          <w:rFonts w:ascii="Arial" w:hAnsi="Arial"/>
          <w:b w:val="false"/>
          <w:color w:val="000000"/>
          <w:sz w:val="20"/>
        </w:rPr>
        <w:t xml:space="preserve">means any of the following: </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Liens of the Administrative Agent pursuant to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Liens outstanding on the date hereof and set forth on the Perfection Certificate;</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Liens for taxes and assessments not yet due and payable or, if due and payable, those being contested in good faith by appropriate proceedings and for which appropriate reserves are maintained in accordance with GAAP; </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Liens arising in the Ordinary Course of Business (such as Liens of carriers, warehousemen, mechanics, and materialmen) and other similar Liens imposed by law for sums not yet due and payable or, if due and payable, those being contested in good faith by appropriate proceedings and for which appropriate reserves are maintained in accordance with GAAP; </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easements, rights of way, restrictions, minor defects or irregularities in title or other similar Liens which alone or in the aggregate do not interfere in any material way with the ordinary conduct of the business of Borrower; </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Liens consisting of Permitted Licenses;</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Liens consisting of purchase money security interests for new equipment financing not to exceed the amount permitted in clause (b) of the definition of “Permitted Debt”; </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Liens on cash collateral securing letters of credit that constitute Permitted Debt; </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Liens to secure payment of workers’ compensation, employment insurance, old-age pensions, social security and other like obligations incurred in the Ordinary Course of Business (other than Liens imposed by ERISA); </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rFonts w:ascii="Arial" w:hAnsi="Arial"/>
          <w:b w:val="false"/>
          <w:color w:val="000000"/>
          <w:sz w:val="20"/>
        </w:rPr>
      </w:pPr>
      <w:r>
        <w:rPr>
          <w:rFonts w:ascii="Arial" w:hAnsi="Arial"/>
          <w:b w:val="false"/>
          <w:color w:val="000000"/>
          <w:sz w:val="20"/>
        </w:rPr>
        <w:t>Liens to secure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Lender a security interest therein;</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Liens arising from attachments or judgments, orders, or decrees in circumstances not constituting an Event of Default; </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Liens arising from the filing of any precautionary financing statement on operating leases covering the leased property, to the extent such operating leases are permitted under this Agreement; </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Liens in favor or other financial institutions arising in connection with Borrower’s deposit or investment accounts held at such institutions to secure customary fees and charges (but not </w:t>
      </w:r>
    </w:p>
    <w:p>
      <w:pPr>
        <w:pStyle w:val="TextBody"/>
        <w:bidi w:val="0"/>
        <w:jc w:val="center"/>
        <w:rPr>
          <w:rFonts w:ascii="Arial" w:hAnsi="Arial"/>
          <w:b w:val="false"/>
          <w:color w:val="000000"/>
          <w:sz w:val="20"/>
        </w:rPr>
      </w:pPr>
      <w:r>
        <w:rPr>
          <w:rFonts w:ascii="Arial" w:hAnsi="Arial"/>
          <w:b w:val="false"/>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credit/debt relationships or margin accounts), provided that Administrative Agent has a perfected security interest in the amounts held in such deposit accounts to the extent required by this Agreement;</w:t>
      </w:r>
      <w:r>
        <w:rPr>
          <w:color w:val="00000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(n)</w:t>
      </w:r>
    </w:p>
    <w:p>
      <w:pPr>
        <w:pStyle w:val="TextBody"/>
        <w:bidi w:val="0"/>
        <w:spacing w:before="0" w:after="240"/>
        <w:jc w:val="both"/>
        <w:rPr>
          <w:rFonts w:ascii="Arial" w:hAnsi="Arial"/>
          <w:b w:val="false"/>
          <w:color w:val="000000"/>
          <w:sz w:val="20"/>
        </w:rPr>
      </w:pPr>
      <w:r>
        <w:rPr>
          <w:rFonts w:ascii="Arial" w:hAnsi="Arial"/>
          <w:b w:val="false"/>
          <w:color w:val="000000"/>
          <w:sz w:val="20"/>
        </w:rPr>
        <w:t>Liens on insurance proceeds granted solely as a security for financed premiums to the extent the Debt qualifies as Permitted Debt; and</w:t>
      </w:r>
    </w:p>
    <w:p>
      <w:pPr>
        <w:pStyle w:val="TextBody"/>
        <w:bidi w:val="0"/>
        <w:spacing w:before="0" w:after="240"/>
        <w:jc w:val="both"/>
        <w:rPr>
          <w:rFonts w:ascii="Arial" w:hAnsi="Arial"/>
          <w:b w:val="false"/>
          <w:color w:val="000000"/>
          <w:sz w:val="20"/>
        </w:rPr>
      </w:pPr>
      <w:r>
        <w:rPr>
          <w:rFonts w:ascii="Arial" w:hAnsi="Arial"/>
          <w:b w:val="false"/>
          <w:color w:val="000000"/>
          <w:sz w:val="20"/>
        </w:rPr>
        <w:t>(o)</w:t>
      </w:r>
    </w:p>
    <w:p>
      <w:pPr>
        <w:pStyle w:val="TextBody"/>
        <w:bidi w:val="0"/>
        <w:spacing w:before="0" w:after="240"/>
        <w:jc w:val="both"/>
        <w:rPr>
          <w:rFonts w:ascii="Arial" w:hAnsi="Arial"/>
          <w:b w:val="false"/>
          <w:color w:val="000000"/>
          <w:sz w:val="20"/>
        </w:rPr>
      </w:pPr>
      <w:r>
        <w:rPr>
          <w:rFonts w:ascii="Arial" w:hAnsi="Arial"/>
          <w:b w:val="false"/>
          <w:color w:val="000000"/>
          <w:sz w:val="20"/>
        </w:rPr>
        <w:t>(n) cash pledges and deposits to secure the performance of bids, trade, commercial and government contracts, tenders, leases, statutory or regulatory obligations (including ERISA obligations and bonds), surety and appeal bonds, performance bonds and other obligations of a like nature, in each case in the Ordinary Course of Business; in any case other than statutory or regulatory obligations, such as but not limited to ERISA and ERISA bonds, not representing an obligation for borrowed money.</w:t>
      </w:r>
    </w:p>
    <w:p>
      <w:pPr>
        <w:pStyle w:val="TextBody"/>
        <w:bidi w:val="0"/>
        <w:spacing w:before="0" w:after="240"/>
        <w:jc w:val="both"/>
        <w:rPr/>
      </w:pPr>
      <w:r>
        <w:rPr>
          <w:color w:val="000000"/>
        </w:rPr>
        <w:t>“</w:t>
      </w:r>
      <w:r>
        <w:rPr>
          <w:rFonts w:ascii="Arial" w:hAnsi="Arial"/>
          <w:b w:val="false"/>
          <w:color w:val="000000"/>
          <w:sz w:val="20"/>
          <w:u w:val="single"/>
        </w:rPr>
        <w:t>Person</w:t>
      </w:r>
      <w:r>
        <w:rPr>
          <w:color w:val="000000"/>
        </w:rPr>
        <w:t xml:space="preserve">” </w:t>
      </w:r>
      <w:r>
        <w:rPr>
          <w:rFonts w:ascii="Arial" w:hAnsi="Arial"/>
          <w:b w:val="false"/>
          <w:color w:val="000000"/>
          <w:sz w:val="20"/>
        </w:rPr>
        <w:t>means and includes any individual, any partnership, any corporation, any business trust, any joint stock company, any limited liability company, any unincorporated association or any other entity and any domestic or foreign national, state or local government, foregoing.</w:t>
      </w:r>
    </w:p>
    <w:p>
      <w:pPr>
        <w:pStyle w:val="TextBody"/>
        <w:bidi w:val="0"/>
        <w:spacing w:before="0" w:after="240"/>
        <w:jc w:val="both"/>
        <w:rPr/>
      </w:pPr>
      <w:r>
        <w:rPr>
          <w:color w:val="000000"/>
        </w:rPr>
        <w:t>“</w:t>
      </w:r>
      <w:r>
        <w:rPr>
          <w:rFonts w:ascii="Arial" w:hAnsi="Arial"/>
          <w:b w:val="false"/>
          <w:color w:val="000000"/>
          <w:sz w:val="20"/>
          <w:u w:val="single"/>
        </w:rPr>
        <w:t>Potential Event of Default</w:t>
      </w:r>
      <w:r>
        <w:rPr>
          <w:color w:val="000000"/>
        </w:rPr>
        <w:t xml:space="preserve">” </w:t>
      </w:r>
      <w:r>
        <w:rPr>
          <w:rFonts w:ascii="Arial" w:hAnsi="Arial"/>
          <w:b w:val="false"/>
          <w:color w:val="000000"/>
          <w:sz w:val="20"/>
        </w:rPr>
        <w:t xml:space="preserve">means any event or circumstance, which, with the giving of notice or lapse of time or both, would become an Event of Default. </w:t>
      </w:r>
    </w:p>
    <w:p>
      <w:pPr>
        <w:pStyle w:val="TextBody"/>
        <w:bidi w:val="0"/>
        <w:spacing w:before="0" w:after="240"/>
        <w:jc w:val="both"/>
        <w:rPr/>
      </w:pPr>
      <w:r>
        <w:rPr>
          <w:color w:val="000000"/>
        </w:rPr>
        <w:t>“</w:t>
      </w:r>
      <w:r>
        <w:rPr>
          <w:rFonts w:ascii="Arial" w:hAnsi="Arial"/>
          <w:b w:val="false"/>
          <w:color w:val="000000"/>
          <w:sz w:val="20"/>
          <w:u w:val="single"/>
        </w:rPr>
        <w:t>Prime Rate</w:t>
      </w:r>
      <w:r>
        <w:rPr>
          <w:color w:val="000000"/>
        </w:rPr>
        <w:t xml:space="preserve">” </w:t>
      </w:r>
      <w:r>
        <w:rPr>
          <w:rFonts w:ascii="Arial" w:hAnsi="Arial"/>
          <w:b w:val="false"/>
          <w:color w:val="000000"/>
          <w:sz w:val="20"/>
        </w:rPr>
        <w:t>means, at any time, the greater of (i) the rate of interest noted in The Wall Street Journal, Money Rates section, as the “Prime Rate.” In the event that The Wall Street Journal quotes more than one rate, or a range of rates, as the Prime Rate, then the Prime Rate shall mean the average of the quoted rates. In the event that The Wall Street Journal ceases to publish a Prime Rate, then the Prime Rate shall be as announced by Lender.</w:t>
      </w:r>
    </w:p>
    <w:p>
      <w:pPr>
        <w:pStyle w:val="TextBody"/>
        <w:bidi w:val="0"/>
        <w:spacing w:before="0" w:after="240"/>
        <w:jc w:val="both"/>
        <w:rPr/>
      </w:pPr>
      <w:r>
        <w:rPr>
          <w:color w:val="000000"/>
        </w:rPr>
        <w:t>“</w:t>
      </w:r>
      <w:r>
        <w:rPr>
          <w:rFonts w:ascii="Arial" w:hAnsi="Arial"/>
          <w:b w:val="false"/>
          <w:color w:val="000000"/>
          <w:sz w:val="20"/>
          <w:u w:val="single"/>
        </w:rPr>
        <w:t>Pro Rata Share</w:t>
      </w:r>
      <w:r>
        <w:rPr>
          <w:color w:val="000000"/>
        </w:rPr>
        <w:t xml:space="preserve">” </w:t>
      </w:r>
      <w:r>
        <w:rPr>
          <w:rFonts w:ascii="Arial" w:hAnsi="Arial"/>
          <w:b w:val="false"/>
          <w:color w:val="000000"/>
          <w:sz w:val="20"/>
        </w:rPr>
        <w:t>means, with respect to:</w:t>
      </w:r>
    </w:p>
    <w:p>
      <w:pPr>
        <w:pStyle w:val="TextBody"/>
        <w:bidi w:val="0"/>
        <w:spacing w:before="0" w:after="240"/>
        <w:jc w:val="both"/>
        <w:rPr/>
      </w:pPr>
      <w:r>
        <w:rPr>
          <w:rFonts w:ascii="Arial" w:hAnsi="Arial"/>
          <w:b w:val="false"/>
          <w:color w:val="000000"/>
          <w:sz w:val="20"/>
        </w:rPr>
        <w:t xml:space="preserve">(a) a Lender’s obligation to make Loans and the right to receive payments of interest, fees and principal with respect thereto, the percentage obtained by dividing (i) such Lender’s Commitments, by (ii) the Total Commitments, </w:t>
      </w:r>
      <w:r>
        <w:rPr>
          <w:rFonts w:ascii="Arial" w:hAnsi="Arial"/>
          <w:b w:val="false"/>
          <w:color w:val="000000"/>
          <w:sz w:val="20"/>
          <w:u w:val="single"/>
        </w:rPr>
        <w:t>provided</w:t>
      </w:r>
      <w:r>
        <w:rPr>
          <w:color w:val="000000"/>
        </w:rPr>
        <w:t xml:space="preserve"> </w:t>
      </w:r>
      <w:r>
        <w:rPr>
          <w:rFonts w:ascii="Arial" w:hAnsi="Arial"/>
          <w:b w:val="false"/>
          <w:color w:val="000000"/>
          <w:sz w:val="20"/>
        </w:rPr>
        <w:t xml:space="preserve">that if the Total Commitments have been reduced to zero, the numerator shall be the aggregate unpaid principal amount of such Lender’s portion of the Loans and the denominator shall be the aggregate unpaid principal amount of the Loans, and </w:t>
      </w:r>
    </w:p>
    <w:p>
      <w:pPr>
        <w:pStyle w:val="TextBody"/>
        <w:bidi w:val="0"/>
        <w:spacing w:before="0" w:after="240"/>
        <w:jc w:val="both"/>
        <w:rPr/>
      </w:pPr>
      <w:r>
        <w:rPr>
          <w:rFonts w:ascii="Arial" w:hAnsi="Arial"/>
          <w:b w:val="false"/>
          <w:color w:val="000000"/>
          <w:sz w:val="20"/>
        </w:rPr>
        <w:t xml:space="preserve">(b) all other matters (including, without limitation, the indemnification obligations arising under </w:t>
      </w:r>
      <w:r>
        <w:rPr>
          <w:rFonts w:ascii="Arial" w:hAnsi="Arial"/>
          <w:b w:val="false"/>
          <w:color w:val="000000"/>
          <w:sz w:val="20"/>
          <w:u w:val="single"/>
        </w:rPr>
        <w:t>Section 5.7</w:t>
      </w:r>
      <w:r>
        <w:rPr>
          <w:rFonts w:ascii="Arial" w:hAnsi="Arial"/>
          <w:b w:val="false"/>
          <w:color w:val="000000"/>
          <w:sz w:val="20"/>
        </w:rPr>
        <w:t>), the percentage obtained by dividing (i) the sum of the unpaid principal amount of such Lender’s portion of the Loans, by (ii) the sum of the aggregate unpaid principal amount of the Loans.</w:t>
      </w:r>
    </w:p>
    <w:p>
      <w:pPr>
        <w:pStyle w:val="TextBody"/>
        <w:bidi w:val="0"/>
        <w:spacing w:before="0" w:after="240"/>
        <w:jc w:val="both"/>
        <w:rPr/>
      </w:pPr>
      <w:r>
        <w:rPr>
          <w:color w:val="000000"/>
        </w:rPr>
        <w:t>“</w:t>
      </w:r>
      <w:r>
        <w:rPr>
          <w:rFonts w:ascii="Arial" w:hAnsi="Arial"/>
          <w:b w:val="false"/>
          <w:color w:val="000000"/>
          <w:sz w:val="20"/>
          <w:u w:val="single"/>
        </w:rPr>
        <w:t>Property</w:t>
      </w:r>
      <w:r>
        <w:rPr>
          <w:color w:val="000000"/>
        </w:rPr>
        <w:t xml:space="preserve">” </w:t>
      </w:r>
      <w:r>
        <w:rPr>
          <w:rFonts w:ascii="Arial" w:hAnsi="Arial"/>
          <w:b w:val="false"/>
          <w:color w:val="000000"/>
          <w:sz w:val="20"/>
        </w:rPr>
        <w:t>means any interest in any kind of property or asset, whether real, personal or mixed, whether tangible or intangible.</w:t>
      </w:r>
    </w:p>
    <w:p>
      <w:pPr>
        <w:pStyle w:val="TextBody"/>
        <w:bidi w:val="0"/>
        <w:spacing w:before="0" w:after="240"/>
        <w:jc w:val="both"/>
        <w:rPr/>
      </w:pPr>
      <w:r>
        <w:rPr>
          <w:color w:val="000000"/>
        </w:rPr>
        <w:t>“</w:t>
      </w:r>
      <w:r>
        <w:rPr>
          <w:rFonts w:ascii="Arial" w:hAnsi="Arial"/>
          <w:b w:val="false"/>
          <w:color w:val="000000"/>
          <w:sz w:val="20"/>
          <w:u w:val="single"/>
        </w:rPr>
        <w:t>Responsible Officer</w:t>
      </w:r>
      <w:r>
        <w:rPr>
          <w:color w:val="000000"/>
        </w:rPr>
        <w:t xml:space="preserve">” </w:t>
      </w:r>
      <w:r>
        <w:rPr>
          <w:rFonts w:ascii="Arial" w:hAnsi="Arial"/>
          <w:b w:val="false"/>
          <w:color w:val="000000"/>
          <w:sz w:val="20"/>
        </w:rPr>
        <w:t>means each of the chief executive officer, the chief operating officer, the chief financial officer, president, treasurer, vice president of finance and the controller of Borrower, as well as any other officer or employee identified as an authorized officer in the corporate resolution delivered by Borrower to Administrative Agent in connection with this Agreement.</w:t>
      </w:r>
    </w:p>
    <w:p>
      <w:pPr>
        <w:pStyle w:val="TextBody"/>
        <w:bidi w:val="0"/>
        <w:spacing w:before="0" w:after="240"/>
        <w:jc w:val="both"/>
        <w:rPr/>
      </w:pPr>
      <w:r>
        <w:rPr>
          <w:color w:val="000000"/>
        </w:rPr>
        <w:t>“</w:t>
      </w:r>
      <w:r>
        <w:rPr>
          <w:rFonts w:ascii="Arial" w:hAnsi="Arial"/>
          <w:b w:val="false"/>
          <w:color w:val="000000"/>
          <w:sz w:val="20"/>
          <w:u w:val="single"/>
        </w:rPr>
        <w:t>Restricted License</w:t>
      </w:r>
      <w:r>
        <w:rPr>
          <w:color w:val="000000"/>
        </w:rPr>
        <w:t xml:space="preserve">” </w:t>
      </w:r>
      <w:r>
        <w:rPr>
          <w:rFonts w:ascii="Arial" w:hAnsi="Arial"/>
          <w:b w:val="false"/>
          <w:color w:val="000000"/>
          <w:sz w:val="20"/>
        </w:rPr>
        <w:t>means any license or other agreement with respect to which Borrower is the licensee and such license or agreement is material to Borrower’s business and that prohibits or otherwise restricts Borrower from granting a security interest in Borrower’s interest in such license or agreement or any other property.</w:t>
      </w:r>
    </w:p>
    <w:p>
      <w:pPr>
        <w:pStyle w:val="TextBody"/>
        <w:bidi w:val="0"/>
        <w:spacing w:before="0" w:after="240"/>
        <w:jc w:val="both"/>
        <w:rPr/>
      </w:pPr>
      <w:r>
        <w:rPr>
          <w:color w:val="000000"/>
        </w:rPr>
        <w:t>“</w:t>
      </w:r>
      <w:r>
        <w:rPr>
          <w:rFonts w:ascii="Arial" w:hAnsi="Arial"/>
          <w:b w:val="false"/>
          <w:color w:val="000000"/>
          <w:sz w:val="20"/>
          <w:u w:val="single"/>
        </w:rPr>
        <w:t>Required Lenders</w:t>
      </w:r>
      <w:r>
        <w:rPr>
          <w:color w:val="000000"/>
        </w:rPr>
        <w:t xml:space="preserve">” </w:t>
      </w:r>
      <w:r>
        <w:rPr>
          <w:rFonts w:ascii="Arial" w:hAnsi="Arial"/>
          <w:b w:val="false"/>
          <w:color w:val="000000"/>
          <w:sz w:val="20"/>
        </w:rPr>
        <w:t>means Lenders (other than Defaulting Lenders) whose Pro Rata Shares (without giving effect to the Pro Rata Share of Defaulting Lenders) aggregate at least fifty and one-tenth percent (50.1%); provided that such Lenders must include Administrative Agent (unless Administrative Agent is a Defaulting Lender).</w:t>
      </w:r>
    </w:p>
    <w:p>
      <w:pPr>
        <w:pStyle w:val="TextBody"/>
        <w:bidi w:val="0"/>
        <w:jc w:val="center"/>
        <w:rPr>
          <w:rFonts w:ascii="Arial" w:hAnsi="Arial"/>
          <w:b w:val="false"/>
          <w:color w:val="000000"/>
          <w:sz w:val="20"/>
        </w:rPr>
      </w:pPr>
      <w:r>
        <w:rPr>
          <w:rFonts w:ascii="Arial" w:hAnsi="Arial"/>
          <w:b w:val="false"/>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Arial" w:hAnsi="Arial"/>
          <w:b w:val="false"/>
          <w:color w:val="000000"/>
          <w:sz w:val="20"/>
          <w:u w:val="single"/>
        </w:rPr>
        <w:t>Secured Parties</w:t>
      </w:r>
      <w:r>
        <w:rPr>
          <w:color w:val="000000"/>
        </w:rPr>
        <w:t xml:space="preserve">” </w:t>
      </w:r>
      <w:r>
        <w:rPr>
          <w:rFonts w:ascii="Arial" w:hAnsi="Arial"/>
          <w:b w:val="false"/>
          <w:color w:val="000000"/>
          <w:sz w:val="20"/>
        </w:rPr>
        <w:t>means the Lenders, Administrative Agent, each other Indemnified Person and any other holder of any Obligation.</w:t>
      </w:r>
    </w:p>
    <w:p>
      <w:pPr>
        <w:pStyle w:val="TextBody"/>
        <w:bidi w:val="0"/>
        <w:spacing w:before="0" w:after="240"/>
        <w:jc w:val="both"/>
        <w:rPr/>
      </w:pPr>
      <w:r>
        <w:rPr>
          <w:color w:val="000000"/>
        </w:rPr>
        <w:t>“</w:t>
      </w:r>
      <w:r>
        <w:rPr>
          <w:rFonts w:ascii="Arial" w:hAnsi="Arial"/>
          <w:b w:val="false"/>
          <w:color w:val="000000"/>
          <w:sz w:val="20"/>
          <w:u w:val="single"/>
        </w:rPr>
        <w:t>Securities Account</w:t>
      </w:r>
      <w:r>
        <w:rPr>
          <w:color w:val="000000"/>
        </w:rPr>
        <w:t xml:space="preserve">” </w:t>
      </w:r>
      <w:r>
        <w:rPr>
          <w:rFonts w:ascii="Arial" w:hAnsi="Arial"/>
          <w:b w:val="false"/>
          <w:color w:val="000000"/>
          <w:sz w:val="20"/>
        </w:rPr>
        <w:t>means any “securities account” as defined in the UCC with such additions to such term as may hereafter be made.</w:t>
      </w:r>
    </w:p>
    <w:p>
      <w:pPr>
        <w:pStyle w:val="TextBody"/>
        <w:bidi w:val="0"/>
        <w:spacing w:before="0" w:after="240"/>
        <w:jc w:val="both"/>
        <w:rPr/>
      </w:pPr>
      <w:r>
        <w:rPr>
          <w:color w:val="000000"/>
        </w:rPr>
        <w:t>“</w:t>
      </w:r>
      <w:r>
        <w:rPr>
          <w:rFonts w:ascii="Arial" w:hAnsi="Arial"/>
          <w:b w:val="false"/>
          <w:color w:val="000000"/>
          <w:sz w:val="20"/>
          <w:u w:val="single"/>
        </w:rPr>
        <w:t>Solvent</w:t>
      </w:r>
      <w:r>
        <w:rPr>
          <w:color w:val="000000"/>
        </w:rPr>
        <w:t xml:space="preserve">” </w:t>
      </w:r>
      <w:r>
        <w:rPr>
          <w:rFonts w:ascii="Arial" w:hAnsi="Arial"/>
          <w:b w:val="false"/>
          <w:color w:val="000000"/>
          <w:sz w:val="20"/>
        </w:rPr>
        <w:t>with respect to any person or entity as of any date of determination, means that on such date (a) the present fair salable value of the property and assets of such person or entity exceeds the debts and liabilities, including contingent liabilities, of such person or entity, (b) the present fair salable value of the property and assets of such person or entity is greater than the amount that will be required to pay the probable liability of such person or entity on its debts and other liabilities, including contingent liabilities, as such debts and other liabilities become absolute and matured, (c) such person or entity does not intend to incur, or believe (nor should it reasonably believe) that it will incur, debts and liabilities, including contingent liabilities, beyond its ability to pay such debts and liabilities as they become absolute and matured, and (d) such person or entity does not have unreasonably small capital with which to conduct the business in which it is engaged as such business is now conducted and is proposed to be conducted.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240"/>
        <w:jc w:val="both"/>
        <w:rPr/>
      </w:pPr>
      <w:r>
        <w:rPr>
          <w:color w:val="000000"/>
        </w:rPr>
        <w:t>“</w:t>
      </w:r>
      <w:r>
        <w:rPr>
          <w:rFonts w:ascii="Arial" w:hAnsi="Arial"/>
          <w:b w:val="false"/>
          <w:color w:val="000000"/>
          <w:sz w:val="20"/>
          <w:u w:val="single"/>
        </w:rPr>
        <w:t>Subsidiary</w:t>
      </w:r>
      <w:r>
        <w:rPr>
          <w:color w:val="000000"/>
        </w:rPr>
        <w:t xml:space="preserve">” </w:t>
      </w:r>
      <w:r>
        <w:rPr>
          <w:rFonts w:ascii="Arial" w:hAnsi="Arial"/>
          <w:b w:val="false"/>
          <w:color w:val="000000"/>
          <w:sz w:val="20"/>
        </w:rPr>
        <w:t>as to any Person, means any corporation, partnership, limited liability company, joint venture, trust or estate of or in which more than fifty percent (50%) of (a) the issued and outstanding capital stock having ordinary voting power to elect a majority of the board of directors of such corporation (irrespective of whether at the time capital stock of any other class of such corporation may have voting power upon the happening of a contingency), (b) the interest in the capital or profits of such partnership, limited liability company, or joint venture or (c) the beneficial interest in such trust or estate is at the time directly or indirectly owned or controlled through one or more intermediaries, or both, by such Person. Unless otherwise qualified, all references to a “Subsidiary” or to “Subsidiaries” in this Agreement shall refer to a Subsidiary or Subsidiaries of the Borrower.</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w:t>
      </w:r>
    </w:p>
    <w:p>
      <w:pPr>
        <w:pStyle w:val="TextBody"/>
        <w:bidi w:val="0"/>
        <w:spacing w:before="0" w:after="240"/>
        <w:jc w:val="both"/>
        <w:rPr/>
      </w:pPr>
      <w:r>
        <w:rPr>
          <w:color w:val="000000"/>
        </w:rPr>
        <w:t>“</w:t>
      </w:r>
      <w:r>
        <w:rPr>
          <w:rFonts w:ascii="Arial" w:hAnsi="Arial"/>
          <w:b w:val="false"/>
          <w:color w:val="000000"/>
          <w:sz w:val="20"/>
          <w:u w:val="single"/>
        </w:rPr>
        <w:t>Taxes</w:t>
      </w:r>
      <w:r>
        <w:rPr>
          <w:color w:val="000000"/>
        </w:rPr>
        <w:t xml:space="preserve">” </w:t>
      </w:r>
      <w:r>
        <w:rPr>
          <w:rFonts w:ascii="Arial" w:hAnsi="Arial"/>
          <w:b w:val="false"/>
          <w:color w:val="000000"/>
          <w:sz w:val="20"/>
        </w:rPr>
        <w:t>means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pStyle w:val="TextBody"/>
        <w:bidi w:val="0"/>
        <w:spacing w:before="0" w:after="240"/>
        <w:jc w:val="both"/>
        <w:rPr/>
      </w:pPr>
      <w:r>
        <w:rPr>
          <w:color w:val="000000"/>
        </w:rPr>
        <w:t>“</w:t>
      </w:r>
      <w:r>
        <w:rPr>
          <w:rFonts w:ascii="Arial" w:hAnsi="Arial"/>
          <w:b w:val="false"/>
          <w:color w:val="000000"/>
          <w:sz w:val="20"/>
          <w:u w:val="single"/>
        </w:rPr>
        <w:t>Tranche A Loan</w:t>
      </w:r>
      <w:r>
        <w:rPr>
          <w:color w:val="000000"/>
        </w:rPr>
        <w:t xml:space="preserve">” </w:t>
      </w:r>
      <w:r>
        <w:rPr>
          <w:rFonts w:ascii="Arial" w:hAnsi="Arial"/>
          <w:b w:val="false"/>
          <w:color w:val="000000"/>
          <w:sz w:val="20"/>
        </w:rPr>
        <w:t xml:space="preserve">shall have the meaning provided in </w:t>
      </w:r>
      <w:r>
        <w:rPr>
          <w:rFonts w:ascii="Arial" w:hAnsi="Arial"/>
          <w:b w:val="false"/>
          <w:color w:val="000000"/>
          <w:sz w:val="20"/>
          <w:u w:val="single"/>
        </w:rPr>
        <w:t>Section 2.1(b).</w:t>
      </w:r>
    </w:p>
    <w:p>
      <w:pPr>
        <w:pStyle w:val="TextBody"/>
        <w:bidi w:val="0"/>
        <w:spacing w:before="0" w:after="240"/>
        <w:jc w:val="both"/>
        <w:rPr/>
      </w:pPr>
      <w:r>
        <w:rPr>
          <w:color w:val="000000"/>
        </w:rPr>
        <w:t>“</w:t>
      </w:r>
      <w:r>
        <w:rPr>
          <w:rFonts w:ascii="Arial" w:hAnsi="Arial"/>
          <w:b w:val="false"/>
          <w:color w:val="000000"/>
          <w:sz w:val="20"/>
          <w:u w:val="single"/>
        </w:rPr>
        <w:t>Total Commitments</w:t>
      </w:r>
      <w:r>
        <w:rPr>
          <w:color w:val="000000"/>
        </w:rPr>
        <w:t xml:space="preserve">” </w:t>
      </w:r>
      <w:r>
        <w:rPr>
          <w:rFonts w:ascii="Arial" w:hAnsi="Arial"/>
          <w:b w:val="false"/>
          <w:color w:val="000000"/>
          <w:sz w:val="20"/>
        </w:rPr>
        <w:t>means the sum of the amounts of the Lenders’ Commitments.</w:t>
      </w:r>
    </w:p>
    <w:p>
      <w:pPr>
        <w:pStyle w:val="TextBody"/>
        <w:bidi w:val="0"/>
        <w:spacing w:before="0" w:after="240"/>
        <w:jc w:val="both"/>
        <w:rPr/>
      </w:pPr>
      <w:r>
        <w:rPr>
          <w:color w:val="000000"/>
        </w:rPr>
        <w:t>“</w:t>
      </w:r>
      <w:r>
        <w:rPr>
          <w:rFonts w:ascii="Arial" w:hAnsi="Arial"/>
          <w:b w:val="false"/>
          <w:color w:val="000000"/>
          <w:sz w:val="20"/>
          <w:u w:val="single"/>
        </w:rPr>
        <w:t>Transfer</w:t>
      </w:r>
      <w:r>
        <w:rPr>
          <w:color w:val="000000"/>
        </w:rPr>
        <w:t xml:space="preserve">” </w:t>
      </w:r>
      <w:r>
        <w:rPr>
          <w:rFonts w:ascii="Arial" w:hAnsi="Arial"/>
          <w:b w:val="false"/>
          <w:color w:val="000000"/>
          <w:sz w:val="20"/>
        </w:rPr>
        <w:t>means to convey, sell, lease, transfer, assign, or otherwise dispose of.</w:t>
      </w:r>
    </w:p>
    <w:p>
      <w:pPr>
        <w:pStyle w:val="TextBody"/>
        <w:bidi w:val="0"/>
        <w:spacing w:before="0" w:after="240"/>
        <w:jc w:val="both"/>
        <w:rPr/>
      </w:pPr>
      <w:r>
        <w:rPr>
          <w:color w:val="000000"/>
        </w:rPr>
        <w:t>“</w:t>
      </w:r>
      <w:r>
        <w:rPr>
          <w:rFonts w:ascii="Arial" w:hAnsi="Arial"/>
          <w:b w:val="false"/>
          <w:color w:val="000000"/>
          <w:sz w:val="20"/>
          <w:u w:val="single"/>
        </w:rPr>
        <w:t>UCC</w:t>
      </w:r>
      <w:r>
        <w:rPr>
          <w:color w:val="000000"/>
        </w:rPr>
        <w:t xml:space="preserve">” </w:t>
      </w:r>
      <w:r>
        <w:rPr>
          <w:rFonts w:ascii="Arial" w:hAnsi="Arial"/>
          <w:b w:val="false"/>
          <w:color w:val="000000"/>
          <w:sz w:val="20"/>
        </w:rPr>
        <w:t>means the Uniform Commercial Code as the same may from time to time be in effect in the State of California; provided, however, in the event, by reason of mandatory provisions of law, any and all of the attachment, perfection or priority of the security interest of Administrative Agent in and to the Collateral is governed by the Uniform Commercial Code as in effect in a jurisdiction other than California, the term “UCC” shall mean the Uniform Commercial Code as in effect in such other jurisdiction for purposes of the provisions relating to such attachment, perfection or priority and for purposes of definitions related to such provisions; provided, further, that the term “UCC” shall include Article 9 thereof as in effect on the Closing Date.</w:t>
      </w:r>
    </w:p>
    <w:p>
      <w:pPr>
        <w:pStyle w:val="TextBody"/>
        <w:bidi w:val="0"/>
        <w:spacing w:before="0" w:after="240"/>
        <w:jc w:val="both"/>
        <w:rPr/>
      </w:pPr>
      <w:r>
        <w:rPr>
          <w:color w:val="000000"/>
        </w:rPr>
        <w:t>“</w:t>
      </w:r>
      <w:r>
        <w:rPr>
          <w:rFonts w:ascii="Arial" w:hAnsi="Arial"/>
          <w:b w:val="false"/>
          <w:color w:val="000000"/>
          <w:sz w:val="20"/>
          <w:u w:val="single"/>
        </w:rPr>
        <w:t>U.S. Person</w:t>
      </w:r>
      <w:r>
        <w:rPr>
          <w:color w:val="000000"/>
        </w:rPr>
        <w:t xml:space="preserve">” </w:t>
      </w:r>
      <w:r>
        <w:rPr>
          <w:rFonts w:ascii="Arial" w:hAnsi="Arial"/>
          <w:b w:val="false"/>
          <w:color w:val="000000"/>
          <w:sz w:val="20"/>
        </w:rPr>
        <w:t>means any Person that is a “United States person” as defined in Section 7701(a)(30) of the Code.</w:t>
      </w:r>
    </w:p>
    <w:p>
      <w:pPr>
        <w:pStyle w:val="TextBody"/>
        <w:bidi w:val="0"/>
        <w:jc w:val="center"/>
        <w:rPr>
          <w:rFonts w:ascii="Arial" w:hAnsi="Arial"/>
          <w:b w:val="false"/>
          <w:color w:val="000000"/>
          <w:sz w:val="20"/>
        </w:rPr>
      </w:pPr>
      <w:r>
        <w:rPr>
          <w:rFonts w:ascii="Arial" w:hAnsi="Arial"/>
          <w:b w:val="false"/>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caps/>
          <w:color w:val="000000"/>
          <w:sz w:val="20"/>
        </w:rPr>
      </w:pPr>
      <w:r>
        <w:rPr>
          <w:rFonts w:ascii="Arial" w:hAnsi="Arial"/>
          <w:b/>
          <w:caps/>
          <w:color w:val="000000"/>
          <w:sz w:val="20"/>
        </w:rPr>
        <w:t>Article 2</w:t>
      </w:r>
    </w:p>
    <w:p>
      <w:pPr>
        <w:pStyle w:val="TextBody"/>
        <w:bidi w:val="0"/>
        <w:spacing w:before="0" w:after="240"/>
        <w:jc w:val="center"/>
        <w:rPr>
          <w:rFonts w:ascii="Arial" w:hAnsi="Arial"/>
          <w:b/>
          <w:caps/>
          <w:color w:val="000000"/>
          <w:sz w:val="20"/>
          <w:u w:val="single"/>
        </w:rPr>
      </w:pPr>
      <w:r>
        <w:rPr>
          <w:rFonts w:ascii="Arial" w:hAnsi="Arial"/>
          <w:b/>
          <w:caps/>
          <w:color w:val="000000"/>
          <w:sz w:val="20"/>
          <w:u w:val="single"/>
        </w:rPr>
        <w:br/>
        <w:br/>
        <w:t>THE LOANS</w:t>
      </w:r>
    </w:p>
    <w:p>
      <w:pPr>
        <w:pStyle w:val="TextBody"/>
        <w:bidi w:val="0"/>
        <w:spacing w:before="0" w:after="240"/>
        <w:jc w:val="both"/>
        <w:rPr>
          <w:rFonts w:ascii="Arial" w:hAnsi="Arial"/>
          <w:b w:val="false"/>
          <w:color w:val="000000"/>
          <w:sz w:val="20"/>
        </w:rPr>
      </w:pPr>
      <w:r>
        <w:rPr>
          <w:rFonts w:ascii="Arial" w:hAnsi="Arial"/>
          <w:b w:val="false"/>
          <w:color w:val="000000"/>
          <w:sz w:val="20"/>
        </w:rPr>
        <w:t>2.1</w:t>
      </w:r>
    </w:p>
    <w:p>
      <w:pPr>
        <w:pStyle w:val="TextBody"/>
        <w:bidi w:val="0"/>
        <w:spacing w:before="0" w:after="240"/>
        <w:jc w:val="both"/>
        <w:rPr/>
      </w:pPr>
      <w:r>
        <w:rPr>
          <w:rFonts w:ascii="Arial" w:hAnsi="Arial"/>
          <w:b w:val="false"/>
          <w:color w:val="000000"/>
          <w:sz w:val="20"/>
          <w:u w:val="single"/>
        </w:rPr>
        <w:t>The Loans</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pPr>
      <w:r>
        <w:rPr>
          <w:rFonts w:ascii="Arial" w:hAnsi="Arial"/>
          <w:b w:val="false"/>
          <w:color w:val="000000"/>
          <w:sz w:val="20"/>
        </w:rPr>
        <w:t>Subject to the terms and conditions of this Agreement, each Lender severally hereby agrees to make a Loan to the Borrower in a principal amount not to exceed the amount of such Lender’s Commitments. If the aggregate outstanding principal amount of Loans at any time exceeds the Total Commitments, Borrower shall immediately repay such excess in full. The Obligations of Borrower under this Agreement shall at all times be absolute and unconditional. Borrower acknowledges and agrees that any obligation of any Lender to make any Loan hereunder is strictly contingent upon the satisfaction of the conditions set forth in Sections 2.4 and 2.5 (as applicable). For each Loan, Borrower shall make (i) monthly payments of interest only in arrears at the Applicable Rate during the Interest Only Period, and (ii) beginning on the first Payment Date after expiration of the Interest Only Period (the “</w:t>
      </w:r>
      <w:r>
        <w:rPr>
          <w:rFonts w:ascii="Arial" w:hAnsi="Arial"/>
          <w:b w:val="false"/>
          <w:color w:val="000000"/>
          <w:sz w:val="20"/>
          <w:u w:val="single"/>
        </w:rPr>
        <w:t>Amortization Date</w:t>
      </w:r>
      <w:r>
        <w:rPr>
          <w:color w:val="000000"/>
        </w:rPr>
        <w:t>”</w:t>
      </w:r>
      <w:r>
        <w:rPr>
          <w:rFonts w:ascii="Arial" w:hAnsi="Arial"/>
          <w:b w:val="false"/>
          <w:color w:val="000000"/>
          <w:sz w:val="20"/>
        </w:rPr>
        <w:t>), equal monthly payments on each subsequent Payment Date in an amount determined through a calculation fully amortizing the outstanding principal balance due under each Loan at the Applicable Rate over the period from the Amortization Date through (and including) the Maturity Date. For clarity, the payment schedule with respect to the Tranche A Loan as of the Closing Date is reflected in Exhibit B attached hereto, and Administrative Agent may update such payment schedule from time to time in accordance with the terms of the Loan Documents (as amended from time to time, the “</w:t>
      </w:r>
      <w:r>
        <w:rPr>
          <w:rFonts w:ascii="Arial" w:hAnsi="Arial"/>
          <w:b w:val="false"/>
          <w:color w:val="000000"/>
          <w:sz w:val="20"/>
          <w:u w:val="single"/>
        </w:rPr>
        <w:t>Amortization Schedule</w:t>
      </w:r>
      <w:r>
        <w:rPr>
          <w:color w:val="000000"/>
        </w:rPr>
        <w:t>”</w:t>
      </w:r>
      <w:r>
        <w:rPr>
          <w:rFonts w:ascii="Arial" w:hAnsi="Arial"/>
          <w:b w:val="false"/>
          <w:color w:val="000000"/>
          <w:sz w:val="20"/>
        </w:rPr>
        <w:t xml:space="preserve">). In the event of any inconsistency between the Amortization Schedule and the terms of the Loan Documents (including this </w:t>
      </w:r>
      <w:r>
        <w:rPr>
          <w:rFonts w:ascii="Arial" w:hAnsi="Arial"/>
          <w:b w:val="false"/>
          <w:color w:val="000000"/>
          <w:sz w:val="20"/>
          <w:u w:val="single"/>
        </w:rPr>
        <w:t>Section 2.1</w:t>
      </w:r>
      <w:r>
        <w:rPr>
          <w:rFonts w:ascii="Arial" w:hAnsi="Arial"/>
          <w:b w:val="false"/>
          <w:color w:val="000000"/>
          <w:sz w:val="20"/>
        </w:rPr>
        <w:t xml:space="preserve">), the terms of the Loan Documents shall prevail. Borrower shall continue to comply with all of the terms and provisions hereof until all of the Obligations are paid and satisfied in full. </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pPr>
      <w:r>
        <w:rPr>
          <w:rFonts w:ascii="Arial" w:hAnsi="Arial"/>
          <w:b w:val="false"/>
          <w:color w:val="000000"/>
          <w:sz w:val="20"/>
        </w:rPr>
        <w:t xml:space="preserve">The initial Advance hereunder, to be funded on the date hereof upon satisfaction of the conditions in </w:t>
      </w:r>
      <w:r>
        <w:rPr>
          <w:rFonts w:ascii="Arial" w:hAnsi="Arial"/>
          <w:b w:val="false"/>
          <w:color w:val="000000"/>
          <w:sz w:val="20"/>
          <w:u w:val="single"/>
        </w:rPr>
        <w:t>Sections 2.4</w:t>
      </w:r>
      <w:r>
        <w:rPr>
          <w:color w:val="000000"/>
        </w:rPr>
        <w:t xml:space="preserve"> </w:t>
      </w:r>
      <w:r>
        <w:rPr>
          <w:rFonts w:ascii="Arial" w:hAnsi="Arial"/>
          <w:b w:val="false"/>
          <w:color w:val="000000"/>
          <w:sz w:val="20"/>
        </w:rPr>
        <w:t>and 2.5, shall be an amount equal to Forty Million Dollars ($40,000,000.00) (the “</w:t>
      </w:r>
      <w:r>
        <w:rPr>
          <w:rFonts w:ascii="Arial" w:hAnsi="Arial"/>
          <w:b w:val="false"/>
          <w:color w:val="000000"/>
          <w:sz w:val="20"/>
          <w:u w:val="single"/>
        </w:rPr>
        <w:t>Tranche A Loan</w:t>
      </w:r>
      <w:r>
        <w:rPr>
          <w:color w:val="000000"/>
        </w:rPr>
        <w:t>”</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pPr>
      <w:r>
        <w:rPr>
          <w:rFonts w:ascii="Arial" w:hAnsi="Arial"/>
          <w:b w:val="false"/>
          <w:color w:val="000000"/>
          <w:sz w:val="20"/>
        </w:rPr>
        <w:t>At the time of the Advance of the Tranche A Loan, Borrower will pay Administrative Agent and the Lenders for all reasonable and documented out of pocket costs related to the Tranche A Loan including travel, UCC search, filing, insurance, and legal costs for the Tranche A Loan (the “</w:t>
      </w:r>
      <w:r>
        <w:rPr>
          <w:rFonts w:ascii="Arial" w:hAnsi="Arial"/>
          <w:b w:val="false"/>
          <w:color w:val="000000"/>
          <w:sz w:val="20"/>
          <w:u w:val="single"/>
        </w:rPr>
        <w:t>Tranche A Documentation and Funding Fee</w:t>
      </w:r>
      <w:r>
        <w:rPr>
          <w:color w:val="000000"/>
        </w:rPr>
        <w:t>”</w:t>
      </w:r>
      <w:r>
        <w:rPr>
          <w:rFonts w:ascii="Arial" w:hAnsi="Arial"/>
          <w:b w:val="false"/>
          <w:color w:val="000000"/>
          <w:sz w:val="20"/>
        </w:rPr>
        <w:t>). At the time of any additional Advance of any Loans, Borrower will pay Administrative Agent and the Lenders for all reasonable costs related to such additional Loans, including travel, UCC search, filing, insurance, and legal costs. The Tranche A Documentation and Funding Fee and any such additional costs due related to additional Loans shall be collectively referred to hereunder as “</w:t>
      </w:r>
      <w:r>
        <w:rPr>
          <w:rFonts w:ascii="Arial" w:hAnsi="Arial"/>
          <w:b w:val="false"/>
          <w:color w:val="000000"/>
          <w:sz w:val="20"/>
          <w:u w:val="single"/>
        </w:rPr>
        <w:t>Documentation and Funding Fees</w:t>
      </w:r>
      <w:r>
        <w:rPr>
          <w:rFonts w:ascii="Arial" w:hAnsi="Arial"/>
          <w:b w:val="false"/>
          <w:color w:val="000000"/>
          <w:sz w:val="2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2.2</w:t>
      </w:r>
    </w:p>
    <w:p>
      <w:pPr>
        <w:pStyle w:val="TextBody"/>
        <w:bidi w:val="0"/>
        <w:spacing w:before="0" w:after="240"/>
        <w:jc w:val="both"/>
        <w:rPr/>
      </w:pPr>
      <w:r>
        <w:rPr>
          <w:rFonts w:ascii="Arial" w:hAnsi="Arial"/>
          <w:b w:val="false"/>
          <w:color w:val="000000"/>
          <w:sz w:val="20"/>
          <w:u w:val="single"/>
        </w:rPr>
        <w:t>Advances and Interest</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pPr>
      <w:r>
        <w:rPr>
          <w:rFonts w:ascii="Arial" w:hAnsi="Arial"/>
          <w:b w:val="false"/>
          <w:color w:val="000000"/>
          <w:sz w:val="20"/>
        </w:rPr>
        <w:t xml:space="preserve">All Loans requested by Borrower must be requested by 11:00 A.M. Arizona time, five (5) Business Days prior to the date of such requested Loan. All requests or confirmations of requests for a Loan are to be in writing to Administrative Agent and may be sent by telecopy or facsimile transmission or by email provided that Administrative Agent shall have the right to require that receipt of such request not be effective unless confirmed via telephone with Lender. Borrower may not request more than one (1) Loan per calendar month. As express conditions precedent to Lender making each Loan to Borrower, Borrower shall deliver to Administrative Agent the documents, instruments and agreements required pursuant to </w:t>
      </w:r>
      <w:r>
        <w:rPr>
          <w:rFonts w:ascii="Arial" w:hAnsi="Arial"/>
          <w:b w:val="false"/>
          <w:color w:val="000000"/>
          <w:sz w:val="20"/>
          <w:u w:val="single"/>
        </w:rPr>
        <w:t>Sections 2.4</w:t>
      </w:r>
      <w:r>
        <w:rPr>
          <w:rFonts w:ascii="Arial" w:hAnsi="Arial"/>
          <w:b w:val="false"/>
          <w:color w:val="000000"/>
          <w:sz w:val="20"/>
        </w:rPr>
        <w:t xml:space="preserve">, </w:t>
      </w:r>
      <w:r>
        <w:rPr>
          <w:rFonts w:ascii="Arial" w:hAnsi="Arial"/>
          <w:b w:val="false"/>
          <w:color w:val="000000"/>
          <w:sz w:val="20"/>
          <w:u w:val="single"/>
        </w:rPr>
        <w:t>2.5</w:t>
      </w:r>
      <w:r>
        <w:rPr>
          <w:rFonts w:ascii="Arial" w:hAnsi="Arial"/>
          <w:b w:val="false"/>
          <w:color w:val="000000"/>
          <w:sz w:val="20"/>
        </w:rPr>
        <w:t xml:space="preserve">, and </w:t>
      </w:r>
      <w:r>
        <w:rPr>
          <w:rFonts w:ascii="Arial" w:hAnsi="Arial"/>
          <w:b w:val="false"/>
          <w:color w:val="000000"/>
          <w:sz w:val="20"/>
          <w:u w:val="single"/>
        </w:rPr>
        <w:t>2.6</w:t>
      </w:r>
      <w:r>
        <w:rPr>
          <w:color w:val="000000"/>
        </w:rPr>
        <w:t xml:space="preserve"> </w:t>
      </w:r>
      <w:r>
        <w:rPr>
          <w:rFonts w:ascii="Arial" w:hAnsi="Arial"/>
          <w:b w:val="false"/>
          <w:color w:val="000000"/>
          <w:sz w:val="20"/>
        </w:rPr>
        <w:t xml:space="preserve">(as applicable) of this Agreement (including, without limitation, the Loan Advance Request Form). Except as otherwise provided in this Section </w:t>
      </w:r>
      <w:r>
        <w:rPr>
          <w:rFonts w:ascii="Arial" w:hAnsi="Arial"/>
          <w:b w:val="false"/>
          <w:color w:val="000000"/>
          <w:sz w:val="20"/>
          <w:u w:val="single"/>
        </w:rPr>
        <w:t>2.2(a)</w:t>
      </w:r>
      <w:r>
        <w:rPr>
          <w:rFonts w:ascii="Arial" w:hAnsi="Arial"/>
          <w:b w:val="false"/>
          <w:color w:val="000000"/>
          <w:sz w:val="20"/>
        </w:rPr>
        <w:t xml:space="preserve">, all Loans under this Agreement shall be made by the Lenders simultaneously and proportionately to their Pro Rata Shares of the Total Commitments, as the case may be, it being understood that no Lender shall be responsible for any default by any other Lender in that other Lender’s obligations to make a Loan requested hereunder, nor shall the Commitment of any Lender be increased or decreased as a result of the default by any other Lender in that other Lender’s obligation to make a Loan requested hereunder, and each Lender shall be </w:t>
      </w:r>
    </w:p>
    <w:p>
      <w:pPr>
        <w:pStyle w:val="TextBody"/>
        <w:bidi w:val="0"/>
        <w:jc w:val="center"/>
        <w:rPr>
          <w:rFonts w:ascii="Arial" w:hAnsi="Arial"/>
          <w:b w:val="false"/>
          <w:color w:val="000000"/>
          <w:sz w:val="20"/>
        </w:rPr>
      </w:pPr>
      <w:r>
        <w:rPr>
          <w:rFonts w:ascii="Arial" w:hAnsi="Arial"/>
          <w:b w:val="false"/>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obligated to make the Loans required to be made by it by the terms of this Agreement regardless of the failure by any other Lender.</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The following amounts shall be deducted from the Tranche A Loan advanced hereunder: the applicable Commitment Fee and the Tranche A Documentation and Funding Fee. </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pPr>
      <w:r>
        <w:rPr>
          <w:rFonts w:ascii="Arial" w:hAnsi="Arial"/>
          <w:b w:val="false"/>
          <w:color w:val="000000"/>
          <w:sz w:val="20"/>
        </w:rPr>
        <w:t>Beginning on the date of each Advance, the unpaid principal balance of all advanced Loans and all other Obligations hereunder shall bear interest, subject to the terms hereof, at the Applicable Rate. All payments shall be due to Administrative Agent on the applicable Payment Date, or if such day is not a Business Day, the next succeeding Business Day. If Borrower fails to make a monthly payment due within five (5) Business Days after the date such payment is due, Administrative Agent, on behalf of the Lenders, shall have the right to require Borrower to pay to Lender a late charge equal to five percent (5%) of the past due payment. After the occurrence and during the continuance of an Event of Default hereunder, Administrative Agent, on behalf of the Lenders, shall have the right to increase the per annum effective rate of interest on all Loans outstanding hereunder to a rate equal to 500 basis points in excess of the Applicable Rate (the “</w:t>
      </w:r>
      <w:r>
        <w:rPr>
          <w:rFonts w:ascii="Arial" w:hAnsi="Arial"/>
          <w:b w:val="false"/>
          <w:color w:val="000000"/>
          <w:sz w:val="20"/>
          <w:u w:val="single"/>
        </w:rPr>
        <w:t>Default Rate</w:t>
      </w:r>
      <w:r>
        <w:rPr>
          <w:color w:val="000000"/>
        </w:rPr>
        <w:t>”</w:t>
      </w:r>
      <w:r>
        <w:rPr>
          <w:rFonts w:ascii="Arial" w:hAnsi="Arial"/>
          <w:b w:val="false"/>
          <w:color w:val="000000"/>
          <w:sz w:val="20"/>
        </w:rPr>
        <w:t>). All contractual rates of interest chargeable on outstanding Loans, shall continue to accrue and be paid even after default, maturity, acceleration, judgment, bankruptcy, insolvency proceedings of any kind or the happening of any event or occurrence similar or dissimilar. In no contingency or event whatsoever shall the aggregate of all amounts deemed interest hereunder and charged or collected pursuant to the terms of this Agreement exceed the highest rate permissible under any law which a court of competent jurisdiction shall, in a final determination, deem applicable hereto. In the event that such court determines Lenders have charged or received interest hereunder in excess of the highest applicable rate, Administrative Agent, shall in its sole discretion and acting on behalf of the Lenders, apply and set off such excess interest received by Lenders against other Obligations hereunder due or to become due and such rate shall automatically be reduced to the maximum rate permitted by such law.</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Interest shall be computed on the basis of a 360-day year, and twelve 30-day months. For any partial month interest periods, interest will be charged for the actual number of days elapsed. In computing interest, (i) all payments received after 12:00 p.m. Arizona time on any day shall be deemed received at the opening of business on the next Business Day, and (ii) the date of the making of the Loans shall be included and the date of payment shall be excluded. Changes to the Applicable Rate based on changes to the Prime Rate, shall be effective as of the day immediately following the date of such change, and to the extent, of such change.</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Upon the occurrence and during the continuance of an Event of Default and/or the maturity of any portion of the Obligations, any moneys on deposit with Administrative Agent may, at the direction of the Required Lenders, be applied against the Obligations in such order and manner as Administrative Agent may elect or as may otherwise be required under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2.3</w:t>
      </w:r>
    </w:p>
    <w:p>
      <w:pPr>
        <w:pStyle w:val="TextBody"/>
        <w:bidi w:val="0"/>
        <w:spacing w:before="0" w:after="240"/>
        <w:jc w:val="both"/>
        <w:rPr/>
      </w:pPr>
      <w:r>
        <w:rPr>
          <w:rFonts w:ascii="Arial" w:hAnsi="Arial"/>
          <w:b w:val="false"/>
          <w:color w:val="000000"/>
          <w:sz w:val="20"/>
          <w:u w:val="single"/>
        </w:rPr>
        <w:t>Administrative Agent Accounts</w:t>
      </w:r>
      <w:r>
        <w:rPr>
          <w:rFonts w:ascii="Arial" w:hAnsi="Arial"/>
          <w:b w:val="false"/>
          <w:color w:val="000000"/>
          <w:sz w:val="20"/>
        </w:rPr>
        <w:t>. Administrative Agent shall maintain accounts in which it shall record (i) the amount of each Loan made hereunder, (ii) the amount of any principal or interest due and payable or to become due and payable from the Borrower to each Lender hereunder, and (iii) the amount of any sum received by Administrative Agent hereunder for the account of the Lenders and each Lender’s share thereof.</w:t>
      </w:r>
    </w:p>
    <w:p>
      <w:pPr>
        <w:pStyle w:val="TextBody"/>
        <w:bidi w:val="0"/>
        <w:spacing w:before="0" w:after="240"/>
        <w:jc w:val="both"/>
        <w:rPr>
          <w:rFonts w:ascii="Arial" w:hAnsi="Arial"/>
          <w:b w:val="false"/>
          <w:color w:val="000000"/>
          <w:sz w:val="20"/>
        </w:rPr>
      </w:pPr>
      <w:r>
        <w:rPr>
          <w:rFonts w:ascii="Arial" w:hAnsi="Arial"/>
          <w:b w:val="false"/>
          <w:color w:val="000000"/>
          <w:sz w:val="20"/>
        </w:rPr>
        <w:t>2.4</w:t>
      </w:r>
    </w:p>
    <w:p>
      <w:pPr>
        <w:pStyle w:val="TextBody"/>
        <w:bidi w:val="0"/>
        <w:spacing w:before="0" w:after="240"/>
        <w:jc w:val="both"/>
        <w:rPr/>
      </w:pPr>
      <w:r>
        <w:rPr>
          <w:rFonts w:ascii="Arial" w:hAnsi="Arial"/>
          <w:b w:val="false"/>
          <w:color w:val="000000"/>
          <w:sz w:val="20"/>
          <w:u w:val="single"/>
        </w:rPr>
        <w:t>Conditions Precedent to Each Advance</w:t>
      </w:r>
      <w:r>
        <w:rPr>
          <w:rFonts w:ascii="Arial" w:hAnsi="Arial"/>
          <w:b w:val="false"/>
          <w:color w:val="000000"/>
          <w:sz w:val="20"/>
        </w:rPr>
        <w:t xml:space="preserve">. It shall be an express condition precedent to each Lender’s obligation to make an Advance of each Loan that (i) the representations and warranties contained in Section 4.1 shall be true and correct in all material respects as of the date of such Advance (provided, however, that those representations and warranties expressly referring to another date shall be true and correct in all material respects as of such other date), (ii) no Event of Default or Potential Event of Default shall have occurred and be continuing, (iii) receipt by Administrative Agent of an executed Loan Advance Request Form in the form of Exhibit E attached hereto, (iv) no circumstance shall exist that could reasonably be expected to have a Material Adverse Change, (v) all governmental and third party approvals necessary in connection with the Loan and this Agreement shall have been obtained and be in full force and effect, and (vi) Administrative Agent’s satisfaction, in Administrative </w:t>
      </w:r>
    </w:p>
    <w:p>
      <w:pPr>
        <w:pStyle w:val="TextBody"/>
        <w:bidi w:val="0"/>
        <w:jc w:val="center"/>
        <w:rPr>
          <w:rFonts w:ascii="Arial" w:hAnsi="Arial"/>
          <w:b w:val="false"/>
          <w:color w:val="000000"/>
          <w:sz w:val="20"/>
        </w:rPr>
      </w:pPr>
      <w:r>
        <w:rPr>
          <w:rFonts w:ascii="Arial" w:hAnsi="Arial"/>
          <w:b w:val="false"/>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Agent’s sole discretion, with the results of Administrative Agent’s due diligence investigation, including, without limitation, review of the financial statements of Borrower dated no more than thirty (30) days prior to the funding of such Advance.</w:t>
      </w:r>
    </w:p>
    <w:p>
      <w:pPr>
        <w:pStyle w:val="TextBody"/>
        <w:bidi w:val="0"/>
        <w:spacing w:before="0" w:after="240"/>
        <w:jc w:val="both"/>
        <w:rPr>
          <w:rFonts w:ascii="Arial" w:hAnsi="Arial"/>
          <w:b w:val="false"/>
          <w:color w:val="000000"/>
          <w:sz w:val="20"/>
        </w:rPr>
      </w:pPr>
      <w:r>
        <w:rPr>
          <w:rFonts w:ascii="Arial" w:hAnsi="Arial"/>
          <w:b w:val="false"/>
          <w:color w:val="000000"/>
          <w:sz w:val="20"/>
        </w:rPr>
        <w:t>2.5</w:t>
      </w:r>
    </w:p>
    <w:p>
      <w:pPr>
        <w:pStyle w:val="TextBody"/>
        <w:bidi w:val="0"/>
        <w:spacing w:before="0" w:after="240"/>
        <w:jc w:val="both"/>
        <w:rPr/>
      </w:pPr>
      <w:r>
        <w:rPr>
          <w:rFonts w:ascii="Arial" w:hAnsi="Arial"/>
          <w:b w:val="false"/>
          <w:color w:val="000000"/>
          <w:sz w:val="20"/>
          <w:u w:val="single"/>
        </w:rPr>
        <w:t>Conditions Precedent to the Tranche A Loan</w:t>
      </w:r>
      <w:r>
        <w:rPr>
          <w:rFonts w:ascii="Arial" w:hAnsi="Arial"/>
          <w:b w:val="false"/>
          <w:color w:val="000000"/>
          <w:sz w:val="20"/>
        </w:rPr>
        <w:t>. It shall be an express condition precedent to a Lender’s obligation to make an Advance of the Tranche A Loan that Borrower shall provide or cause to be provided to Administrative Agent all of the following items:</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UCC-1 financing statements designating Borrower, as debtor, and Administrative Agent, as secured party for the benefit of Lenders, for filing in the state of Borrower’s incorporation or formation, as applicable, the state of Borrower’s chief executive office, the place where Borrower transacts business or in any other state required by Administrative Agent with respect to all Collateral which may be perfected under the UCC by the filing of a UCC-1 financing statement, together with any other documents Administrative Agent deems necessary to evidence or perfect Lenders’ security interest with respect to the Collateral;</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pPr>
      <w:r>
        <w:rPr>
          <w:rFonts w:ascii="Arial" w:hAnsi="Arial"/>
          <w:b w:val="false"/>
          <w:color w:val="000000"/>
          <w:sz w:val="20"/>
        </w:rPr>
        <w:t xml:space="preserve">a certificate as to authorizing resolutions and Operating Documents of Borrower with specimen signatures, substantially in the form of </w:t>
      </w:r>
      <w:r>
        <w:rPr>
          <w:rFonts w:ascii="Arial" w:hAnsi="Arial"/>
          <w:b w:val="false"/>
          <w:color w:val="000000"/>
          <w:sz w:val="20"/>
          <w:u w:val="single"/>
        </w:rPr>
        <w:t>Exhibit C</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the Operating Documents of Borrower and good standing certificates from each of Borrower’s jurisdiction of organization and chief executive office location, and each jurisdiction in which Borrower is qualified to conduct business where the failure to be so qualified could reasonably be expected to result in a Material Adverse Change;</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landlord waivers and bailee waivers in the form reasonably acceptable to Administrative Agent for each location where the Collateral in excess of $200,000 is located, if any;</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pPr>
      <w:r>
        <w:rPr>
          <w:rFonts w:ascii="Arial" w:hAnsi="Arial"/>
          <w:b w:val="false"/>
          <w:color w:val="000000"/>
          <w:sz w:val="20"/>
        </w:rPr>
        <w:t xml:space="preserve">insurance certificates and endorsements evidencing that the Borrower, its Subsidiaries, and the Collateral are insured in accordance with the requirements of </w:t>
      </w:r>
      <w:r>
        <w:rPr>
          <w:rFonts w:ascii="Arial" w:hAnsi="Arial"/>
          <w:b w:val="false"/>
          <w:color w:val="000000"/>
          <w:sz w:val="20"/>
          <w:u w:val="single"/>
        </w:rPr>
        <w:t>Section 4.2(q)</w:t>
      </w:r>
      <w:r>
        <w:rPr>
          <w:color w:val="000000"/>
        </w:rPr>
        <w:t xml:space="preserve"> </w:t>
      </w:r>
      <w:r>
        <w:rPr>
          <w:rFonts w:ascii="Arial" w:hAnsi="Arial"/>
          <w:b w:val="false"/>
          <w:color w:val="000000"/>
          <w:sz w:val="20"/>
        </w:rPr>
        <w:t>hereof;</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a recent Lien search in each of the jurisdictions where the Borrower and each Subsidiary is organized and the assets of Borrower and each Subsidiary are located, and such searches reveal no Liens on any of the assets of Borrower or any Subsidiary, except for Permitted Liens;</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payment in full of the applicable Commitment Fee, the Good Faith Deposit, and the Tranche A Documentation and Funding Fees;</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a fully executed copy of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[reserved];</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fully executed copies of each other Loan Document; </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rFonts w:ascii="Arial" w:hAnsi="Arial"/>
          <w:b w:val="false"/>
          <w:color w:val="000000"/>
          <w:sz w:val="20"/>
        </w:rPr>
      </w:pPr>
      <w:r>
        <w:rPr>
          <w:rFonts w:ascii="Arial" w:hAnsi="Arial"/>
          <w:b w:val="false"/>
          <w:color w:val="000000"/>
          <w:sz w:val="20"/>
        </w:rPr>
        <w:t>a duly executed legal opinion of counsel to Borrower dated as of the Closing Date;</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rFonts w:ascii="Arial" w:hAnsi="Arial"/>
          <w:b w:val="false"/>
          <w:color w:val="000000"/>
          <w:sz w:val="20"/>
        </w:rPr>
      </w:pPr>
      <w:r>
        <w:rPr>
          <w:rFonts w:ascii="Arial" w:hAnsi="Arial"/>
          <w:b w:val="false"/>
          <w:color w:val="000000"/>
          <w:sz w:val="20"/>
        </w:rPr>
        <w:t>a copy of each applicable stockholders’ agreement, investors rights agreement, voting agreement, or other similar equity financing documents of Borrower, and any amendments thereto;</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a completed Perfection Certificate for Borrower and each of its Subsidiaries; </w:t>
      </w:r>
    </w:p>
    <w:p>
      <w:pPr>
        <w:pStyle w:val="TextBody"/>
        <w:bidi w:val="0"/>
        <w:spacing w:before="0" w:after="240"/>
        <w:jc w:val="both"/>
        <w:rPr>
          <w:rFonts w:ascii="Arial" w:hAnsi="Arial"/>
          <w:b w:val="false"/>
          <w:color w:val="000000"/>
          <w:sz w:val="20"/>
        </w:rPr>
      </w:pPr>
      <w:r>
        <w:rPr>
          <w:rFonts w:ascii="Arial" w:hAnsi="Arial"/>
          <w:b w:val="false"/>
          <w:color w:val="000000"/>
          <w:sz w:val="20"/>
        </w:rPr>
        <w:t>(n)</w:t>
      </w:r>
    </w:p>
    <w:p>
      <w:pPr>
        <w:pStyle w:val="TextBody"/>
        <w:bidi w:val="0"/>
        <w:spacing w:before="0" w:after="240"/>
        <w:jc w:val="both"/>
        <w:rPr/>
      </w:pPr>
      <w:r>
        <w:rPr>
          <w:rFonts w:ascii="Arial" w:hAnsi="Arial"/>
          <w:b w:val="false"/>
          <w:color w:val="000000"/>
          <w:sz w:val="20"/>
        </w:rPr>
        <w:t>a payoff letter executed by Silicon Valley Bank together with a release of any Liens created in connection therewith on Borrower and its assets and properties (such Indebtedness to be satisfied, the “</w:t>
      </w:r>
      <w:r>
        <w:rPr>
          <w:rFonts w:ascii="Arial" w:hAnsi="Arial"/>
          <w:b w:val="false"/>
          <w:color w:val="000000"/>
          <w:sz w:val="20"/>
          <w:u w:val="single"/>
        </w:rPr>
        <w:t>Existing Indebtedness</w:t>
      </w:r>
      <w:r>
        <w:rPr>
          <w:color w:val="000000"/>
        </w:rPr>
        <w:t>”</w:t>
      </w:r>
      <w:r>
        <w:rPr>
          <w:rFonts w:ascii="Arial" w:hAnsi="Arial"/>
          <w:b w:val="false"/>
          <w:color w:val="000000"/>
          <w:sz w:val="20"/>
        </w:rPr>
        <w:t>), in each case in form and substance satisfactory to Administrative Agent; and</w:t>
      </w:r>
    </w:p>
    <w:p>
      <w:pPr>
        <w:pStyle w:val="TextBody"/>
        <w:bidi w:val="0"/>
        <w:jc w:val="center"/>
        <w:rPr>
          <w:rFonts w:ascii="Arial" w:hAnsi="Arial"/>
          <w:b w:val="false"/>
          <w:color w:val="000000"/>
          <w:sz w:val="20"/>
        </w:rPr>
      </w:pPr>
      <w:r>
        <w:rPr>
          <w:rFonts w:ascii="Arial" w:hAnsi="Arial"/>
          <w:b w:val="false"/>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(o)</w:t>
      </w:r>
    </w:p>
    <w:p>
      <w:pPr>
        <w:pStyle w:val="TextBody"/>
        <w:bidi w:val="0"/>
        <w:spacing w:before="0" w:after="240"/>
        <w:jc w:val="both"/>
        <w:rPr>
          <w:rFonts w:ascii="Arial" w:hAnsi="Arial"/>
          <w:b w:val="false"/>
          <w:color w:val="000000"/>
          <w:sz w:val="20"/>
        </w:rPr>
      </w:pPr>
      <w:r>
        <w:rPr>
          <w:rFonts w:ascii="Arial" w:hAnsi="Arial"/>
          <w:b w:val="false"/>
          <w:color w:val="000000"/>
          <w:sz w:val="20"/>
        </w:rPr>
        <w:t>such other documents and completion of such other matters as Administrative Agent may reasonably deem necessary and appropriate.</w:t>
      </w:r>
    </w:p>
    <w:p>
      <w:pPr>
        <w:pStyle w:val="TextBody"/>
        <w:bidi w:val="0"/>
        <w:spacing w:before="0" w:after="240"/>
        <w:jc w:val="both"/>
        <w:rPr>
          <w:rFonts w:ascii="Arial" w:hAnsi="Arial"/>
          <w:b w:val="false"/>
          <w:color w:val="000000"/>
          <w:sz w:val="20"/>
        </w:rPr>
      </w:pPr>
      <w:r>
        <w:rPr>
          <w:rFonts w:ascii="Arial" w:hAnsi="Arial"/>
          <w:b w:val="false"/>
          <w:color w:val="000000"/>
          <w:sz w:val="20"/>
        </w:rPr>
        <w:t>2.6</w:t>
      </w:r>
    </w:p>
    <w:p>
      <w:pPr>
        <w:pStyle w:val="TextBody"/>
        <w:bidi w:val="0"/>
        <w:spacing w:before="0" w:after="240"/>
        <w:jc w:val="both"/>
        <w:rPr/>
      </w:pPr>
      <w:r>
        <w:rPr>
          <w:rFonts w:ascii="Arial" w:hAnsi="Arial"/>
          <w:b w:val="false"/>
          <w:color w:val="000000"/>
          <w:sz w:val="20"/>
          <w:u w:val="single"/>
        </w:rPr>
        <w:t>Reserved</w:t>
      </w:r>
      <w:r>
        <w:rPr>
          <w:rFonts w:ascii="Arial" w:hAnsi="Arial"/>
          <w:b w:val="false"/>
          <w:color w:val="000000"/>
          <w:sz w:val="2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2.7</w:t>
      </w:r>
    </w:p>
    <w:p>
      <w:pPr>
        <w:pStyle w:val="TextBody"/>
        <w:bidi w:val="0"/>
        <w:spacing w:before="0" w:after="240"/>
        <w:jc w:val="both"/>
        <w:rPr/>
      </w:pPr>
      <w:r>
        <w:rPr>
          <w:rFonts w:ascii="Arial" w:hAnsi="Arial"/>
          <w:b w:val="false"/>
          <w:color w:val="000000"/>
          <w:sz w:val="20"/>
          <w:u w:val="single"/>
        </w:rPr>
        <w:t>Voluntary Prepayment</w:t>
      </w:r>
      <w:r>
        <w:rPr>
          <w:rFonts w:ascii="Arial" w:hAnsi="Arial"/>
          <w:b w:val="false"/>
          <w:color w:val="000000"/>
          <w:sz w:val="20"/>
        </w:rPr>
        <w:t xml:space="preserve">. Borrower may prepay in whole or in part, the Loans at any time, subject to payment of the premium set forth below (“Prepayment Premium”). The calculated pre-payment amount shall include the outstanding principal due under each Loan at the time of retirement, any partially accrued interest thereon, and a Prepayment Premium based on the following schedule: </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On or before the first anniversary of the Closing Date the Prepayment Premium shall be equal to three percent (3.00%) of the principal being repaid.</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After the first anniversary of the Closing Date and on or before the second anniversary of the Closing Date the Prepayment Premium shall be equal to two percent (2.00%) of the principal being repaid.</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After the second anniversary of the Closing Date and before the Maturity Date the Prepayment Premium shall be equal to one percent (1.00%) of the principal repaid. </w:t>
      </w:r>
    </w:p>
    <w:p>
      <w:pPr>
        <w:pStyle w:val="TextBody"/>
        <w:bidi w:val="0"/>
        <w:spacing w:before="0" w:after="240"/>
        <w:jc w:val="both"/>
        <w:rPr>
          <w:rFonts w:ascii="Arial" w:hAnsi="Arial"/>
          <w:b w:val="false"/>
          <w:color w:val="000000"/>
          <w:sz w:val="20"/>
        </w:rPr>
      </w:pPr>
      <w:r>
        <w:rPr>
          <w:rFonts w:ascii="Arial" w:hAnsi="Arial"/>
          <w:b w:val="false"/>
          <w:color w:val="000000"/>
          <w:sz w:val="20"/>
        </w:rPr>
        <w:t>2.8</w:t>
      </w:r>
    </w:p>
    <w:p>
      <w:pPr>
        <w:pStyle w:val="TextBody"/>
        <w:bidi w:val="0"/>
        <w:spacing w:before="0" w:after="240"/>
        <w:jc w:val="both"/>
        <w:rPr/>
      </w:pPr>
      <w:r>
        <w:rPr>
          <w:rFonts w:ascii="Arial" w:hAnsi="Arial"/>
          <w:b w:val="false"/>
          <w:color w:val="000000"/>
          <w:sz w:val="20"/>
          <w:u w:val="single"/>
        </w:rPr>
        <w:t>Mandatory Prepayment</w:t>
      </w:r>
      <w:r>
        <w:rPr>
          <w:rFonts w:ascii="Arial" w:hAnsi="Arial"/>
          <w:b w:val="false"/>
          <w:color w:val="000000"/>
          <w:sz w:val="20"/>
        </w:rPr>
        <w:t xml:space="preserve">. If a Change of Control occurs or the Loans are accelerated following the occurrence of an Event of Default, Borrower shall immediately pay to Administrative Agent, for the benefit of Lenders, an amount equal to the sum of: (i) all outstanding principal of the Loans plus accrued and unpaid interest thereon through the prepayment date, (ii) the Prepayment Premium, plus (iii) all other Obligations that are due and payable, including, without limitation, Administrative Agent Expenses and Lender’s Expenses and interest at the rate set forth in Section 2.2(c) with respect to any past due amounts. </w:t>
      </w:r>
    </w:p>
    <w:p>
      <w:pPr>
        <w:pStyle w:val="TextBody"/>
        <w:bidi w:val="0"/>
        <w:spacing w:before="0" w:after="240"/>
        <w:jc w:val="both"/>
        <w:rPr>
          <w:rFonts w:ascii="Arial" w:hAnsi="Arial"/>
          <w:b w:val="false"/>
          <w:color w:val="000000"/>
          <w:sz w:val="20"/>
        </w:rPr>
      </w:pPr>
      <w:r>
        <w:rPr>
          <w:rFonts w:ascii="Arial" w:hAnsi="Arial"/>
          <w:b w:val="false"/>
          <w:color w:val="000000"/>
          <w:sz w:val="20"/>
        </w:rPr>
        <w:t>2.9</w:t>
      </w:r>
    </w:p>
    <w:p>
      <w:pPr>
        <w:pStyle w:val="TextBody"/>
        <w:bidi w:val="0"/>
        <w:spacing w:before="0" w:after="240"/>
        <w:jc w:val="both"/>
        <w:rPr/>
      </w:pPr>
      <w:r>
        <w:rPr>
          <w:rFonts w:ascii="Arial" w:hAnsi="Arial"/>
          <w:b w:val="false"/>
          <w:color w:val="000000"/>
          <w:sz w:val="20"/>
          <w:u w:val="single"/>
        </w:rPr>
        <w:t>End of Term Payment</w:t>
      </w:r>
      <w:r>
        <w:rPr>
          <w:rFonts w:ascii="Arial" w:hAnsi="Arial"/>
          <w:b w:val="false"/>
          <w:color w:val="000000"/>
          <w:sz w:val="20"/>
        </w:rPr>
        <w:t xml:space="preserve">. On the Maturity Date or on the date of the earlier prepayment of the Loans by Borrower pursuant to </w:t>
      </w:r>
      <w:r>
        <w:rPr>
          <w:rFonts w:ascii="Arial" w:hAnsi="Arial"/>
          <w:b w:val="false"/>
          <w:color w:val="000000"/>
          <w:sz w:val="20"/>
          <w:u w:val="single"/>
        </w:rPr>
        <w:t>Section 2.6</w:t>
      </w:r>
      <w:r>
        <w:rPr>
          <w:color w:val="000000"/>
        </w:rPr>
        <w:t xml:space="preserve"> </w:t>
      </w:r>
      <w:r>
        <w:rPr>
          <w:rFonts w:ascii="Arial" w:hAnsi="Arial"/>
          <w:b w:val="false"/>
          <w:color w:val="000000"/>
          <w:sz w:val="20"/>
        </w:rPr>
        <w:t xml:space="preserve">or </w:t>
      </w:r>
      <w:r>
        <w:rPr>
          <w:rFonts w:ascii="Arial" w:hAnsi="Arial"/>
          <w:b w:val="false"/>
          <w:color w:val="000000"/>
          <w:sz w:val="20"/>
          <w:u w:val="single"/>
        </w:rPr>
        <w:t>Section 2.7</w:t>
      </w:r>
      <w:r>
        <w:rPr>
          <w:color w:val="000000"/>
        </w:rPr>
        <w:t xml:space="preserve"> </w:t>
      </w:r>
      <w:r>
        <w:rPr>
          <w:rFonts w:ascii="Arial" w:hAnsi="Arial"/>
          <w:b w:val="false"/>
          <w:color w:val="000000"/>
          <w:sz w:val="20"/>
        </w:rPr>
        <w:t xml:space="preserve">or acceleration of the balance of the Loans by Administrative Agent pursuant to </w:t>
      </w:r>
      <w:r>
        <w:rPr>
          <w:rFonts w:ascii="Arial" w:hAnsi="Arial"/>
          <w:b w:val="false"/>
          <w:color w:val="000000"/>
          <w:sz w:val="20"/>
          <w:u w:val="single"/>
        </w:rPr>
        <w:t>Section 7.1</w:t>
      </w:r>
      <w:r>
        <w:rPr>
          <w:rFonts w:ascii="Arial" w:hAnsi="Arial"/>
          <w:b w:val="false"/>
          <w:color w:val="000000"/>
          <w:sz w:val="20"/>
        </w:rPr>
        <w:t>, Borrower shall pay to Administrative Agent, for the benefit of Lenders, the amount equal to five percent (5.00%) of the original principal amount of the Loans in addition to all sums payable hereunder (the “</w:t>
      </w:r>
      <w:r>
        <w:rPr>
          <w:rFonts w:ascii="Arial" w:hAnsi="Arial"/>
          <w:b w:val="false"/>
          <w:color w:val="000000"/>
          <w:sz w:val="20"/>
          <w:u w:val="single"/>
        </w:rPr>
        <w:t>End of Term Payment</w:t>
      </w:r>
      <w:r>
        <w:rPr>
          <w:color w:val="000000"/>
        </w:rPr>
        <w:t>”</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2.10</w:t>
      </w:r>
    </w:p>
    <w:p>
      <w:pPr>
        <w:pStyle w:val="TextBody"/>
        <w:bidi w:val="0"/>
        <w:spacing w:before="0" w:after="240"/>
        <w:jc w:val="both"/>
        <w:rPr/>
      </w:pPr>
      <w:r>
        <w:rPr>
          <w:rFonts w:ascii="Arial" w:hAnsi="Arial"/>
          <w:b w:val="false"/>
          <w:color w:val="000000"/>
          <w:sz w:val="20"/>
          <w:u w:val="single"/>
        </w:rPr>
        <w:t>Proceeds of Collateral</w:t>
      </w:r>
      <w:r>
        <w:rPr>
          <w:rFonts w:ascii="Arial" w:hAnsi="Arial"/>
          <w:b w:val="false"/>
          <w:color w:val="000000"/>
          <w:sz w:val="20"/>
        </w:rPr>
        <w:t>. Following the occurrence and during the continuance of an Event of Default, upon the written notice of Administrative Agent, all proceeds from the Collateral shall be immediately delivered to Administrative Agent, at the direction of the Required Lenders, may apply such proceeds and payments to any of the Obligations in such order as Administrative Agent may decide in its sole discretion.</w:t>
      </w:r>
    </w:p>
    <w:p>
      <w:pPr>
        <w:pStyle w:val="TextBody"/>
        <w:bidi w:val="0"/>
        <w:spacing w:before="0" w:after="240"/>
        <w:jc w:val="both"/>
        <w:rPr>
          <w:rFonts w:ascii="Arial" w:hAnsi="Arial"/>
          <w:b w:val="false"/>
          <w:color w:val="000000"/>
          <w:sz w:val="20"/>
        </w:rPr>
      </w:pPr>
      <w:r>
        <w:rPr>
          <w:rFonts w:ascii="Arial" w:hAnsi="Arial"/>
          <w:b w:val="false"/>
          <w:color w:val="000000"/>
          <w:sz w:val="20"/>
        </w:rPr>
        <w:t>2.11</w:t>
      </w:r>
    </w:p>
    <w:p>
      <w:pPr>
        <w:pStyle w:val="TextBody"/>
        <w:bidi w:val="0"/>
        <w:spacing w:before="0" w:after="240"/>
        <w:jc w:val="both"/>
        <w:rPr/>
      </w:pPr>
      <w:r>
        <w:rPr>
          <w:rFonts w:ascii="Arial" w:hAnsi="Arial"/>
          <w:b w:val="false"/>
          <w:color w:val="000000"/>
          <w:sz w:val="20"/>
          <w:u w:val="single"/>
        </w:rPr>
        <w:t>Tax Matters</w:t>
      </w:r>
      <w:r>
        <w:rPr>
          <w:rFonts w:ascii="Arial" w:hAnsi="Arial"/>
          <w:b w:val="false"/>
          <w:color w:val="000000"/>
          <w:sz w:val="2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pPr>
      <w:r>
        <w:rPr>
          <w:rFonts w:ascii="Arial" w:hAnsi="Arial"/>
          <w:b w:val="false"/>
          <w:color w:val="000000"/>
          <w:sz w:val="20"/>
          <w:u w:val="single"/>
        </w:rPr>
        <w:t>Withholding</w:t>
      </w:r>
      <w:r>
        <w:rPr>
          <w:rFonts w:ascii="Arial" w:hAnsi="Arial"/>
          <w:b w:val="false"/>
          <w:color w:val="000000"/>
          <w:sz w:val="20"/>
        </w:rPr>
        <w:t xml:space="preserve">. Payments received by the Administrative Agent or a Lender from Borrower hereunder will be made free and clear of and without deduction for any Taxes, except as required by any Governmental Authority, law, regulation or international agreement. If (i) at any time any Governmental Authority, law, regulation or international agreement requires Borrower to make any withholding or deduction of any Tax from any such payment or other sum payable hereunder to the Administrative Agent or a Lender, and (ii) such Tax is an Indemnified Tax, Borrower hereby covenants and agrees that the amount due from Borrower with respect to such payment or additional amounts payable pursuant to this </w:t>
      </w:r>
      <w:r>
        <w:rPr>
          <w:rFonts w:ascii="Arial" w:hAnsi="Arial"/>
          <w:b w:val="false"/>
          <w:color w:val="000000"/>
          <w:sz w:val="20"/>
          <w:u w:val="single"/>
        </w:rPr>
        <w:t>Section 2.11(a)</w:t>
      </w:r>
      <w:r>
        <w:rPr>
          <w:color w:val="000000"/>
        </w:rPr>
        <w:t xml:space="preserve"> </w:t>
      </w:r>
      <w:r>
        <w:rPr>
          <w:rFonts w:ascii="Arial" w:hAnsi="Arial"/>
          <w:b w:val="false"/>
          <w:color w:val="000000"/>
          <w:sz w:val="20"/>
        </w:rPr>
        <w:t xml:space="preserve">will be increased to the extent necessary to ensure that, after the making of such required withholding or deduction for Indemnified Taxes, Administrative Agent or such Lender receives a net sum equal to the sum which it would have received had no withholding or deduction for Indemnified Taxes been required and Borrower shall pay the full amount withheld or deducted to the relevant Governmental Authority. Borrower will, upon request, furnish the Administrative Agent with proof reasonably satisfactory to the Administrative Agent indicating that Borrower has made such withholding </w:t>
      </w:r>
    </w:p>
    <w:p>
      <w:pPr>
        <w:pStyle w:val="TextBody"/>
        <w:bidi w:val="0"/>
        <w:jc w:val="center"/>
        <w:rPr>
          <w:rFonts w:ascii="Arial" w:hAnsi="Arial"/>
          <w:b w:val="false"/>
          <w:color w:val="000000"/>
          <w:sz w:val="20"/>
        </w:rPr>
      </w:pPr>
      <w:r>
        <w:rPr>
          <w:rFonts w:ascii="Arial" w:hAnsi="Arial"/>
          <w:b w:val="false"/>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 xml:space="preserve">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w:t>
      </w:r>
      <w:r>
        <w:rPr>
          <w:rFonts w:ascii="Arial" w:hAnsi="Arial"/>
          <w:b w:val="false"/>
          <w:color w:val="000000"/>
          <w:sz w:val="20"/>
          <w:u w:val="single"/>
        </w:rPr>
        <w:t>Section 2.11</w:t>
      </w:r>
      <w:r>
        <w:rPr>
          <w:color w:val="000000"/>
        </w:rPr>
        <w:t xml:space="preserve"> </w:t>
      </w:r>
      <w:r>
        <w:rPr>
          <w:rFonts w:ascii="Arial" w:hAnsi="Arial"/>
          <w:b w:val="false"/>
          <w:color w:val="000000"/>
          <w:sz w:val="20"/>
        </w:rPr>
        <w:t>shall survive the termination of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Borrower shall timely pay to the relevant Governmental Authority in accordance with applicable law, or at the option of the Administrative Agent timely reimburse it for the payment of, any Other Taxes.</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pPr>
      <w:r>
        <w:rPr>
          <w:rFonts w:ascii="Arial" w:hAnsi="Arial"/>
          <w:b w:val="false"/>
          <w:color w:val="000000"/>
          <w:sz w:val="20"/>
        </w:rPr>
        <w:t xml:space="preserve">The Borrower shall indemnify each Lender and Administrative Agent, within 10 days after demand therefor, for the full amount of any Indemnified Taxes (including Indemnified Taxes imposed or asserted on or attributable to amounts payable under this </w:t>
      </w:r>
      <w:r>
        <w:rPr>
          <w:rFonts w:ascii="Arial" w:hAnsi="Arial"/>
          <w:b w:val="false"/>
          <w:color w:val="000000"/>
          <w:sz w:val="20"/>
          <w:u w:val="single"/>
        </w:rPr>
        <w:t>Section 2.11</w:t>
      </w:r>
      <w:r>
        <w:rPr>
          <w:rFonts w:ascii="Arial" w:hAnsi="Arial"/>
          <w:b w:val="false"/>
          <w:color w:val="000000"/>
          <w:sz w:val="20"/>
        </w:rPr>
        <w:t>) payable or paid by such Lender or Administrative Agent, or required to be withheld or deducted from a payment to such Lender or Administrative Agent, and any reasonable expenses arising therefrom or with respect thereto, whether or not such Indemnified Taxes were correctly or legally imposed or asserted by the relevant Governmental Authority. The relevant Lender or Administrative Agent shall notify the Borrower of the imposition of any Indemnified Tax reasonably promptly after becoming aware of the imposition of such Tax.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pPr>
      <w:r>
        <w:rPr>
          <w:rFonts w:ascii="Arial" w:hAnsi="Arial"/>
          <w:b w:val="false"/>
          <w:color w:val="000000"/>
          <w:sz w:val="20"/>
        </w:rPr>
        <w:t xml:space="preserve">Each Lender shall severally indemnify the Administrative Agent, within 10 days after demand therefor, for (i) any Indemnified Taxes attributable to such Lender (but only to the extent that Borrower has not already indemnified the Administrative Agent for such Indemnified Taxes and without limiting the obligation of Borrower to do so), (ii) any Taxes attributable to such Lender’s failure to comply with the provisions of Section 8.18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hAnsi="Arial"/>
          <w:b w:val="false"/>
          <w:color w:val="000000"/>
          <w:sz w:val="20"/>
          <w:u w:val="single"/>
        </w:rPr>
        <w:t>Section 2.11(d)</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pPr>
      <w:r>
        <w:rPr>
          <w:rFonts w:ascii="Arial" w:hAnsi="Arial"/>
          <w:b w:val="false"/>
          <w:color w:val="000000"/>
          <w:sz w:val="20"/>
        </w:rPr>
        <w:t xml:space="preserve">As soon as practicable after any payment of Taxes by Borrower to a Governmental Authority pursuant to this </w:t>
      </w:r>
      <w:r>
        <w:rPr>
          <w:rFonts w:ascii="Arial" w:hAnsi="Arial"/>
          <w:b w:val="false"/>
          <w:color w:val="000000"/>
          <w:sz w:val="20"/>
          <w:u w:val="single"/>
        </w:rPr>
        <w:t>Section 2.11</w:t>
      </w:r>
      <w:r>
        <w:rPr>
          <w:rFonts w:ascii="Arial" w:hAnsi="Arial"/>
          <w:b w:val="false"/>
          <w:color w:val="000000"/>
          <w:sz w:val="20"/>
        </w:rPr>
        <w:t>,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pPr>
      <w:r>
        <w:rPr>
          <w:rFonts w:ascii="Arial" w:hAnsi="Arial"/>
          <w:b w:val="false"/>
          <w:color w:val="000000"/>
          <w:sz w:val="20"/>
        </w:rPr>
        <w:t xml:space="preserve">If any Lender or the Administrative Agent determines, in its sole discretion exercised in good faith, that it has received a refund of any Indemnified Taxes as to which it has been indemnified pursuant to Section 2.11 (including by the payment of additional amounts pursuant to </w:t>
      </w:r>
      <w:r>
        <w:rPr>
          <w:rFonts w:ascii="Arial" w:hAnsi="Arial"/>
          <w:b w:val="false"/>
          <w:color w:val="000000"/>
          <w:sz w:val="20"/>
          <w:u w:val="single"/>
        </w:rPr>
        <w:t>Section 2.11(a))</w:t>
      </w:r>
      <w:r>
        <w:rPr>
          <w:rFonts w:ascii="Arial" w:hAnsi="Arial"/>
          <w:b w:val="false"/>
          <w:color w:val="000000"/>
          <w:sz w:val="20"/>
        </w:rPr>
        <w:t xml:space="preserve">, it shall pay to the indemnifying party an amount equal to such refund (but only to the extent of indemnity payments made under </w:t>
      </w:r>
      <w:r>
        <w:rPr>
          <w:rFonts w:ascii="Arial" w:hAnsi="Arial"/>
          <w:b w:val="false"/>
          <w:color w:val="000000"/>
          <w:sz w:val="20"/>
          <w:u w:val="single"/>
        </w:rPr>
        <w:t>Section 2.11</w:t>
      </w:r>
      <w:r>
        <w:rPr>
          <w:color w:val="000000"/>
        </w:rPr>
        <w:t xml:space="preserve"> </w:t>
      </w:r>
      <w:r>
        <w:rPr>
          <w:rFonts w:ascii="Arial" w:hAnsi="Arial"/>
          <w:b w:val="false"/>
          <w:color w:val="000000"/>
          <w:sz w:val="20"/>
        </w:rPr>
        <w:t xml:space="preserve">with respect to the Indemnified Taxes giving rise to such refund), net of all out-of-pocket expenses (including Taxes) of such indemnifying party and without interest (other than any interest paid by the relevant Governmental Authority with respect to such refund). Such indemnifying party, upon the request of such indemnified party, shall promptly repay to such indemnified party the amount paid over pursuant to this </w:t>
      </w:r>
      <w:r>
        <w:rPr>
          <w:rFonts w:ascii="Arial" w:hAnsi="Arial"/>
          <w:b w:val="false"/>
          <w:color w:val="000000"/>
          <w:sz w:val="20"/>
          <w:u w:val="single"/>
        </w:rPr>
        <w:t>Section 2.11(f)</w:t>
      </w:r>
      <w:r>
        <w:rPr>
          <w:color w:val="000000"/>
        </w:rPr>
        <w:t xml:space="preserve"> </w:t>
      </w:r>
      <w:r>
        <w:rPr>
          <w:rFonts w:ascii="Arial" w:hAnsi="Arial"/>
          <w:b w:val="false"/>
          <w:color w:val="000000"/>
          <w:sz w:val="20"/>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hAnsi="Arial"/>
          <w:b w:val="false"/>
          <w:color w:val="000000"/>
          <w:sz w:val="20"/>
          <w:u w:val="single"/>
        </w:rPr>
        <w:t>Section 2.11(f)</w:t>
      </w:r>
      <w:r>
        <w:rPr>
          <w:rFonts w:ascii="Arial" w:hAnsi="Arial"/>
          <w:b w:val="false"/>
          <w:color w:val="000000"/>
          <w:sz w:val="20"/>
        </w:rPr>
        <w:t xml:space="preserve">, in no event will the indemnified party be required to pay any amount to an indemnifying party pursuant to this </w:t>
      </w:r>
      <w:r>
        <w:rPr>
          <w:rFonts w:ascii="Arial" w:hAnsi="Arial"/>
          <w:b w:val="false"/>
          <w:color w:val="000000"/>
          <w:sz w:val="20"/>
          <w:u w:val="single"/>
        </w:rPr>
        <w:t>Section 2.11(f)</w:t>
      </w:r>
      <w:r>
        <w:rPr>
          <w:color w:val="000000"/>
        </w:rPr>
        <w:t xml:space="preserve"> </w:t>
      </w:r>
      <w:r>
        <w:rPr>
          <w:rFonts w:ascii="Arial" w:hAnsi="Arial"/>
          <w:b w:val="false"/>
          <w:color w:val="000000"/>
          <w:sz w:val="20"/>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w:t>
      </w:r>
    </w:p>
    <w:p>
      <w:pPr>
        <w:pStyle w:val="TextBody"/>
        <w:bidi w:val="0"/>
        <w:jc w:val="center"/>
        <w:rPr>
          <w:rFonts w:ascii="Arial" w:hAnsi="Arial"/>
          <w:b w:val="false"/>
          <w:color w:val="000000"/>
          <w:sz w:val="20"/>
        </w:rPr>
      </w:pPr>
      <w:r>
        <w:rPr>
          <w:rFonts w:ascii="Arial" w:hAnsi="Arial"/>
          <w:b w:val="false"/>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 xml:space="preserve">additional amounts with respect to such Tax had never been paid. This </w:t>
      </w:r>
      <w:r>
        <w:rPr>
          <w:rFonts w:ascii="Arial" w:hAnsi="Arial"/>
          <w:b w:val="false"/>
          <w:color w:val="000000"/>
          <w:sz w:val="20"/>
          <w:u w:val="single"/>
        </w:rPr>
        <w:t>Section 2.11(f)</w:t>
      </w:r>
      <w:r>
        <w:rPr>
          <w:color w:val="000000"/>
        </w:rPr>
        <w:t xml:space="preserve"> </w:t>
      </w:r>
      <w:r>
        <w:rPr>
          <w:rFonts w:ascii="Arial" w:hAnsi="Arial"/>
          <w:b w:val="false"/>
          <w:color w:val="000000"/>
          <w:sz w:val="20"/>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(i) Any Lender that is entitled to an exemption from or reduction of withholding Tax with respect to any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2.11(g)(ii)(A), (ii)(B), (ii)(D) and (ii)(E)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Without limiting the generality of the foregoing,</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pPr>
      <w:r>
        <w:rPr>
          <w:rFonts w:ascii="Arial" w:hAnsi="Arial"/>
          <w:b w:val="false"/>
          <w:color w:val="000000"/>
          <w:sz w:val="20"/>
        </w:rPr>
        <w:t>any Lender that is a U.S. Person shall deliver to the Borrower and the Administrative Agent (in such number of copies as shall be reasonably requested by the recipient) on or prior to the date on which such Lender becomes a Lender under this Agreement (and from time to time thereafter upon the reasonable request of the Borrower or the Administrative Agent) executed copies of Internal Revenue Service (“</w:t>
      </w:r>
      <w:r>
        <w:rPr>
          <w:rFonts w:ascii="Arial" w:hAnsi="Arial"/>
          <w:b w:val="false"/>
          <w:color w:val="000000"/>
          <w:sz w:val="20"/>
          <w:u w:val="single"/>
        </w:rPr>
        <w:t>IRS</w:t>
      </w:r>
      <w:r>
        <w:rPr>
          <w:color w:val="000000"/>
        </w:rPr>
        <w:t>”</w:t>
      </w:r>
      <w:r>
        <w:rPr>
          <w:rFonts w:ascii="Arial" w:hAnsi="Arial"/>
          <w:b w:val="false"/>
          <w:color w:val="000000"/>
          <w:sz w:val="20"/>
        </w:rPr>
        <w:t xml:space="preserve">) Form W-9 (or any successor form) certifying that such Lender is exempt from U.S. federal backup withholding tax; </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pPr>
      <w:r>
        <w:rPr>
          <w:rFonts w:ascii="Arial" w:hAnsi="Arial"/>
          <w:b w:val="false"/>
          <w:color w:val="000000"/>
          <w:sz w:val="20"/>
        </w:rPr>
        <w:t>any Lender that is not a U.S. Person (a “</w:t>
      </w:r>
      <w:r>
        <w:rPr>
          <w:rFonts w:ascii="Arial" w:hAnsi="Arial"/>
          <w:b w:val="false"/>
          <w:color w:val="000000"/>
          <w:sz w:val="20"/>
          <w:u w:val="single"/>
        </w:rPr>
        <w:t>Non-U.S. Lender</w:t>
      </w:r>
      <w:r>
        <w:rPr>
          <w:color w:val="000000"/>
        </w:rPr>
        <w:t>”</w:t>
      </w:r>
      <w:r>
        <w:rPr>
          <w:rFonts w:ascii="Arial" w:hAnsi="Arial"/>
          <w:b w:val="false"/>
          <w:color w:val="000000"/>
          <w:sz w:val="20"/>
        </w:rPr>
        <w:t>) shall, to the extent it is legally entitled to do so, deliver to the Borrower and the Administrative Agent (in such number of copies as shall be reasonably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executed copies of IRS Form W-8ECI (or any successor form);</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in the case of a Non-U.S. Lender claiming the benefits of the exemption for portfolio interest under Section 871(h) or Section 881(c) of the Code, (x) a certificate substantially in the form of Exhibit G-1 to the effect that such Non-U.S. Lender is not a “bank” within the meaning of Section 881(c)(3)(A) of the Code, a “10-percent shareholder” of the Borrower within the meaning of Section 881(c)(3)(B) of the Code, a “controlled foreign corporation” related to Borrower as described in Section 881(c)(3)(C) of the Code (a “U.S. Tax Compliance Certificate”) and (y) executed copies of IRS Form W-8BEN or IRS Form W-8BEN-E, as applicable (or any successor form); or</w:t>
      </w:r>
    </w:p>
    <w:p>
      <w:pPr>
        <w:pStyle w:val="TextBody"/>
        <w:bidi w:val="0"/>
        <w:jc w:val="center"/>
        <w:rPr>
          <w:rFonts w:ascii="Arial" w:hAnsi="Arial"/>
          <w:b w:val="false"/>
          <w:color w:val="000000"/>
          <w:sz w:val="20"/>
        </w:rPr>
      </w:pPr>
      <w:r>
        <w:rPr>
          <w:rFonts w:ascii="Arial" w:hAnsi="Arial"/>
          <w:b w:val="false"/>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to the extent a Non-U.S. Lender is not the beneficial owner, executed copies of IRS Form W-8IMY, accompanied by IRS Form W-8ECI, IRS Form W-8BEN, IRS Form W-8BEN-E, a certificate substantially in the form of Exhibit G-2 or Exhibit G-3,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certificate substantially in the form of Exhibit G-4 on behalf of each such direct and indirect partner;</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any Non-U.S. Lender shall, to the extent it is legally entitled to do so, deliver to the Borrower or the Administrative Agent (in such number of copies as shall be reasonably requested by the recipient) on or prior to the date on which such Non-U.S.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each Lender and the Administrative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(i) comply with their obligations under FATCA and (ii) determine whether such Lender (or the Administrative Agent, as applicable) has complied with such Lender’s (or the Administrative Agent’s, as applicable) obligations under FATCA or to determine the amount to deduct and withhold from such payment. Solely for purposes of this clause (D), “FATCA” shall include any amendments made to FATCA after the date of this Agreement; and</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the Administrative Agent, and any successor or supplemental Administrative Agent, shall deliver to the Borrower (in such number of copies as shall be requested by the recipient) on or prior to the date on which the Administrative Agent becomes the administrative agent hereunder or under any other Loan Document (and from time to time thereafter upon the reasonable request of the Borrower) executed copies of either (i) IRS Form W-9 (or any successor form) or (ii) a U.S. branch withholding certificate on IRS Form W-8IMY (or any successor form)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w:t>
      </w:r>
    </w:p>
    <w:p>
      <w:pPr>
        <w:pStyle w:val="TextBody"/>
        <w:bidi w:val="0"/>
        <w:spacing w:before="0" w:after="240"/>
        <w:jc w:val="both"/>
        <w:rPr>
          <w:rFonts w:ascii="Times New Roman" w:hAnsi="Times New Roman"/>
          <w:sz w:val="20"/>
        </w:rPr>
      </w:pPr>
      <w:r>
        <w:rPr>
          <w:rFonts w:ascii="Arial" w:hAnsi="Arial"/>
          <w:b w:val="false"/>
          <w:color w:val="000000"/>
          <w:sz w:val="20"/>
        </w:rPr>
        <w:t>Each Lender and the Administrative Agent agrees that if any documentation it previously delivered expires or becomes obsolete or inaccurate in any respect, it shall promptly update and deliver such form or certification to the Borrower and the Administrative Agent or promptly notify the Borrower and the Administrative Agent in writing of its legal ineligibility to do so.</w:t>
      </w:r>
      <w:r>
        <w:rPr>
          <w:rFonts w:ascii="Times New Roman" w:hAnsi="Times New Roman"/>
          <w:color w:val="000000"/>
          <w:sz w:val="2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For the avoidance of doubt, the term “applicable law” includes FATCA.</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pPr>
      <w:r>
        <w:rPr>
          <w:rFonts w:ascii="Arial" w:hAnsi="Arial"/>
          <w:b w:val="false"/>
          <w:color w:val="000000"/>
          <w:sz w:val="20"/>
        </w:rPr>
        <w:t xml:space="preserve">The agreements and obligations of Borrower contained in this </w:t>
      </w:r>
      <w:r>
        <w:rPr>
          <w:rFonts w:ascii="Arial" w:hAnsi="Arial"/>
          <w:b w:val="false"/>
          <w:color w:val="000000"/>
          <w:sz w:val="20"/>
          <w:u w:val="single"/>
        </w:rPr>
        <w:t>Section 2.11</w:t>
      </w:r>
      <w:r>
        <w:rPr>
          <w:color w:val="000000"/>
        </w:rPr>
        <w:t xml:space="preserve"> </w:t>
      </w:r>
      <w:r>
        <w:rPr>
          <w:rFonts w:ascii="Arial" w:hAnsi="Arial"/>
          <w:b w:val="false"/>
          <w:color w:val="000000"/>
          <w:sz w:val="20"/>
        </w:rPr>
        <w:t>shall survive the termination of this Agreement, the resignation and/or replacement of the Administrative Agent, any assignment of rights by, or the replacement of, a Lender, the termination of the Commitments and the repayment, satisfaction or discharge of all other Obligations.</w:t>
      </w:r>
    </w:p>
    <w:p>
      <w:pPr>
        <w:pStyle w:val="TextBody"/>
        <w:bidi w:val="0"/>
        <w:jc w:val="center"/>
        <w:rPr>
          <w:rFonts w:ascii="Arial" w:hAnsi="Arial"/>
          <w:b w:val="false"/>
          <w:color w:val="000000"/>
          <w:sz w:val="20"/>
        </w:rPr>
      </w:pPr>
      <w:r>
        <w:rPr>
          <w:rFonts w:ascii="Arial" w:hAnsi="Arial"/>
          <w:b w:val="false"/>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pPr>
      <w:r>
        <w:rPr>
          <w:rFonts w:ascii="Arial" w:hAnsi="Arial"/>
          <w:b w:val="false"/>
          <w:color w:val="000000"/>
          <w:sz w:val="20"/>
        </w:rPr>
        <w:t xml:space="preserve">Borrower and the Lenders hereby acknowledge and agree that, for U.S. federal income tax purposes, the issue price (within the meaning of Section 1273(b) of the Code) of the Loan will be determined pursuant to Section 1272 through 1275 of the Code and the Treasury Regulations thereunder, including Section 1.1273-2(h)(1) of the Treasury Regulations. Furthermore, within 30 days of the Closing Date (or such longer period of time as Administrative Agent may agree to in its sole discretion) Borrower and Administrative Agent shall mutually agree as to the fair market value of the property right represented by the Warrants with respect to the Loan. The parties hereto agree to report all income tax matters with respect to the Warrant consistent with the provisions of this </w:t>
      </w:r>
      <w:r>
        <w:rPr>
          <w:rFonts w:ascii="Arial" w:hAnsi="Arial"/>
          <w:b w:val="false"/>
          <w:color w:val="000000"/>
          <w:sz w:val="20"/>
          <w:u w:val="single"/>
        </w:rPr>
        <w:t>Section 2.11(j</w:t>
      </w:r>
      <w:r>
        <w:rPr>
          <w:rFonts w:ascii="Arial" w:hAnsi="Arial"/>
          <w:b w:val="false"/>
          <w:color w:val="000000"/>
          <w:sz w:val="20"/>
        </w:rPr>
        <w:t>) unless otherwise required due to a change in applicable law or pursuant to a “determination” within the meaning of Section 1313 of the Internal Revenue Code.</w:t>
      </w:r>
    </w:p>
    <w:p>
      <w:pPr>
        <w:pStyle w:val="TextBody"/>
        <w:bidi w:val="0"/>
        <w:spacing w:before="0" w:after="240"/>
        <w:jc w:val="both"/>
        <w:rPr>
          <w:rFonts w:ascii="Arial" w:hAnsi="Arial"/>
          <w:b w:val="false"/>
          <w:color w:val="000000"/>
          <w:sz w:val="20"/>
        </w:rPr>
      </w:pPr>
      <w:r>
        <w:rPr>
          <w:rFonts w:ascii="Arial" w:hAnsi="Arial"/>
          <w:b w:val="false"/>
          <w:color w:val="000000"/>
          <w:sz w:val="20"/>
        </w:rPr>
        <w:t>2.12</w:t>
      </w:r>
    </w:p>
    <w:p>
      <w:pPr>
        <w:pStyle w:val="TextBody"/>
        <w:bidi w:val="0"/>
        <w:spacing w:before="0" w:after="240"/>
        <w:jc w:val="both"/>
        <w:rPr/>
      </w:pPr>
      <w:r>
        <w:rPr>
          <w:rFonts w:ascii="Arial" w:hAnsi="Arial"/>
          <w:b w:val="false"/>
          <w:color w:val="000000"/>
          <w:sz w:val="20"/>
          <w:u w:val="single"/>
        </w:rPr>
        <w:t>Apportionment of Payments</w:t>
      </w:r>
      <w:r>
        <w:rPr>
          <w:rFonts w:ascii="Arial" w:hAnsi="Arial"/>
          <w:b w:val="false"/>
          <w:color w:val="000000"/>
          <w:sz w:val="20"/>
        </w:rPr>
        <w:t>. All payments of principal and interest in respect of outstanding Loans, all payments of fees and all other payments in respect of any other Obligations, shall be allocated by the Administrative Agent among such of the Lenders as are entitled thereto, in proportion to their respective Pro Rata Shares, or as otherwise provided herein.</w:t>
      </w:r>
    </w:p>
    <w:p>
      <w:pPr>
        <w:pStyle w:val="TextBody"/>
        <w:bidi w:val="0"/>
        <w:spacing w:before="0" w:after="240"/>
        <w:jc w:val="both"/>
        <w:rPr>
          <w:rFonts w:ascii="Arial" w:hAnsi="Arial"/>
          <w:b w:val="false"/>
          <w:color w:val="000000"/>
          <w:sz w:val="20"/>
        </w:rPr>
      </w:pPr>
      <w:r>
        <w:rPr>
          <w:rFonts w:ascii="Arial" w:hAnsi="Arial"/>
          <w:b w:val="false"/>
          <w:color w:val="000000"/>
          <w:sz w:val="20"/>
        </w:rPr>
        <w:t>2.13</w:t>
      </w:r>
    </w:p>
    <w:p>
      <w:pPr>
        <w:pStyle w:val="TextBody"/>
        <w:bidi w:val="0"/>
        <w:spacing w:before="0" w:after="240"/>
        <w:jc w:val="both"/>
        <w:rPr/>
      </w:pPr>
      <w:r>
        <w:rPr>
          <w:rFonts w:ascii="Arial" w:hAnsi="Arial"/>
          <w:b w:val="false"/>
          <w:color w:val="000000"/>
          <w:sz w:val="20"/>
          <w:u w:val="single"/>
        </w:rPr>
        <w:t>Defaulting Lenders</w:t>
      </w:r>
      <w:r>
        <w:rPr>
          <w:rFonts w:ascii="Arial" w:hAnsi="Arial"/>
          <w:b w:val="false"/>
          <w:color w:val="000000"/>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pPr>
      <w:r>
        <w:rPr>
          <w:rFonts w:ascii="Arial" w:hAnsi="Arial"/>
          <w:b w:val="false"/>
          <w:color w:val="000000"/>
          <w:sz w:val="20"/>
        </w:rPr>
        <w:t xml:space="preserve">Such Defaulting Lender’s right to approve or disapprove any amendment, waiver or consent with respect to this Agreement shall be restricted as set forth in </w:t>
      </w:r>
      <w:r>
        <w:rPr>
          <w:rFonts w:ascii="Arial" w:hAnsi="Arial"/>
          <w:b w:val="false"/>
          <w:color w:val="000000"/>
          <w:sz w:val="20"/>
          <w:u w:val="single"/>
        </w:rPr>
        <w:t>Section 5.10</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Administrative Agent shall not be obligated to transfer to such Defaulting Lender any payments made by Borrower to Administrative Agent for such Defaulting Lender’s benefit, and, in the absence of such transfer to such Defaulting Lender, the Administrative Agent shall transfer any such payments to each other non-Defaulting Lender ratably in accordance with their Pro Rata Shares (without giving effect to the Pro Rata Shares of such Defaulting Lender) (but only to the extent that such Defaulting Lender’s Loans were funded by the other Lenders).</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The operation of this Section shall not be construed to increase or otherwise affect the Commitments of any Lender, to relieve or excuse the performance by such Defaulting Lender or any other Lender of its duties and obligations hereunder, or to relieve or excuse the performance by the Borrower of its duties and obligations hereunder to Administrative Agent or to the Lenders other than such Defaulting Lender.</w:t>
      </w:r>
    </w:p>
    <w:p>
      <w:pPr>
        <w:pStyle w:val="TextBody"/>
        <w:bidi w:val="0"/>
        <w:spacing w:before="0" w:after="240"/>
        <w:jc w:val="both"/>
        <w:rPr>
          <w:rFonts w:ascii="Arial" w:hAnsi="Arial"/>
          <w:b w:val="false"/>
          <w:color w:val="000000"/>
          <w:sz w:val="20"/>
        </w:rPr>
      </w:pPr>
      <w:r>
        <w:rPr>
          <w:rFonts w:ascii="Arial" w:hAnsi="Arial"/>
          <w:b w:val="false"/>
          <w:color w:val="000000"/>
          <w:sz w:val="20"/>
        </w:rPr>
        <w:t>2.14</w:t>
      </w:r>
    </w:p>
    <w:p>
      <w:pPr>
        <w:pStyle w:val="TextBody"/>
        <w:bidi w:val="0"/>
        <w:spacing w:before="0" w:after="240"/>
        <w:jc w:val="both"/>
        <w:rPr/>
      </w:pPr>
      <w:r>
        <w:rPr>
          <w:rFonts w:ascii="Arial" w:hAnsi="Arial"/>
          <w:b w:val="false"/>
          <w:color w:val="000000"/>
          <w:sz w:val="20"/>
          <w:u w:val="single"/>
        </w:rPr>
        <w:t>Post-Closing Conditions</w:t>
      </w:r>
      <w:r>
        <w:rPr>
          <w:rFonts w:ascii="Arial" w:hAnsi="Arial"/>
          <w:b w:val="false"/>
          <w:color w:val="000000"/>
          <w:sz w:val="20"/>
        </w:rPr>
        <w:t xml:space="preserve">. Notwithstanding any provision herein or in any other Loan Document to the contrary, Borrower shall (i) within one (1) Business Day of the Closing Date (or such later date as Administrative Agent may agree to in its sole discretion) deliver to Administrative Agent a fully executed Account Control Agreement in respect of each of Borrower’s Deposit Accounts and Securities Accounts at Silicon Valley Bank, a division of First-Citizens Bank &amp; Trust Company (other than for any Excluded Account and (ii) within five (5) Business Days of the Closing Date (or such later date as Administrative Agent may agree to in its sole discretion) deliver to Administrative Agent a fully executed Account Control Agreement in respect of each of Borrower’s Deposit Accounts and Securities Accounts at JPMorgan (other than for any Excluded Account. </w:t>
      </w:r>
    </w:p>
    <w:p>
      <w:pPr>
        <w:pStyle w:val="TextBody"/>
        <w:bidi w:val="0"/>
        <w:spacing w:before="0" w:after="240"/>
        <w:jc w:val="both"/>
        <w:rPr/>
      </w:pPr>
      <w:r>
        <w:rPr/>
        <w:t> </w:t>
      </w:r>
    </w:p>
    <w:p>
      <w:pPr>
        <w:pStyle w:val="TextBody"/>
        <w:bidi w:val="0"/>
        <w:spacing w:before="0" w:after="240"/>
        <w:jc w:val="center"/>
        <w:rPr>
          <w:rFonts w:ascii="Arial" w:hAnsi="Arial"/>
          <w:b/>
          <w:caps/>
          <w:color w:val="000000"/>
          <w:sz w:val="20"/>
        </w:rPr>
      </w:pPr>
      <w:r>
        <w:rPr>
          <w:rFonts w:ascii="Arial" w:hAnsi="Arial"/>
          <w:b/>
          <w:caps/>
          <w:color w:val="000000"/>
          <w:sz w:val="20"/>
        </w:rPr>
        <w:t>Article 3</w:t>
      </w:r>
    </w:p>
    <w:p>
      <w:pPr>
        <w:pStyle w:val="TextBody"/>
        <w:bidi w:val="0"/>
        <w:spacing w:before="0" w:after="240"/>
        <w:jc w:val="center"/>
        <w:rPr>
          <w:rFonts w:ascii="Arial" w:hAnsi="Arial"/>
          <w:b/>
          <w:caps/>
          <w:color w:val="000000"/>
          <w:sz w:val="20"/>
          <w:u w:val="single"/>
        </w:rPr>
      </w:pPr>
      <w:r>
        <w:rPr>
          <w:rFonts w:ascii="Arial" w:hAnsi="Arial"/>
          <w:b/>
          <w:caps/>
          <w:color w:val="000000"/>
          <w:sz w:val="20"/>
          <w:u w:val="single"/>
        </w:rPr>
        <w:br/>
        <w:br/>
        <w:br/>
        <w:t>CREATION OF SECURITY INTEREST; COLLATERAL</w:t>
      </w:r>
    </w:p>
    <w:p>
      <w:pPr>
        <w:pStyle w:val="TextBody"/>
        <w:bidi w:val="0"/>
        <w:spacing w:before="0" w:after="240"/>
        <w:jc w:val="both"/>
        <w:rPr>
          <w:rFonts w:ascii="Arial" w:hAnsi="Arial"/>
          <w:b w:val="false"/>
          <w:color w:val="000000"/>
          <w:sz w:val="20"/>
        </w:rPr>
      </w:pPr>
      <w:r>
        <w:rPr>
          <w:rFonts w:ascii="Arial" w:hAnsi="Arial"/>
          <w:b w:val="false"/>
          <w:color w:val="000000"/>
          <w:sz w:val="20"/>
        </w:rPr>
        <w:t>3.1</w:t>
      </w:r>
    </w:p>
    <w:p>
      <w:pPr>
        <w:pStyle w:val="TextBody"/>
        <w:bidi w:val="0"/>
        <w:spacing w:before="0" w:after="240"/>
        <w:jc w:val="both"/>
        <w:rPr/>
      </w:pPr>
      <w:r>
        <w:rPr>
          <w:rFonts w:ascii="Arial" w:hAnsi="Arial"/>
          <w:b w:val="false"/>
          <w:color w:val="000000"/>
          <w:sz w:val="20"/>
          <w:u w:val="single"/>
        </w:rPr>
        <w:t>Grant of Security Interests</w:t>
      </w:r>
      <w:r>
        <w:rPr>
          <w:rFonts w:ascii="Arial" w:hAnsi="Arial"/>
          <w:b w:val="false"/>
          <w:color w:val="000000"/>
          <w:sz w:val="20"/>
        </w:rPr>
        <w:t xml:space="preserve">. Borrower grants to Administrative Agent, for the benefit of the Lenders, a valid, continuing security interest in all presently existing and hereafter acquired or arising </w:t>
      </w:r>
    </w:p>
    <w:p>
      <w:pPr>
        <w:pStyle w:val="TextBody"/>
        <w:bidi w:val="0"/>
        <w:jc w:val="center"/>
        <w:rPr>
          <w:rFonts w:ascii="Arial" w:hAnsi="Arial"/>
          <w:b w:val="false"/>
          <w:color w:val="000000"/>
          <w:sz w:val="20"/>
        </w:rPr>
      </w:pPr>
      <w:r>
        <w:rPr>
          <w:rFonts w:ascii="Arial" w:hAnsi="Arial"/>
          <w:b w:val="false"/>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Collateral in order to secure prompt, full and complete payment of any and all Obligations and in order to secure prompt, full and complete performance by Borrower of each of its covenants and duties under each of the Loan Documents. The “Collateral” shall mean and include all right, title, interest, claims and demands of Borrower in the following:</w:t>
      </w:r>
      <w:r>
        <w:rPr>
          <w:color w:val="00000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All goods (and embedded computer programs and supporting information included within the definition of “goods” under the UCC) and equipment now owned or hereafter acquired, including all laboratory equipment, computer equipment, office equipment, machinery, fixtures, vehicles (including motor vehicles and trailers), and other equipment and any interest in any of the foregoing, and all attachments, accessories, accessions, replacements, substitutions, additions, and improvements to any of the foregoing, wherever located;</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All inventory now owned or hereafter acquired, including all merchandise, raw materials, parts, supplies, packing and shipping materials, work in process and finished products including such inventory as is temporarily out of Borrower’s custody or possession or in transit and including any returns upon any accounts or other proceeds, including insurance proceeds, resulting from the sale or disposition of any of the foregoing and any documents of title representing any of the above, and Borrower’s books relating to any of the foregoing;</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All contract rights and general intangibles (including Intellectual Property), now owned or hereafter acquired, including goodwill, license agreements, franchise agreements, blueprints, drawings, purchase orders, customer lists, route lists, infringements, claims, software, computer programs, computer disks, computer tapes, literature, reports, catalogs, design rights, income tax refunds, payment intangibles, commercial tort claims, payments of insurance and rights to payment of any kind;</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All now existing and hereafter arising accounts, contract rights, royalties, license rights, license fees and all other forms of obligations owing to Borrower arising out of the sale or lease of goods, the licensing of technology or the rendering of services by Borrower (subject, in each case, to the contractual rights of third parties to require funds received by Borrower to be expended in a particular manner), whether or not earned by performance, and any and all credit insurance, guaranties, and other security therefor, as well as all merchandise returned to or reclaimed by Borrower and Borrower’s books relating to any of the foregoing;</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All documents, cash, Deposit Accounts, letters of credit and letters of credit rights (whether or not the letter of credit is evidenced by a writing) and other supporting obligations, certificates of deposit, instruments, promissory notes, chattel paper (whether tangible or electronic) and investment property, including all securities, whether certificated or uncertificated, security entitlements, Securities Accounts, commodity contracts and commodity accounts, and all financial assets held in any Securities Account or otherwise, wherever located, now owned or hereafter acquired and Borrower’s books relating to the foregoing; and</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To the extent not covered by clauses (a) through (e), all other personal property of the Borrower, whether tangible or intangible, and any and all rights and interests in any of the above and the foregoing and, any and all claims, rights and interests in any of the above and all substitutions for, additions and accessions to and proceeds thereof, including insurance, condemnation, requisition or similar payments and proceeds of the sale or licensing of Intellectual Property and all of Borrower’s books and records related to any items of other Collateral.</w:t>
      </w:r>
    </w:p>
    <w:p>
      <w:pPr>
        <w:pStyle w:val="TextBody"/>
        <w:bidi w:val="0"/>
        <w:spacing w:before="0" w:after="240"/>
        <w:jc w:val="both"/>
        <w:rPr>
          <w:rFonts w:ascii="Times New Roman" w:hAnsi="Times New Roman"/>
          <w:sz w:val="20"/>
        </w:rPr>
      </w:pPr>
      <w:r>
        <w:rPr>
          <w:rFonts w:ascii="Arial" w:hAnsi="Arial"/>
          <w:b w:val="false"/>
          <w:color w:val="000000"/>
          <w:sz w:val="20"/>
        </w:rPr>
        <w:t>Notwithstanding the foregoing, or anything to the contrary herein, the Collateral does not include (i) any Excluded Account, (ii) the assets to be sold in connection with the Brady Equipment Sale, (iii) “intent-to-use” trademarks at all times prior to the first use thereof, whether by the actual use thereof in commerce, the recording of a statement of use with the United States Patent and Trademark Office or otherwise, but only to the extent and solely during such period that granting a security interest in the “intent-to-use” trademarks would be contrary to applicable law or may interfere with Borrower’s rights to obtain and maintain such trademarks; provided that after such period, Borrower acknowledges that such interest in such trademark application or trademark shall be subject to a security interest in favor of Administrative</w:t>
      </w:r>
      <w:r>
        <w:rPr>
          <w:rFonts w:ascii="Times New Roman" w:hAnsi="Times New Roman"/>
          <w:color w:val="000000"/>
          <w:sz w:val="20"/>
        </w:rPr>
        <w:t xml:space="preserve"> </w:t>
      </w:r>
    </w:p>
    <w:p>
      <w:pPr>
        <w:pStyle w:val="TextBody"/>
        <w:bidi w:val="0"/>
        <w:jc w:val="center"/>
        <w:rPr>
          <w:rFonts w:ascii="Arial" w:hAnsi="Arial"/>
          <w:b w:val="false"/>
          <w:color w:val="000000"/>
          <w:sz w:val="20"/>
        </w:rPr>
      </w:pPr>
      <w:r>
        <w:rPr>
          <w:rFonts w:ascii="Arial" w:hAnsi="Arial"/>
          <w:b w:val="false"/>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b w:val="false"/>
          <w:color w:val="000000"/>
          <w:sz w:val="20"/>
        </w:rPr>
        <w:t>Agent and shall be included in the Collateral, (iv) (x) rights of Borrower held under a license that are not assignable by their terms without the consent of the licensor thereof (but only to the extent such restriction on assignment is enforceable under applicable law), and (y) 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UCC); provided, however, that upon termination of such prohibition, such interest shall immediately become Collateral without any action by Borrower or Administrative Agent; provided, in each case, that no asset or property shall be excluded from the Collateral to the extent the restriction described in the foregoing clauses (x) and (y) would be rendered ineffective pursuant to Section 9-406, 9-407, 9-408 or 9-409 of the UCC or any other applicable law or principles of equity, or to the extent that any necessary consents or waivers have been obtained to allow the security interest in such asset or property notwithstanding such restriction, (v) leased equipment or equipment financed (and related software) by indebtedness with a third party (and any accessions, attachments, replacements or improvements thereon) and specifically identifiable sale proceeds thereof (but only in the amount of the lien secured thereby) that is subject to a lien that is permitted pursuant to the definition of “Permitted Liens”, provided, that (a) the foregoing exclusion shall apply only to the extent the applicable documents relating to such financing prohibits the granting of a security interest in favor of Administrative Agent and (b) upon the release of any such lien, such equipment (and any accessions, attachments, replacements or improvements thereon), software and specifically identifiable sale proceeds shall automatically be deemed to be Collateral hereunder and shall be subject to the security interest granted herein and (vi) with respect to stock in foreign Subsidiaries and so long as Borrower identifies to Administrative Agent a present and existing adverse tax consequence as a direct result of a grant of more than sixty-five percent (65.0%), more than sixty-five percent (65.0%) of the presently existing and hereafter arising issued and outstanding shares of capital stock owned by Borrower of any foreign Subsidiary which shares entitle the holder thereof to vote for directors or any other matter.</w:t>
      </w:r>
      <w:r>
        <w:rPr>
          <w:rFonts w:ascii="Times New Roman" w:hAnsi="Times New Roman"/>
          <w:color w:val="000000"/>
          <w:sz w:val="2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3.2</w:t>
      </w:r>
    </w:p>
    <w:p>
      <w:pPr>
        <w:pStyle w:val="TextBody"/>
        <w:bidi w:val="0"/>
        <w:spacing w:before="0" w:after="240"/>
        <w:jc w:val="both"/>
        <w:rPr/>
      </w:pPr>
      <w:r>
        <w:rPr>
          <w:rFonts w:ascii="Arial" w:hAnsi="Arial"/>
          <w:b w:val="false"/>
          <w:color w:val="000000"/>
          <w:sz w:val="20"/>
          <w:u w:val="single"/>
        </w:rPr>
        <w:t>After-Acquired Property</w:t>
      </w:r>
      <w:r>
        <w:rPr>
          <w:rFonts w:ascii="Arial" w:hAnsi="Arial"/>
          <w:b w:val="false"/>
          <w:color w:val="000000"/>
          <w:sz w:val="20"/>
        </w:rPr>
        <w:t>. If Borrower shall at any time acquire a commercial tort claim with a value in excess of $500,000, as defined in the UCC, Borrower shall promptly notify Administrative Agent in writing signed by Borrower of the brief details thereof and grant to Administrative Agent in such writing a security interest therein and in the proceeds thereof, all upon the terms of this Agreement, with such writing to be in form and substance reasonably satisfactory to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3.3</w:t>
      </w:r>
    </w:p>
    <w:p>
      <w:pPr>
        <w:pStyle w:val="TextBody"/>
        <w:bidi w:val="0"/>
        <w:spacing w:before="0" w:after="240"/>
        <w:jc w:val="both"/>
        <w:rPr/>
      </w:pPr>
      <w:r>
        <w:rPr>
          <w:rFonts w:ascii="Arial" w:hAnsi="Arial"/>
          <w:b w:val="false"/>
          <w:color w:val="000000"/>
          <w:sz w:val="20"/>
          <w:u w:val="single"/>
        </w:rPr>
        <w:t>Location and Possession of Collateral</w:t>
      </w:r>
      <w:r>
        <w:rPr>
          <w:rFonts w:ascii="Arial" w:hAnsi="Arial"/>
          <w:b w:val="false"/>
          <w:color w:val="000000"/>
          <w:sz w:val="20"/>
        </w:rPr>
        <w:t xml:space="preserve">. The Collateral is and shall remain in the possession of Borrower or its bailee at its location as set forth in the Perfection Certificate (the “Permitted Locations”) or any other location as long as Borrower provides Administrative Agent with notice of such new location within 10 days of entry into such location and, in the event that the Collateral at any new location is valued in excess of Two Hundred Thousand Dollars ($200,000.00) in the aggregate, at Administrative Agent’s election, Borrower shall use commercially reasonable efforts to cause such bailee or landlord, as applicable, to execute and deliver a bailee waiver or landlord waiver, as applicable, in form and substance reasonably satisfactory to Administrative Agent. Borrower shall remain in full possession, enjoyment and control of the Collateral (except only as may be otherwise required by Administrative Agent for perfection of the security interests therein created hereunder) and so long as no Event of Default has occurred and is continuing, shall be entitled to manage, operate and use the same and each part thereof with the rights and franchises appertaining thereto; </w:t>
      </w:r>
      <w:r>
        <w:rPr>
          <w:rFonts w:ascii="Arial" w:hAnsi="Arial"/>
          <w:b w:val="false"/>
          <w:i/>
          <w:color w:val="000000"/>
          <w:sz w:val="20"/>
        </w:rPr>
        <w:t>provided</w:t>
      </w:r>
      <w:r>
        <w:rPr>
          <w:color w:val="000000"/>
        </w:rPr>
        <w:t xml:space="preserve"> </w:t>
      </w:r>
      <w:r>
        <w:rPr>
          <w:rFonts w:ascii="Arial" w:hAnsi="Arial"/>
          <w:b w:val="false"/>
          <w:color w:val="000000"/>
          <w:sz w:val="20"/>
        </w:rPr>
        <w:t>that the possession, enjoyment, control and use of the Collateral shall at all times be subject to the observance and performance of the terms of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3.4</w:t>
      </w:r>
    </w:p>
    <w:p>
      <w:pPr>
        <w:pStyle w:val="TextBody"/>
        <w:bidi w:val="0"/>
        <w:spacing w:before="0" w:after="240"/>
        <w:jc w:val="both"/>
        <w:rPr/>
      </w:pPr>
      <w:r>
        <w:rPr>
          <w:rFonts w:ascii="Arial" w:hAnsi="Arial"/>
          <w:b w:val="false"/>
          <w:color w:val="000000"/>
          <w:sz w:val="20"/>
          <w:u w:val="single"/>
        </w:rPr>
        <w:t>Delivery of Additional Documentation Required</w:t>
      </w:r>
      <w:r>
        <w:rPr>
          <w:rFonts w:ascii="Arial" w:hAnsi="Arial"/>
          <w:b w:val="false"/>
          <w:color w:val="000000"/>
          <w:sz w:val="20"/>
        </w:rPr>
        <w:t>. Borrower shall from time to time execute and deliver to Administrative Agent, at the request of Administrative Agent, all financing statements and other documents Administrative Agent may reasonably request, in form satisfactory to Administrative Agent, to perfect and continue Lender’s perfected security interests in the Collateral and in order to consummate fully all of the transactions contemplated under the Loan Documents.</w:t>
      </w:r>
    </w:p>
    <w:p>
      <w:pPr>
        <w:pStyle w:val="TextBody"/>
        <w:bidi w:val="0"/>
        <w:spacing w:before="0" w:after="240"/>
        <w:jc w:val="both"/>
        <w:rPr>
          <w:rFonts w:ascii="Arial" w:hAnsi="Arial"/>
          <w:b w:val="false"/>
          <w:color w:val="000000"/>
          <w:sz w:val="20"/>
        </w:rPr>
      </w:pPr>
      <w:r>
        <w:rPr>
          <w:rFonts w:ascii="Arial" w:hAnsi="Arial"/>
          <w:b w:val="false"/>
          <w:color w:val="000000"/>
          <w:sz w:val="20"/>
        </w:rPr>
        <w:t>3.5</w:t>
      </w:r>
    </w:p>
    <w:p>
      <w:pPr>
        <w:pStyle w:val="TextBody"/>
        <w:bidi w:val="0"/>
        <w:spacing w:before="0" w:after="240"/>
        <w:jc w:val="both"/>
        <w:rPr/>
      </w:pPr>
      <w:r>
        <w:rPr>
          <w:rFonts w:ascii="Arial" w:hAnsi="Arial"/>
          <w:b w:val="false"/>
          <w:color w:val="000000"/>
          <w:sz w:val="20"/>
          <w:u w:val="single"/>
        </w:rPr>
        <w:t>Right to Inspect</w:t>
      </w:r>
      <w:r>
        <w:rPr>
          <w:rFonts w:ascii="Arial" w:hAnsi="Arial"/>
          <w:b w:val="false"/>
          <w:color w:val="000000"/>
          <w:sz w:val="20"/>
        </w:rPr>
        <w:t xml:space="preserve">. Administrative Agent (through any of its officers, employees, or agents) shall have the right, upon reasonable prior notice, from time to time during Borrower’s usual business hours, to inspect the books and records of Borrower and Subsidiaries and to make copies thereof and to </w:t>
      </w:r>
    </w:p>
    <w:p>
      <w:pPr>
        <w:pStyle w:val="TextBody"/>
        <w:bidi w:val="0"/>
        <w:jc w:val="center"/>
        <w:rPr>
          <w:rFonts w:ascii="Arial" w:hAnsi="Arial"/>
          <w:b w:val="false"/>
          <w:color w:val="000000"/>
          <w:sz w:val="20"/>
        </w:rPr>
      </w:pPr>
      <w:r>
        <w:rPr>
          <w:rFonts w:ascii="Arial" w:hAnsi="Arial"/>
          <w:b w:val="false"/>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inspect, test, and appraise the Collateral in order to verify Borrower’s financial condition or the amount, condition of, or any other matter relating to, the Collateral up to once per year (unless an Event of Default has occurred and is continuing, in which case such inspections and appraisals are in Lender’s discretion).</w:t>
      </w:r>
    </w:p>
    <w:p>
      <w:pPr>
        <w:pStyle w:val="TextBody"/>
        <w:bidi w:val="0"/>
        <w:spacing w:before="0" w:after="240"/>
        <w:jc w:val="both"/>
        <w:rPr>
          <w:rFonts w:ascii="Arial" w:hAnsi="Arial"/>
          <w:b w:val="false"/>
          <w:color w:val="000000"/>
          <w:sz w:val="20"/>
        </w:rPr>
      </w:pPr>
      <w:r>
        <w:rPr>
          <w:rFonts w:ascii="Arial" w:hAnsi="Arial"/>
          <w:b w:val="false"/>
          <w:color w:val="000000"/>
          <w:sz w:val="20"/>
        </w:rPr>
        <w:t>3.6</w:t>
      </w:r>
    </w:p>
    <w:p>
      <w:pPr>
        <w:pStyle w:val="TextBody"/>
        <w:bidi w:val="0"/>
        <w:spacing w:before="0" w:after="240"/>
        <w:jc w:val="both"/>
        <w:rPr/>
      </w:pPr>
      <w:r>
        <w:rPr>
          <w:rFonts w:ascii="Arial" w:hAnsi="Arial"/>
          <w:b w:val="false"/>
          <w:color w:val="000000"/>
          <w:sz w:val="20"/>
          <w:u w:val="single"/>
        </w:rPr>
        <w:t>Intellectual Property</w:t>
      </w:r>
      <w:r>
        <w:rPr>
          <w:rFonts w:ascii="Arial" w:hAnsi="Arial"/>
          <w:b w:val="false"/>
          <w:color w:val="000000"/>
          <w:sz w:val="20"/>
        </w:rPr>
        <w:t>. Borrower shall notify Administrative Agent before the federal registration or filing by Borrower of any copyright or copyright application and shall promptly execute and deliver to Lender any grants of security interests in same, in form acceptable to Administrative Agent, to file with the United States Copyright Office. In addition, Borrower shall deliver to Administrative Agent within 30 days after the end of each calendar quarter, a report (each, a “</w:t>
      </w:r>
      <w:r>
        <w:rPr>
          <w:rFonts w:ascii="Arial" w:hAnsi="Arial"/>
          <w:b w:val="false"/>
          <w:color w:val="000000"/>
          <w:sz w:val="20"/>
          <w:u w:val="single"/>
        </w:rPr>
        <w:t>Patent and Trademark Report</w:t>
      </w:r>
      <w:r>
        <w:rPr>
          <w:color w:val="000000"/>
        </w:rPr>
        <w:t>”</w:t>
      </w:r>
      <w:r>
        <w:rPr>
          <w:rFonts w:ascii="Arial" w:hAnsi="Arial"/>
          <w:b w:val="false"/>
          <w:color w:val="000000"/>
          <w:sz w:val="20"/>
        </w:rPr>
        <w:t>) reflecting (i) the patents, patent applications, trademarks and trademark applications that were registered or filed by Borrower during such quarter and (ii) Intellectual Property that Borrower deems “immaterial” to its business, if any, and shall promptly execute and deliver to Administrative Agent, on behalf of the Lenders, any grants of security interests in same, in form reasonably acceptable to Administrative Agent, to file with the United States Patent and Trademark Office.</w:t>
      </w:r>
    </w:p>
    <w:p>
      <w:pPr>
        <w:pStyle w:val="TextBody"/>
        <w:bidi w:val="0"/>
        <w:spacing w:before="0" w:after="240"/>
        <w:jc w:val="both"/>
        <w:rPr>
          <w:rFonts w:ascii="Arial" w:hAnsi="Arial"/>
          <w:b w:val="false"/>
          <w:color w:val="000000"/>
          <w:sz w:val="20"/>
        </w:rPr>
      </w:pPr>
      <w:r>
        <w:rPr>
          <w:rFonts w:ascii="Arial" w:hAnsi="Arial"/>
          <w:b w:val="false"/>
          <w:color w:val="000000"/>
          <w:sz w:val="20"/>
        </w:rPr>
        <w:t>3.7</w:t>
      </w:r>
    </w:p>
    <w:p>
      <w:pPr>
        <w:pStyle w:val="TextBody"/>
        <w:bidi w:val="0"/>
        <w:spacing w:before="0" w:after="240"/>
        <w:jc w:val="both"/>
        <w:rPr/>
      </w:pPr>
      <w:r>
        <w:rPr>
          <w:rFonts w:ascii="Arial" w:hAnsi="Arial"/>
          <w:b w:val="false"/>
          <w:color w:val="000000"/>
          <w:sz w:val="20"/>
          <w:u w:val="single"/>
        </w:rPr>
        <w:t>Protection of Intellectual Property</w:t>
      </w:r>
      <w:r>
        <w:rPr>
          <w:rFonts w:ascii="Arial" w:hAnsi="Arial"/>
          <w:b w:val="false"/>
          <w:color w:val="000000"/>
          <w:sz w:val="20"/>
        </w:rPr>
        <w:t xml:space="preserve">. With respect to Intellectual Property that is material to the Borrower’s business, Borrower shall and shall cause its Subsidiaries to: </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protect, defend and maintain the validity and enforceability of its Intellectual Property and promptly advise Administrative Agent in writing of material infringements;</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not allow any Intellectual Property material to Borrower’s or its Subsidiaries business to be abandoned, forfeited or dedicated to the public without Administrative Agent’s written consent;</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provide written notice to the Administrative Agent within ten (10) days of entering or becoming bound by any Restricted License (other than over-the-counter software that is commercially available to the public); and</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take such commercially reasonable steps as Administrative Agent requests to obtain the consent of, or waiver by, any person whose consent or waiver is necessary for (i) any Restricted License to be deemed “Collateral” and for Administrative Agent to have a security interest in it that might otherwise be restricted or prohibited by law or by the terms of any such Restricted License, whether now existing or entered into in the future, and (ii) Administrative Agent to have the ability in the event of a liquidation of any Collateral to dispose of such Collateral in accordance with the Administrative Agent’s rights and remedies under this Agreement and the other Loan Documents.</w:t>
      </w:r>
    </w:p>
    <w:p>
      <w:pPr>
        <w:pStyle w:val="TextBody"/>
        <w:bidi w:val="0"/>
        <w:spacing w:before="0" w:after="240"/>
        <w:jc w:val="both"/>
        <w:rPr>
          <w:rFonts w:ascii="Arial" w:hAnsi="Arial"/>
          <w:b w:val="false"/>
          <w:color w:val="000000"/>
          <w:sz w:val="20"/>
        </w:rPr>
      </w:pPr>
      <w:r>
        <w:rPr>
          <w:rFonts w:ascii="Arial" w:hAnsi="Arial"/>
          <w:b w:val="false"/>
          <w:color w:val="000000"/>
          <w:sz w:val="20"/>
        </w:rPr>
        <w:t>[***]</w:t>
      </w:r>
    </w:p>
    <w:p>
      <w:pPr>
        <w:pStyle w:val="TextBody"/>
        <w:bidi w:val="0"/>
        <w:spacing w:before="0" w:after="240"/>
        <w:jc w:val="center"/>
        <w:rPr>
          <w:rFonts w:ascii="Arial" w:hAnsi="Arial"/>
          <w:b/>
          <w:caps/>
          <w:color w:val="000000"/>
          <w:sz w:val="20"/>
        </w:rPr>
      </w:pPr>
      <w:r>
        <w:rPr>
          <w:rFonts w:ascii="Arial" w:hAnsi="Arial"/>
          <w:b/>
          <w:caps/>
          <w:color w:val="000000"/>
          <w:sz w:val="20"/>
        </w:rPr>
        <w:t>Article 4</w:t>
      </w:r>
    </w:p>
    <w:p>
      <w:pPr>
        <w:pStyle w:val="TextBody"/>
        <w:bidi w:val="0"/>
        <w:spacing w:before="0" w:after="240"/>
        <w:jc w:val="center"/>
        <w:rPr>
          <w:rFonts w:ascii="Arial" w:hAnsi="Arial"/>
          <w:b/>
          <w:caps/>
          <w:color w:val="000000"/>
          <w:sz w:val="20"/>
          <w:u w:val="single"/>
        </w:rPr>
      </w:pPr>
      <w:r>
        <w:rPr>
          <w:rFonts w:ascii="Arial" w:hAnsi="Arial"/>
          <w:b/>
          <w:caps/>
          <w:color w:val="000000"/>
          <w:sz w:val="20"/>
          <w:u w:val="single"/>
        </w:rPr>
        <w:br/>
        <w:br/>
        <w:t>REPRESENTATIONS, WARRANTIES AND COVENANTS</w:t>
      </w:r>
    </w:p>
    <w:p>
      <w:pPr>
        <w:pStyle w:val="TextBody"/>
        <w:bidi w:val="0"/>
        <w:spacing w:before="0" w:after="240"/>
        <w:jc w:val="both"/>
        <w:rPr>
          <w:rFonts w:ascii="Arial" w:hAnsi="Arial"/>
          <w:b w:val="false"/>
          <w:color w:val="000000"/>
          <w:sz w:val="20"/>
        </w:rPr>
      </w:pPr>
      <w:r>
        <w:rPr>
          <w:rFonts w:ascii="Arial" w:hAnsi="Arial"/>
          <w:b w:val="false"/>
          <w:color w:val="000000"/>
          <w:sz w:val="20"/>
        </w:rPr>
        <w:t>4.1</w:t>
      </w:r>
    </w:p>
    <w:p>
      <w:pPr>
        <w:pStyle w:val="TextBody"/>
        <w:bidi w:val="0"/>
        <w:spacing w:before="0" w:after="240"/>
        <w:jc w:val="both"/>
        <w:rPr>
          <w:rFonts w:ascii="Arial" w:hAnsi="Arial"/>
          <w:b w:val="false"/>
          <w:color w:val="000000"/>
          <w:sz w:val="20"/>
          <w:u w:val="single"/>
        </w:rPr>
      </w:pPr>
      <w:r>
        <w:rPr>
          <w:rFonts w:ascii="Arial" w:hAnsi="Arial"/>
          <w:b w:val="false"/>
          <w:color w:val="000000"/>
          <w:sz w:val="20"/>
          <w:u w:val="single"/>
        </w:rPr>
        <w:t>Representations and Warranties</w:t>
      </w:r>
    </w:p>
    <w:p>
      <w:pPr>
        <w:pStyle w:val="TextBody"/>
        <w:bidi w:val="0"/>
        <w:spacing w:before="0" w:after="240"/>
        <w:jc w:val="both"/>
        <w:rPr>
          <w:rFonts w:ascii="Arial" w:hAnsi="Arial"/>
          <w:b w:val="false"/>
          <w:color w:val="000000"/>
          <w:sz w:val="20"/>
        </w:rPr>
      </w:pPr>
      <w:r>
        <w:rPr>
          <w:rFonts w:ascii="Arial" w:hAnsi="Arial"/>
          <w:b w:val="false"/>
          <w:color w:val="000000"/>
          <w:sz w:val="20"/>
        </w:rPr>
        <w:t>. Borrower hereby warrants, represents and covenants that:</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pPr>
      <w:r>
        <w:rPr>
          <w:rFonts w:ascii="Arial" w:hAnsi="Arial"/>
          <w:b w:val="false"/>
          <w:color w:val="000000"/>
          <w:sz w:val="20"/>
        </w:rPr>
        <w:t xml:space="preserve">Borrower and each Subsidiary is duly organized, validly existing and in good standing under the laws of the state set forth in the Perfection Certificate. Borrower and each Subsidiary is duly qualified to do business and is in good standing in every other jurisdiction where the nature of its business requires it to be qualified, except where failure to be so qualified would not result in a Material Adverse Change, and is not subject to any bankruptcy, insolvency or other similar proceedings. Borrower’s and each Subsidiary’s chief executive office, principal place of business and the place where Borrower maintains its records concerning the Collateral are located at the addresses set forth in the Perfection Certificate. The Collateral is presently located at the address set forth on the Perfection Certificate or as otherwise agreed by Administrative Agent pursuant to </w:t>
      </w:r>
      <w:r>
        <w:rPr>
          <w:rFonts w:ascii="Arial" w:hAnsi="Arial"/>
          <w:b w:val="false"/>
          <w:color w:val="000000"/>
          <w:sz w:val="20"/>
          <w:u w:val="single"/>
        </w:rPr>
        <w:t>Section 3.3</w:t>
      </w:r>
      <w:r>
        <w:rPr>
          <w:rFonts w:ascii="Arial" w:hAnsi="Arial"/>
          <w:b w:val="false"/>
          <w:color w:val="000000"/>
          <w:sz w:val="20"/>
        </w:rPr>
        <w:t>;</w:t>
      </w:r>
    </w:p>
    <w:p>
      <w:pPr>
        <w:pStyle w:val="TextBody"/>
        <w:bidi w:val="0"/>
        <w:jc w:val="center"/>
        <w:rPr>
          <w:rFonts w:ascii="Arial" w:hAnsi="Arial"/>
          <w:b w:val="false"/>
          <w:color w:val="000000"/>
          <w:sz w:val="20"/>
        </w:rPr>
      </w:pPr>
      <w:r>
        <w:rPr>
          <w:rFonts w:ascii="Arial" w:hAnsi="Arial"/>
          <w:b w:val="false"/>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Borrower and each Subsidiary has full power, authority and legal right to execute, deliver and perform each Loan Document to which it is a party, and the execution, delivery and performance hereof and thereof have been duly authorized by all necessary action;</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Each Loan Document has been duly executed and delivered by Borrower and each constitutes a legal, valid and binding obligation of Borrower and each Subsidiary party thereto, enforceable in accordance with its terms, except as enforceability may be limited by bankruptcy, insolvency or other laws affecting enforcement of creditors’ rights generally and general equitable principles;</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The execution, delivery and performance of the Loan Documents (i) are not in contravention of any material agreement or indenture by which Borrower or any Subsidiary is bound, or by which its properties may be affected, (ii) do not require any shareholder approval, or any approval or consent of, or filing or registration with, any governmental body or regulatory authority or agency (other than the filing of UCC financing statements and filings with the United States Patent and Trademark Office and United States Copyright Office, in connection with the registration of the security interest granted hereunder), or any approval or consent of any trustees or holders of any of its indebtedness or obligations, unless such approval or consent has been obtained and (iii) do not contravene any material law, regulation, judgment or decree applicable to it or its Operating Documents;</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Borrower is not a “bank holding company” or a direct or indirect subsidiary of a “bank holding company” as defined in the Bank Holding Company Act of 1956, as amend, and Regulation Y thereunder of the Board of Governors of the Federal Reserve System. Borrower is not an “investment company” or a company controlled by an “investment company” under the Investment Company Act of 1940. Borrower is not engaged in the business of extending credit for the purpose of purchasing or carrying margin stock (as defined in Regulation U of the Board of Governors of the Federal Reserve System) and no proceeds of any Loan will be used to purchase or carry margin stock or to extend credit to others for the purpose of purchasing or carrying any margin stock;</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To Borrower’s Knowledge, Borrower and each Subsidiary is in compliance with all requirements of law and orders, rules or regulations of any regulatory authority except to the extent that failure to be in compliance would not reasonably be expected to cause a Material Adverse Change, and no such requirement applicable to Borrower or any Subsidiary or any item of Collateral could reasonably be expected to cause a Material Adverse Change;</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Borrower is the owner and holder of all right, title and interest in and to the Collateral (other than the right, title and interests granted under the Permitted Liens), and Borrower has not assigned or pledged and hereby covenants that it will not assign or pledge, so long as this Agreement shall remain in effect, the whole or any part of the rights in the Collateral hereby and thereby assigned, to anyone other than Administrative Agent, its designee, its successors or assigns, other than Permitted Liens;</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Borrower has good and marketable title to the Collateral, and the Collateral is free and clear of all Liens, claims and encumbrances, other than Permitted Liens;</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pPr>
      <w:r>
        <w:rPr>
          <w:rFonts w:ascii="Arial" w:hAnsi="Arial"/>
          <w:b w:val="false"/>
          <w:color w:val="000000"/>
          <w:sz w:val="20"/>
        </w:rPr>
        <w:t xml:space="preserve">Borrower has delivered to Administrative Agent copies of the most recent annual reviewed financial statements and most recent monthly and quarterly unaudited financial statements required to be delivered pursuant to </w:t>
      </w:r>
      <w:r>
        <w:rPr>
          <w:rFonts w:ascii="Arial" w:hAnsi="Arial"/>
          <w:b w:val="false"/>
          <w:color w:val="000000"/>
          <w:sz w:val="20"/>
          <w:u w:val="single"/>
        </w:rPr>
        <w:t>Section 4.2(f)</w:t>
      </w:r>
      <w:r>
        <w:rPr>
          <w:color w:val="000000"/>
        </w:rPr>
        <w:t xml:space="preserve"> </w:t>
      </w:r>
      <w:r>
        <w:rPr>
          <w:rFonts w:ascii="Arial" w:hAnsi="Arial"/>
          <w:b w:val="false"/>
          <w:color w:val="000000"/>
          <w:sz w:val="20"/>
        </w:rPr>
        <w:t>hereof, or as may hereafter be delivered in connection with the Loans (the “</w:t>
      </w:r>
      <w:r>
        <w:rPr>
          <w:rFonts w:ascii="Arial" w:hAnsi="Arial"/>
          <w:b w:val="false"/>
          <w:color w:val="000000"/>
          <w:sz w:val="20"/>
          <w:u w:val="single"/>
        </w:rPr>
        <w:t>Financial Statements</w:t>
      </w:r>
      <w:r>
        <w:rPr>
          <w:color w:val="000000"/>
        </w:rPr>
        <w:t>”</w:t>
      </w:r>
      <w:r>
        <w:rPr>
          <w:rFonts w:ascii="Arial" w:hAnsi="Arial"/>
          <w:b w:val="false"/>
          <w:color w:val="000000"/>
          <w:sz w:val="20"/>
        </w:rPr>
        <w:t>). Since the date of the last Financial Statement provided to Lender, no event has occurred which would have a Material Adverse Change on Borrower or any Subsidiary. The Financial Statements are true and correct and fairly present in all material respects the financial condition of Borrower and its Subsidiaries;</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rFonts w:ascii="Arial" w:hAnsi="Arial"/>
          <w:b w:val="false"/>
          <w:color w:val="000000"/>
          <w:sz w:val="20"/>
        </w:rPr>
      </w:pPr>
      <w:r>
        <w:rPr>
          <w:rFonts w:ascii="Arial" w:hAnsi="Arial"/>
          <w:b w:val="false"/>
          <w:color w:val="000000"/>
          <w:sz w:val="20"/>
        </w:rPr>
        <w:t>No default or event of default has occurred and is continuing under or with respect to any contractual obligation, loan or indenture of Borrower or any Subsidiary in which the default could reasonably be expected to result in a Material Adverse Change;</w:t>
      </w:r>
    </w:p>
    <w:p>
      <w:pPr>
        <w:pStyle w:val="TextBody"/>
        <w:bidi w:val="0"/>
        <w:jc w:val="center"/>
        <w:rPr>
          <w:rFonts w:ascii="Arial" w:hAnsi="Arial"/>
          <w:b w:val="false"/>
          <w:color w:val="000000"/>
          <w:sz w:val="20"/>
        </w:rPr>
      </w:pPr>
      <w:r>
        <w:rPr>
          <w:rFonts w:ascii="Arial" w:hAnsi="Arial"/>
          <w:b w:val="false"/>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rFonts w:ascii="Arial" w:hAnsi="Arial"/>
          <w:b w:val="false"/>
          <w:color w:val="000000"/>
          <w:sz w:val="20"/>
        </w:rPr>
      </w:pPr>
      <w:r>
        <w:rPr>
          <w:rFonts w:ascii="Arial" w:hAnsi="Arial"/>
          <w:b w:val="false"/>
          <w:color w:val="000000"/>
          <w:sz w:val="20"/>
        </w:rPr>
        <w:t>Other than customary prosecution proceedings before the USPTO and customary licensing application proceedings with federal and state regulatory authorities, no action, suit, litigation, or proceeding of or before any arbitrator or governmental or regulatory authority is pending or, to the Knowledge of Borrower threatened, by or against Borrower or against any of its property or assets which could reasonably be expected to result in a Material Adverse Change;</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pPr>
      <w:r>
        <w:rPr>
          <w:rFonts w:ascii="Arial" w:hAnsi="Arial"/>
          <w:b w:val="false"/>
          <w:color w:val="000000"/>
          <w:sz w:val="20"/>
        </w:rPr>
        <w:t>To Borrower’s Knowledge, no facilities or properties leased or operated by Borrower contains any “hazardous materials” in amount or concentrations that could constitute a violation of any federal, state or local law, rule, regulation, order or permit (the “</w:t>
      </w:r>
      <w:r>
        <w:rPr>
          <w:rFonts w:ascii="Arial" w:hAnsi="Arial"/>
          <w:b w:val="false"/>
          <w:color w:val="000000"/>
          <w:sz w:val="20"/>
          <w:u w:val="single"/>
        </w:rPr>
        <w:t>Environmental Laws</w:t>
      </w:r>
      <w:r>
        <w:rPr>
          <w:color w:val="000000"/>
        </w:rPr>
        <w:t>”</w:t>
      </w:r>
      <w:r>
        <w:rPr>
          <w:rFonts w:ascii="Arial" w:hAnsi="Arial"/>
          <w:b w:val="false"/>
          <w:color w:val="000000"/>
          <w:sz w:val="20"/>
        </w:rPr>
        <w:t>). Borrower has not received notice of any suspected or actual violations of any material Environmental Laws and Borrower’s business has been operated in conformity with all Environmental Laws in all material respects;</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rFonts w:ascii="Arial" w:hAnsi="Arial"/>
          <w:b w:val="false"/>
          <w:color w:val="000000"/>
          <w:sz w:val="20"/>
        </w:rPr>
      </w:pPr>
      <w:r>
        <w:rPr>
          <w:rFonts w:ascii="Arial" w:hAnsi="Arial"/>
          <w:b w:val="false"/>
          <w:color w:val="000000"/>
          <w:sz w:val="20"/>
        </w:rPr>
        <w:t>Borrower has no Subsidiaries other than those listed on the Perfection Certificate. Neither Borrower nor any Subsidiary has done business in the past 5 years under any name other than that specified on the Perfection Certificate;</w:t>
      </w:r>
    </w:p>
    <w:p>
      <w:pPr>
        <w:pStyle w:val="TextBody"/>
        <w:bidi w:val="0"/>
        <w:spacing w:before="0" w:after="240"/>
        <w:jc w:val="both"/>
        <w:rPr>
          <w:rFonts w:ascii="Arial" w:hAnsi="Arial"/>
          <w:b w:val="false"/>
          <w:color w:val="000000"/>
          <w:sz w:val="20"/>
        </w:rPr>
      </w:pPr>
      <w:r>
        <w:rPr>
          <w:rFonts w:ascii="Arial" w:hAnsi="Arial"/>
          <w:b w:val="false"/>
          <w:color w:val="000000"/>
          <w:sz w:val="20"/>
        </w:rPr>
        <w:t>(n)</w:t>
      </w:r>
    </w:p>
    <w:p>
      <w:pPr>
        <w:pStyle w:val="TextBody"/>
        <w:bidi w:val="0"/>
        <w:spacing w:before="0" w:after="240"/>
        <w:jc w:val="both"/>
        <w:rPr>
          <w:rFonts w:ascii="Arial" w:hAnsi="Arial"/>
          <w:b w:val="false"/>
          <w:color w:val="000000"/>
          <w:sz w:val="20"/>
        </w:rPr>
      </w:pPr>
      <w:r>
        <w:rPr>
          <w:rFonts w:ascii="Arial" w:hAnsi="Arial"/>
          <w:b w:val="false"/>
          <w:color w:val="000000"/>
          <w:sz w:val="20"/>
        </w:rPr>
        <w:t>To the best of Borrower’s Knowledge, as of the date hereof and at all times throughout the term of this Agreement, including after giving effect to any transfers of interests permitted pursuant to the Loan Documents, (1) none of the funds or other assets of Borrower, any of their Affiliates constitute (or will constitute) property of, or are (or will be) beneficially owned, directly or indirectly, by any Blocked Person; (2) no Blocked Person has (or will have) any interest of any nature whatsoever in Borrower, in their Affiliates, with the result that the investment in the respective party (whether directly or indirectly), is prohibited by applicable law or the Loans are in violation of applicable law; and (3) none of the funds of Borrower, or of their Affiliates have been (or will be) derived from any unlawful activity with the result that the investment in the respective party (whether directly or indirectly), is prohibited by applicable law or the Loans are in violation of applicable law;</w:t>
      </w:r>
    </w:p>
    <w:p>
      <w:pPr>
        <w:pStyle w:val="TextBody"/>
        <w:bidi w:val="0"/>
        <w:spacing w:before="0" w:after="240"/>
        <w:jc w:val="both"/>
        <w:rPr>
          <w:rFonts w:ascii="Arial" w:hAnsi="Arial"/>
          <w:b w:val="false"/>
          <w:color w:val="000000"/>
          <w:sz w:val="20"/>
        </w:rPr>
      </w:pPr>
      <w:r>
        <w:rPr>
          <w:rFonts w:ascii="Arial" w:hAnsi="Arial"/>
          <w:b w:val="false"/>
          <w:color w:val="000000"/>
          <w:sz w:val="20"/>
        </w:rPr>
        <w:t>(o)</w:t>
      </w:r>
    </w:p>
    <w:p>
      <w:pPr>
        <w:pStyle w:val="TextBody"/>
        <w:bidi w:val="0"/>
        <w:spacing w:before="0" w:after="240"/>
        <w:jc w:val="both"/>
        <w:rPr>
          <w:rFonts w:ascii="Arial" w:hAnsi="Arial"/>
          <w:b w:val="false"/>
          <w:color w:val="000000"/>
          <w:sz w:val="20"/>
        </w:rPr>
      </w:pPr>
      <w:r>
        <w:rPr>
          <w:rFonts w:ascii="Arial" w:hAnsi="Arial"/>
          <w:b w:val="false"/>
          <w:color w:val="000000"/>
          <w:sz w:val="20"/>
        </w:rPr>
        <w:t>To Borrower’s Knowledge, the Property of Borrower and the Collateral are insured with financially sound and reputable insurance companies in such amounts, with such deductibles and covering such risks as are customarily carried by companies engaged in similar businesses and owning similar properties in localities where the Borrower operates;</w:t>
      </w:r>
    </w:p>
    <w:p>
      <w:pPr>
        <w:pStyle w:val="TextBody"/>
        <w:bidi w:val="0"/>
        <w:spacing w:before="0" w:after="240"/>
        <w:jc w:val="both"/>
        <w:rPr>
          <w:rFonts w:ascii="Arial" w:hAnsi="Arial"/>
          <w:b w:val="false"/>
          <w:color w:val="000000"/>
          <w:sz w:val="20"/>
        </w:rPr>
      </w:pPr>
      <w:r>
        <w:rPr>
          <w:rFonts w:ascii="Arial" w:hAnsi="Arial"/>
          <w:b w:val="false"/>
          <w:color w:val="000000"/>
          <w:sz w:val="20"/>
        </w:rPr>
        <w:t>(p)</w:t>
      </w:r>
    </w:p>
    <w:p>
      <w:pPr>
        <w:pStyle w:val="TextBody"/>
        <w:bidi w:val="0"/>
        <w:spacing w:before="0" w:after="240"/>
        <w:jc w:val="both"/>
        <w:rPr>
          <w:rFonts w:ascii="Arial" w:hAnsi="Arial"/>
          <w:b w:val="false"/>
          <w:color w:val="000000"/>
          <w:sz w:val="20"/>
        </w:rPr>
      </w:pPr>
      <w:r>
        <w:rPr>
          <w:rFonts w:ascii="Arial" w:hAnsi="Arial"/>
          <w:b w:val="false"/>
          <w:color w:val="000000"/>
          <w:sz w:val="20"/>
        </w:rPr>
        <w:t>To Borrower’s Knowledge, Borrower owns, or is licensed to use, all Intellectual Property necessary for the conduct of its business as currently conducted or proposed to be conducted. No material claim has been asserted and is pending by any other person or entity challenging the use, validity or effectiveness of any Intellectual Property, nor does the Borrower have Knowledge of any basis for any such claim;</w:t>
      </w:r>
    </w:p>
    <w:p>
      <w:pPr>
        <w:pStyle w:val="TextBody"/>
        <w:bidi w:val="0"/>
        <w:spacing w:before="0" w:after="240"/>
        <w:jc w:val="both"/>
        <w:rPr>
          <w:rFonts w:ascii="Arial" w:hAnsi="Arial"/>
          <w:b w:val="false"/>
          <w:color w:val="000000"/>
          <w:sz w:val="20"/>
        </w:rPr>
      </w:pPr>
      <w:r>
        <w:rPr>
          <w:rFonts w:ascii="Arial" w:hAnsi="Arial"/>
          <w:b w:val="false"/>
          <w:color w:val="000000"/>
          <w:sz w:val="20"/>
        </w:rPr>
        <w:t>(q)</w:t>
      </w:r>
    </w:p>
    <w:p>
      <w:pPr>
        <w:pStyle w:val="TextBody"/>
        <w:bidi w:val="0"/>
        <w:spacing w:before="0" w:after="240"/>
        <w:jc w:val="both"/>
        <w:rPr>
          <w:rFonts w:ascii="Arial" w:hAnsi="Arial"/>
          <w:b w:val="false"/>
          <w:color w:val="000000"/>
          <w:sz w:val="20"/>
        </w:rPr>
      </w:pPr>
      <w:r>
        <w:rPr>
          <w:rFonts w:ascii="Arial" w:hAnsi="Arial"/>
          <w:b w:val="false"/>
          <w:color w:val="000000"/>
          <w:sz w:val="20"/>
        </w:rPr>
        <w:t>Borrower and each Subsidiary has filed all federal, state and other tax returns that are required to be filed and has paid all taxes shown thereon to be due, together with applicable interest and penalties, and all other taxes, fees or other charges imposed on it or any of its property by any governmental or regulatory authority except (a) to the extent such taxes, fees and/or other charges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$250,000 at any time. No tax Liens have been filed, and, to the Knowledge of Borrower, no claim is being asserted, with respect to any such tax, fee or other charge other than Permitted Liens. Neither Borrower nor any Subsidiary is a party to any tax sharing agreement;</w:t>
      </w:r>
    </w:p>
    <w:p>
      <w:pPr>
        <w:pStyle w:val="TextBody"/>
        <w:bidi w:val="0"/>
        <w:spacing w:before="0" w:after="240"/>
        <w:jc w:val="both"/>
        <w:rPr>
          <w:rFonts w:ascii="Arial" w:hAnsi="Arial"/>
          <w:b w:val="false"/>
          <w:color w:val="000000"/>
          <w:sz w:val="20"/>
        </w:rPr>
      </w:pPr>
      <w:r>
        <w:rPr>
          <w:rFonts w:ascii="Arial" w:hAnsi="Arial"/>
          <w:b w:val="false"/>
          <w:color w:val="000000"/>
          <w:sz w:val="20"/>
        </w:rPr>
        <w:t>(r)</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This Agreement creates in favor of Administrative Agent, for the benefit of the Lenders, a legal, valid and continuing and enforceable security interest in the Collateral, the enforceability of which is subject to applicable bankruptcy, insolvency, reorganization, moratorium or other laws affecting creditor’s rights generally and subject to general principles of equity. To the Knowledge of Borrower, upon Administrative Agent filing UCC-1 financing statements with the central filing location in the state of Borrower’s formation or incorporation and/or the obtaining of “control” (as defined under the UCC) through </w:t>
      </w:r>
    </w:p>
    <w:p>
      <w:pPr>
        <w:pStyle w:val="TextBody"/>
        <w:bidi w:val="0"/>
        <w:jc w:val="center"/>
        <w:rPr>
          <w:rFonts w:ascii="Arial" w:hAnsi="Arial"/>
          <w:b w:val="false"/>
          <w:color w:val="000000"/>
          <w:sz w:val="20"/>
        </w:rPr>
      </w:pPr>
      <w:r>
        <w:rPr>
          <w:rFonts w:ascii="Arial" w:hAnsi="Arial"/>
          <w:b w:val="false"/>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an Account Control Agreement or otherwise, Administrative Agent, for the benefit of the Lenders, will have a perfected first priority Lien on and security interest in the Collateral subject to Permitted Liens;</w:t>
      </w:r>
    </w:p>
    <w:p>
      <w:pPr>
        <w:pStyle w:val="TextBody"/>
        <w:bidi w:val="0"/>
        <w:spacing w:before="0" w:after="240"/>
        <w:jc w:val="both"/>
        <w:rPr>
          <w:rFonts w:ascii="Arial" w:hAnsi="Arial"/>
          <w:b w:val="false"/>
          <w:color w:val="000000"/>
          <w:sz w:val="20"/>
        </w:rPr>
      </w:pPr>
      <w:r>
        <w:rPr>
          <w:rFonts w:ascii="Arial" w:hAnsi="Arial"/>
          <w:b w:val="false"/>
          <w:color w:val="000000"/>
          <w:sz w:val="20"/>
        </w:rPr>
        <w:t>(s)</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Borrower and its Subsidiaries, on a consolidated basis are, and after giving effect to the incurrence of the debt evidenced by this Agreement and all obligations hereunder will be, Solvent; </w:t>
      </w:r>
    </w:p>
    <w:p>
      <w:pPr>
        <w:pStyle w:val="TextBody"/>
        <w:bidi w:val="0"/>
        <w:spacing w:before="0" w:after="240"/>
        <w:jc w:val="both"/>
        <w:rPr>
          <w:rFonts w:ascii="Arial" w:hAnsi="Arial"/>
          <w:b w:val="false"/>
          <w:color w:val="000000"/>
          <w:sz w:val="20"/>
        </w:rPr>
      </w:pPr>
      <w:r>
        <w:rPr>
          <w:rFonts w:ascii="Arial" w:hAnsi="Arial"/>
          <w:b w:val="false"/>
          <w:color w:val="000000"/>
          <w:sz w:val="20"/>
        </w:rPr>
        <w:t>(t)</w:t>
      </w:r>
    </w:p>
    <w:p>
      <w:pPr>
        <w:pStyle w:val="TextBody"/>
        <w:bidi w:val="0"/>
        <w:spacing w:before="0" w:after="240"/>
        <w:jc w:val="both"/>
        <w:rPr>
          <w:rFonts w:ascii="Arial" w:hAnsi="Arial"/>
          <w:b w:val="false"/>
          <w:color w:val="000000"/>
          <w:sz w:val="20"/>
        </w:rPr>
      </w:pPr>
      <w:r>
        <w:rPr>
          <w:rFonts w:ascii="Arial" w:hAnsi="Arial"/>
          <w:b w:val="false"/>
          <w:color w:val="000000"/>
          <w:sz w:val="20"/>
        </w:rPr>
        <w:t>(i) The Perfection Certificate lists all of Borrower’s and each Subsidiary’s patents and pending applications, registered trademarks and pending applications, registered domain names, registered copyrights and pending applications and material Intellectual Property licenses owned by Borrower and each Subsidiary; (ii) all of Borrower’s and each Subsidiary’s Intellectual Property that is material to its business is valid, subsisting, unexpired and enforceable and has not been abandoned; (iii) except as described on the Perfection Certificate and except for Permitted Liens, Borrower and each Subsidiary is the exclusive owner of all right, title and interest in and to, or has the right to use, all of such Borrower’s or Subsidiary’s Intellectual Property that is material to its business; (iv) consummation and performance of this Agreement will not result in the invalidity, unenforceability or impairment of any of Borrower’s or any Subsidiary’s Intellectual Property that is material to its business, or in default or termination of any material Intellectual Property license of Borrower or any Subsidiary; (v) except as described on the Perfection Certificate or in connection with customary prosecution proceedings before the USPTO, there are no outstanding holdings, decisions, consents, settlements, decrees, orders, injunctions, rulings or judgments that would limit, cancel or question the validity or enforceability of any of Borrower’s or any Subsidiary’s Intellectual Property that is material to its business or Borrower’s or such Subsidiary’s rights therein or use thereof; (vi) to Borrower’s Knowledge, except as described on the Perfection Certificate, the operation of Borrower’s and each Subsidiary’s business and Borrower’s or such Subsidiary’s use of Intellectual Property material to its business in connection therewith, does not infringe or misappropriate the intellectual property rights of any other person or entity; (vii) except as described in the Perfection Certificate or in connection with customary prosecution proceedings before the USPTO, no action or proceeding is pending or, to Borrower’s Knowledge, threatened (1) seeking to limit, cancel or question the validity of any of Borrower’s or any Subsidiary’s Intellectual Property, (2) which, if adversely determined, could be reasonably expected to cause a Material Adverse Change on the value of any such Intellectual Property or (3) alleging that any such Intellectual Property, or Borrower’s or such Subsidiary’s use thereof in the operation of its business, infringes or misappropriates the intellectual property rights of any person or entity and (viii) to Borrower’s Knowledge, there has been no Material Adverse Change on Borrower’s or any Subsidiary’s rights in its material trade secrets as a result of any unauthorized use, disclosure or appropriation by or to any person, including Borrower’s and each Subsidiary’s current and former employees, contractors and agents; and</w:t>
      </w:r>
    </w:p>
    <w:p>
      <w:pPr>
        <w:pStyle w:val="TextBody"/>
        <w:bidi w:val="0"/>
        <w:spacing w:before="0" w:after="240"/>
        <w:jc w:val="both"/>
        <w:rPr>
          <w:rFonts w:ascii="Arial" w:hAnsi="Arial"/>
          <w:b w:val="false"/>
          <w:color w:val="000000"/>
          <w:sz w:val="20"/>
        </w:rPr>
      </w:pPr>
      <w:r>
        <w:rPr>
          <w:rFonts w:ascii="Arial" w:hAnsi="Arial"/>
          <w:b w:val="false"/>
          <w:color w:val="000000"/>
          <w:sz w:val="20"/>
        </w:rPr>
        <w:t>(u)</w:t>
      </w:r>
    </w:p>
    <w:p>
      <w:pPr>
        <w:pStyle w:val="TextBody"/>
        <w:bidi w:val="0"/>
        <w:spacing w:before="0" w:after="240"/>
        <w:jc w:val="both"/>
        <w:rPr>
          <w:rFonts w:ascii="Arial" w:hAnsi="Arial"/>
          <w:b w:val="false"/>
          <w:color w:val="000000"/>
          <w:sz w:val="20"/>
        </w:rPr>
      </w:pPr>
      <w:r>
        <w:rPr>
          <w:rFonts w:ascii="Arial" w:hAnsi="Arial"/>
          <w:b w:val="false"/>
          <w:color w:val="000000"/>
          <w:sz w:val="20"/>
        </w:rPr>
        <w:t>No statement or information contained in this Agreement or any document or certificate executed or delivered, or hereafter delivered, in connection with this Agreement or the Loans contains or will contain any untrue statement of a material fact or omits to state a material fact necessary to make the statements contained herein or therein not misleading (it being recognized by Lender that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pStyle w:val="TextBody"/>
        <w:bidi w:val="0"/>
        <w:spacing w:before="0" w:after="240"/>
        <w:jc w:val="both"/>
        <w:rPr>
          <w:rFonts w:ascii="Arial" w:hAnsi="Arial"/>
          <w:b w:val="false"/>
          <w:color w:val="000000"/>
          <w:sz w:val="20"/>
        </w:rPr>
      </w:pPr>
      <w:r>
        <w:rPr>
          <w:rFonts w:ascii="Arial" w:hAnsi="Arial"/>
          <w:b w:val="false"/>
          <w:color w:val="000000"/>
          <w:sz w:val="20"/>
        </w:rPr>
        <w:t>4.2</w:t>
      </w:r>
    </w:p>
    <w:p>
      <w:pPr>
        <w:pStyle w:val="TextBody"/>
        <w:bidi w:val="0"/>
        <w:spacing w:before="0" w:after="240"/>
        <w:jc w:val="both"/>
        <w:rPr/>
      </w:pPr>
      <w:r>
        <w:rPr>
          <w:rFonts w:ascii="Arial" w:hAnsi="Arial"/>
          <w:b w:val="false"/>
          <w:color w:val="000000"/>
          <w:sz w:val="20"/>
          <w:u w:val="single"/>
        </w:rPr>
        <w:t>Affirmative Covenants of Borrower</w:t>
      </w:r>
      <w:r>
        <w:rPr>
          <w:rFonts w:ascii="Arial" w:hAnsi="Arial"/>
          <w:b w:val="false"/>
          <w:color w:val="000000"/>
          <w:sz w:val="20"/>
        </w:rPr>
        <w:t>. Borrower shall, and shall cause each of its Subsidiaries to, do all of the following, so long as any of the Loan Documents remain outstanding:</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maintain its corporate existence and its good standing in its jurisdiction of incorporation and maintain qualification in each jurisdiction in which the failure to so qualify could reasonably be expected to cause a Material Adverse Change;</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maintain in force all licenses, approvals, agreements and Governmental Approvals, the loss of which could reasonably be expected to cause a Material Adverse Change;</w:t>
      </w:r>
    </w:p>
    <w:p>
      <w:pPr>
        <w:pStyle w:val="TextBody"/>
        <w:bidi w:val="0"/>
        <w:jc w:val="center"/>
        <w:rPr>
          <w:rFonts w:ascii="Arial" w:hAnsi="Arial"/>
          <w:b w:val="false"/>
          <w:color w:val="000000"/>
          <w:sz w:val="20"/>
        </w:rPr>
      </w:pPr>
      <w:r>
        <w:rPr>
          <w:rFonts w:ascii="Arial" w:hAnsi="Arial"/>
          <w:b w:val="false"/>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comply with all statutes, laws, ordinances and government rules and regulations to which it is subject, noncompliance with which could reasonably be expected to cause a Material Adverse Change;</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if required by applicable law, pay and discharge or cause to be paid and discharged, all sales, use, rental and personal property or similar taxes and fees (excluding any taxes on any Lender’s net income) which arise and are due prior to each Advance in connection with the Collateral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$250,000 at any time;</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assist Administrative Agent in obtaining and filing UCC-1 financing statements against the Collateral and Account Control Agreements to the extent that Administrative Agent deems such action necessary or desirable;</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deliver the following to Administrative Agent: </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as soon as available, but no later than thirty (30) days after the last day of each month:</w:t>
      </w:r>
    </w:p>
    <w:p>
      <w:pPr>
        <w:pStyle w:val="TextBody"/>
        <w:bidi w:val="0"/>
        <w:spacing w:before="0" w:after="240"/>
        <w:jc w:val="left"/>
        <w:rPr>
          <w:rFonts w:ascii="Arial" w:hAnsi="Arial"/>
          <w:b w:val="false"/>
          <w:color w:val="000000"/>
          <w:sz w:val="20"/>
        </w:rPr>
      </w:pPr>
      <w:r>
        <w:rPr>
          <w:rFonts w:ascii="Arial" w:hAnsi="Arial"/>
          <w:b w:val="false"/>
          <w:color w:val="000000"/>
          <w:sz w:val="20"/>
        </w:rPr>
        <w:t>(A)</w:t>
      </w:r>
    </w:p>
    <w:p>
      <w:pPr>
        <w:pStyle w:val="TextBody"/>
        <w:bidi w:val="0"/>
        <w:spacing w:before="0" w:after="240"/>
        <w:jc w:val="left"/>
        <w:rPr>
          <w:rFonts w:ascii="Arial" w:hAnsi="Arial"/>
          <w:b w:val="false"/>
          <w:color w:val="000000"/>
          <w:sz w:val="20"/>
        </w:rPr>
      </w:pPr>
      <w:r>
        <w:rPr>
          <w:rFonts w:ascii="Arial" w:hAnsi="Arial"/>
          <w:b w:val="false"/>
          <w:color w:val="000000"/>
          <w:sz w:val="20"/>
        </w:rPr>
        <w:t>copies of Borrower’s bank statements on all Deposit Accounts</w:t>
      </w:r>
    </w:p>
    <w:p>
      <w:pPr>
        <w:pStyle w:val="TextBody"/>
        <w:bidi w:val="0"/>
        <w:spacing w:before="0" w:after="240"/>
        <w:jc w:val="left"/>
        <w:rPr>
          <w:rFonts w:ascii="Arial" w:hAnsi="Arial"/>
          <w:b w:val="false"/>
          <w:color w:val="000000"/>
          <w:sz w:val="20"/>
        </w:rPr>
      </w:pPr>
      <w:r>
        <w:rPr>
          <w:rFonts w:ascii="Arial" w:hAnsi="Arial"/>
          <w:b w:val="false"/>
          <w:color w:val="000000"/>
          <w:sz w:val="20"/>
        </w:rPr>
        <w:t>(B)</w:t>
      </w:r>
    </w:p>
    <w:p>
      <w:pPr>
        <w:pStyle w:val="TextBody"/>
        <w:bidi w:val="0"/>
        <w:spacing w:before="0" w:after="240"/>
        <w:jc w:val="left"/>
        <w:rPr>
          <w:rFonts w:ascii="Arial" w:hAnsi="Arial"/>
          <w:b w:val="false"/>
          <w:color w:val="000000"/>
          <w:sz w:val="20"/>
        </w:rPr>
      </w:pPr>
      <w:r>
        <w:rPr>
          <w:rFonts w:ascii="Arial" w:hAnsi="Arial"/>
          <w:b w:val="false"/>
          <w:color w:val="000000"/>
          <w:sz w:val="20"/>
        </w:rPr>
        <w:t>copies of any material Governmental Approvals obtained by Borrower or any of its Subsidiaries;</w:t>
      </w:r>
    </w:p>
    <w:p>
      <w:pPr>
        <w:pStyle w:val="TextBody"/>
        <w:bidi w:val="0"/>
        <w:spacing w:before="0" w:after="240"/>
        <w:jc w:val="left"/>
        <w:rPr>
          <w:rFonts w:ascii="Arial" w:hAnsi="Arial"/>
          <w:b w:val="false"/>
          <w:color w:val="000000"/>
          <w:sz w:val="20"/>
        </w:rPr>
      </w:pPr>
      <w:r>
        <w:rPr>
          <w:rFonts w:ascii="Arial" w:hAnsi="Arial"/>
          <w:b w:val="false"/>
          <w:color w:val="000000"/>
          <w:sz w:val="20"/>
        </w:rPr>
        <w:t>(C)</w:t>
      </w:r>
    </w:p>
    <w:p>
      <w:pPr>
        <w:pStyle w:val="TextBody"/>
        <w:bidi w:val="0"/>
        <w:spacing w:before="0" w:after="240"/>
        <w:jc w:val="left"/>
        <w:rPr/>
      </w:pPr>
      <w:r>
        <w:rPr>
          <w:rFonts w:ascii="Arial" w:hAnsi="Arial"/>
          <w:b w:val="false"/>
          <w:color w:val="000000"/>
          <w:sz w:val="20"/>
        </w:rPr>
        <w:t xml:space="preserve">written notice of the commencement of, and any material development in, the proceedings contemplated by </w:t>
      </w:r>
      <w:r>
        <w:rPr>
          <w:rFonts w:ascii="Arial" w:hAnsi="Arial"/>
          <w:b w:val="false"/>
          <w:color w:val="000000"/>
          <w:sz w:val="20"/>
          <w:u w:val="single"/>
        </w:rPr>
        <w:t>Section 4.2(i)</w:t>
      </w:r>
      <w:r>
        <w:rPr>
          <w:color w:val="000000"/>
        </w:rPr>
        <w:t xml:space="preserve"> </w:t>
      </w:r>
      <w:r>
        <w:rPr>
          <w:rFonts w:ascii="Arial" w:hAnsi="Arial"/>
          <w:b w:val="false"/>
          <w:color w:val="000000"/>
          <w:sz w:val="20"/>
        </w:rPr>
        <w:t>hereof;</w:t>
      </w:r>
    </w:p>
    <w:p>
      <w:pPr>
        <w:pStyle w:val="TextBody"/>
        <w:bidi w:val="0"/>
        <w:spacing w:before="0" w:after="240"/>
        <w:jc w:val="left"/>
        <w:rPr>
          <w:rFonts w:ascii="Arial" w:hAnsi="Arial"/>
          <w:b w:val="false"/>
          <w:color w:val="000000"/>
          <w:sz w:val="20"/>
        </w:rPr>
      </w:pPr>
      <w:r>
        <w:rPr>
          <w:rFonts w:ascii="Arial" w:hAnsi="Arial"/>
          <w:b w:val="false"/>
          <w:color w:val="000000"/>
          <w:sz w:val="20"/>
        </w:rPr>
        <w:t>(D)</w:t>
      </w:r>
    </w:p>
    <w:p>
      <w:pPr>
        <w:pStyle w:val="TextBody"/>
        <w:bidi w:val="0"/>
        <w:spacing w:before="0" w:after="240"/>
        <w:jc w:val="left"/>
        <w:rPr>
          <w:rFonts w:ascii="Arial" w:hAnsi="Arial"/>
          <w:b w:val="false"/>
          <w:color w:val="000000"/>
          <w:sz w:val="20"/>
        </w:rPr>
      </w:pPr>
      <w:r>
        <w:rPr>
          <w:rFonts w:ascii="Arial" w:hAnsi="Arial"/>
          <w:b w:val="false"/>
          <w:color w:val="000000"/>
          <w:sz w:val="20"/>
        </w:rPr>
        <w:t>a duly completed Compliance Certificate signed by a Responsible Officer of Borrower, certifying that as of the end of such month Borrower was in full compliance with all of the terms and conditions of this Agreement;</w:t>
      </w:r>
    </w:p>
    <w:p>
      <w:pPr>
        <w:pStyle w:val="TextBody"/>
        <w:bidi w:val="0"/>
        <w:spacing w:before="0" w:after="240"/>
        <w:jc w:val="left"/>
        <w:rPr>
          <w:rFonts w:ascii="Arial" w:hAnsi="Arial"/>
          <w:b w:val="false"/>
          <w:color w:val="000000"/>
          <w:sz w:val="20"/>
        </w:rPr>
      </w:pPr>
      <w:r>
        <w:rPr>
          <w:rFonts w:ascii="Arial" w:hAnsi="Arial"/>
          <w:b w:val="false"/>
          <w:color w:val="000000"/>
          <w:sz w:val="20"/>
        </w:rPr>
        <w:t>(E)</w:t>
      </w:r>
    </w:p>
    <w:p>
      <w:pPr>
        <w:pStyle w:val="TextBody"/>
        <w:bidi w:val="0"/>
        <w:spacing w:before="0" w:after="240"/>
        <w:jc w:val="left"/>
        <w:rPr>
          <w:rFonts w:ascii="Arial" w:hAnsi="Arial"/>
          <w:b w:val="false"/>
          <w:color w:val="000000"/>
          <w:sz w:val="20"/>
        </w:rPr>
      </w:pPr>
      <w:r>
        <w:rPr>
          <w:rFonts w:ascii="Arial" w:hAnsi="Arial"/>
          <w:b w:val="false"/>
          <w:color w:val="000000"/>
          <w:sz w:val="20"/>
        </w:rPr>
        <w:t>written notice of any litigation or governmental proceedings pending or threatened (in writing) against Borrower or any of its Subsidiaries, which could reasonably be expected to result in damages or costs to Borrower or any of its Subsidiaries in excess of One Million Dollars ($1,000,000.00); and</w:t>
      </w:r>
    </w:p>
    <w:p>
      <w:pPr>
        <w:pStyle w:val="TextBody"/>
        <w:bidi w:val="0"/>
        <w:spacing w:before="0" w:after="240"/>
        <w:jc w:val="left"/>
        <w:rPr>
          <w:rFonts w:ascii="Arial" w:hAnsi="Arial"/>
          <w:b w:val="false"/>
          <w:color w:val="000000"/>
          <w:sz w:val="20"/>
        </w:rPr>
      </w:pPr>
      <w:r>
        <w:rPr>
          <w:rFonts w:ascii="Arial" w:hAnsi="Arial"/>
          <w:b w:val="false"/>
          <w:color w:val="000000"/>
          <w:sz w:val="20"/>
        </w:rPr>
        <w:t>(F)</w:t>
      </w:r>
    </w:p>
    <w:p>
      <w:pPr>
        <w:pStyle w:val="TextBody"/>
        <w:bidi w:val="0"/>
        <w:spacing w:before="0" w:after="240"/>
        <w:jc w:val="left"/>
        <w:rPr>
          <w:rFonts w:ascii="Arial" w:hAnsi="Arial"/>
          <w:b w:val="false"/>
          <w:color w:val="000000"/>
          <w:sz w:val="20"/>
        </w:rPr>
      </w:pPr>
      <w:r>
        <w:rPr>
          <w:rFonts w:ascii="Arial" w:hAnsi="Arial"/>
          <w:b w:val="false"/>
          <w:color w:val="000000"/>
          <w:sz w:val="20"/>
        </w:rPr>
        <w:t>written notice of all returns, recoveries, disputes and claims regarding Inventory that involve more than One Million Dollars ($1,000,000.00) individually or in the aggregate in any calendar year;</w:t>
      </w:r>
    </w:p>
    <w:p>
      <w:pPr>
        <w:pStyle w:val="TextBody"/>
        <w:bidi w:val="0"/>
        <w:spacing w:before="0" w:after="240"/>
        <w:jc w:val="both"/>
        <w:rPr>
          <w:rFonts w:ascii="Arial" w:hAnsi="Arial"/>
          <w:b w:val="false"/>
          <w:color w:val="000000"/>
          <w:sz w:val="20"/>
        </w:rPr>
      </w:pPr>
      <w:r>
        <w:rPr>
          <w:rFonts w:ascii="Arial" w:hAnsi="Arial"/>
          <w:b w:val="false"/>
          <w:color w:val="000000"/>
          <w:sz w:val="20"/>
        </w:rPr>
        <w:t>(ii)</w:t>
      </w:r>
    </w:p>
    <w:p>
      <w:pPr>
        <w:pStyle w:val="TextBody"/>
        <w:bidi w:val="0"/>
        <w:spacing w:before="0" w:after="240"/>
        <w:jc w:val="both"/>
        <w:rPr>
          <w:rFonts w:ascii="Arial" w:hAnsi="Arial"/>
          <w:b w:val="false"/>
          <w:color w:val="000000"/>
          <w:sz w:val="20"/>
        </w:rPr>
      </w:pPr>
      <w:r>
        <w:rPr>
          <w:rFonts w:ascii="Arial" w:hAnsi="Arial"/>
          <w:b w:val="false"/>
          <w:color w:val="000000"/>
          <w:sz w:val="20"/>
        </w:rPr>
        <w:t>within forty five (45) days after the end of each fiscal quarter:</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pPr>
      <w:r>
        <w:rPr>
          <w:rFonts w:ascii="Arial" w:hAnsi="Arial"/>
          <w:b w:val="false"/>
          <w:color w:val="000000"/>
          <w:sz w:val="20"/>
        </w:rPr>
        <w:t xml:space="preserve">unaudited financial statements pertaining to the results of operations for the month then ended covering the consolidated operations of Borrower and its Subsidiaries for such month and certified as true and correct by a Responsible Officer of Borrower, consisting of a consolidated balance sheet, income statement and cash flow statement, prepared in accordance with GAAP applied on a consistent basis subject to normal year end audit adjustments and the absence of footnotes; </w:t>
      </w:r>
      <w:r>
        <w:rPr>
          <w:rFonts w:ascii="Arial" w:hAnsi="Arial"/>
          <w:b w:val="false"/>
          <w:i/>
          <w:color w:val="000000"/>
          <w:sz w:val="20"/>
        </w:rPr>
        <w:t>provided</w:t>
      </w:r>
      <w:r>
        <w:rPr>
          <w:color w:val="000000"/>
        </w:rPr>
        <w:t xml:space="preserve"> </w:t>
      </w:r>
      <w:r>
        <w:rPr>
          <w:rFonts w:ascii="Arial" w:hAnsi="Arial"/>
          <w:b w:val="false"/>
          <w:color w:val="000000"/>
          <w:sz w:val="20"/>
        </w:rPr>
        <w:t>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any updates to Sections 4 (Encumbrances and Liens) and 13 (Indebtedness) of the Perfection Certificate to reflect amendments, modifications and updates to these sections to the </w:t>
      </w:r>
    </w:p>
    <w:p>
      <w:pPr>
        <w:pStyle w:val="TextBody"/>
        <w:bidi w:val="0"/>
        <w:jc w:val="center"/>
        <w:rPr>
          <w:rFonts w:ascii="Arial" w:hAnsi="Arial"/>
          <w:b w:val="false"/>
          <w:color w:val="000000"/>
          <w:sz w:val="20"/>
        </w:rPr>
      </w:pPr>
      <w:r>
        <w:rPr>
          <w:rFonts w:ascii="Arial" w:hAnsi="Arial"/>
          <w:b w:val="false"/>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extent such amendments, modifications and updates are permitted by one or more specific provisions in the Agreement;</w:t>
      </w:r>
      <w:r>
        <w:rPr>
          <w:color w:val="00000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pPr>
      <w:r>
        <w:rPr>
          <w:rFonts w:ascii="Arial" w:hAnsi="Arial"/>
          <w:b w:val="false"/>
          <w:color w:val="000000"/>
          <w:sz w:val="20"/>
        </w:rPr>
        <w:t xml:space="preserve">together with the quarterly financial reports, reports as to the following, in a form acceptable to Administrative Agent: accounts receivable, accounts payable aging, and primary key performance indicators, in each case, in form and substance satisfactory to Administrative Agent; </w:t>
      </w:r>
      <w:r>
        <w:rPr>
          <w:rFonts w:ascii="Arial" w:hAnsi="Arial"/>
          <w:b w:val="false"/>
          <w:i/>
          <w:color w:val="000000"/>
          <w:sz w:val="20"/>
        </w:rPr>
        <w:t>provided</w:t>
      </w:r>
      <w:r>
        <w:rPr>
          <w:color w:val="000000"/>
        </w:rPr>
        <w:t xml:space="preserve"> </w:t>
      </w:r>
      <w:r>
        <w:rPr>
          <w:rFonts w:ascii="Arial" w:hAnsi="Arial"/>
          <w:b w:val="false"/>
          <w:color w:val="000000"/>
          <w:sz w:val="20"/>
        </w:rPr>
        <w:t>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w:t>
      </w:r>
    </w:p>
    <w:p>
      <w:pPr>
        <w:pStyle w:val="TextBody"/>
        <w:bidi w:val="0"/>
        <w:spacing w:before="0" w:after="240"/>
        <w:jc w:val="both"/>
        <w:rPr>
          <w:rFonts w:ascii="Arial" w:hAnsi="Arial"/>
          <w:b w:val="false"/>
          <w:color w:val="000000"/>
          <w:sz w:val="20"/>
        </w:rPr>
      </w:pPr>
      <w:r>
        <w:rPr>
          <w:rFonts w:ascii="Arial" w:hAnsi="Arial"/>
          <w:b w:val="false"/>
          <w:color w:val="000000"/>
          <w:sz w:val="20"/>
        </w:rPr>
        <w:t>(iii)</w:t>
      </w:r>
    </w:p>
    <w:p>
      <w:pPr>
        <w:pStyle w:val="TextBody"/>
        <w:bidi w:val="0"/>
        <w:spacing w:before="0" w:after="240"/>
        <w:jc w:val="both"/>
        <w:rPr>
          <w:rFonts w:ascii="Arial" w:hAnsi="Arial"/>
          <w:b w:val="false"/>
          <w:color w:val="000000"/>
          <w:sz w:val="20"/>
        </w:rPr>
      </w:pPr>
      <w:r>
        <w:rPr>
          <w:rFonts w:ascii="Arial" w:hAnsi="Arial"/>
          <w:b w:val="false"/>
          <w:color w:val="000000"/>
          <w:sz w:val="20"/>
        </w:rPr>
        <w:t>within one hundred eighty (180) days following the end of each fiscal year, a copy of Borrower’s annual, audited financial statements consisting of a consolidated balance sheet, income statement and cash flow statement prepared in conformity with GAAP applied on a basis consistent with that of the preceding fiscal year and presenting fairly Borrower’s financial condition as at the end of that fiscal year and the results of its operations for the twelve (12) month period then ended and certified as true and correct by Borrower’s chief financial officer, together with an unqualified opinion (other than a qualification as to a going concern typical for venture backed companies similar to Borrower) on the financial statements from an independent certified public accounting firm acceptable to Administrative Agent in its reasonable discretion; provided that Borrower’s certified public accounting firm as of the Closing Date, and any such firm of national recognized standing, is acceptable to Administrative Agent; provided further 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w:t>
      </w:r>
    </w:p>
    <w:p>
      <w:pPr>
        <w:pStyle w:val="TextBody"/>
        <w:bidi w:val="0"/>
        <w:spacing w:before="0" w:after="240"/>
        <w:jc w:val="both"/>
        <w:rPr>
          <w:rFonts w:ascii="Arial" w:hAnsi="Arial"/>
          <w:b w:val="false"/>
          <w:color w:val="000000"/>
          <w:sz w:val="20"/>
        </w:rPr>
      </w:pPr>
      <w:r>
        <w:rPr>
          <w:rFonts w:ascii="Arial" w:hAnsi="Arial"/>
          <w:b w:val="false"/>
          <w:color w:val="000000"/>
          <w:sz w:val="20"/>
        </w:rPr>
        <w:t>(iv)</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within thirty (30) days of the effective date or filing date thereof, a copy of any amendment to Borrower’s Operating Documents; provided 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 </w:t>
      </w:r>
    </w:p>
    <w:p>
      <w:pPr>
        <w:pStyle w:val="TextBody"/>
        <w:bidi w:val="0"/>
        <w:spacing w:before="0" w:after="240"/>
        <w:jc w:val="both"/>
        <w:rPr>
          <w:rFonts w:ascii="Arial" w:hAnsi="Arial"/>
          <w:b w:val="false"/>
          <w:color w:val="000000"/>
          <w:sz w:val="20"/>
        </w:rPr>
      </w:pPr>
      <w:r>
        <w:rPr>
          <w:rFonts w:ascii="Arial" w:hAnsi="Arial"/>
          <w:b w:val="false"/>
          <w:color w:val="000000"/>
          <w:sz w:val="20"/>
        </w:rPr>
        <w:t>(v)</w:t>
      </w:r>
    </w:p>
    <w:p>
      <w:pPr>
        <w:pStyle w:val="TextBody"/>
        <w:bidi w:val="0"/>
        <w:spacing w:before="0" w:after="240"/>
        <w:jc w:val="both"/>
        <w:rPr>
          <w:rFonts w:ascii="Arial" w:hAnsi="Arial"/>
          <w:b w:val="false"/>
          <w:color w:val="000000"/>
          <w:sz w:val="20"/>
        </w:rPr>
      </w:pPr>
      <w:r>
        <w:rPr>
          <w:rFonts w:ascii="Arial" w:hAnsi="Arial"/>
          <w:b w:val="false"/>
          <w:color w:val="000000"/>
          <w:sz w:val="20"/>
        </w:rPr>
        <w:t>as requested by Administrative Agent, have Borrower’s chief financial or chief operating officer participate in quarterly management update calls with Administrative Agent to discuss such information about the operations and financial condition of the business of the Borrower as Administrative Agent shall reasonably inquire into, at such times reasonably scheduled by Administrative Agent; and</w:t>
      </w:r>
    </w:p>
    <w:p>
      <w:pPr>
        <w:pStyle w:val="TextBody"/>
        <w:bidi w:val="0"/>
        <w:spacing w:before="0" w:after="240"/>
        <w:jc w:val="both"/>
        <w:rPr>
          <w:rFonts w:ascii="Arial" w:hAnsi="Arial"/>
          <w:b w:val="false"/>
          <w:color w:val="000000"/>
          <w:sz w:val="20"/>
        </w:rPr>
      </w:pPr>
      <w:r>
        <w:rPr>
          <w:rFonts w:ascii="Arial" w:hAnsi="Arial"/>
          <w:b w:val="false"/>
          <w:color w:val="000000"/>
          <w:sz w:val="20"/>
        </w:rPr>
        <w:t>(vi)</w:t>
      </w:r>
    </w:p>
    <w:p>
      <w:pPr>
        <w:pStyle w:val="TextBody"/>
        <w:bidi w:val="0"/>
        <w:spacing w:before="0" w:after="240"/>
        <w:jc w:val="both"/>
        <w:rPr>
          <w:rFonts w:ascii="Arial" w:hAnsi="Arial"/>
          <w:b w:val="false"/>
          <w:color w:val="000000"/>
          <w:sz w:val="20"/>
        </w:rPr>
      </w:pPr>
      <w:r>
        <w:rPr>
          <w:rFonts w:ascii="Arial" w:hAnsi="Arial"/>
          <w:b w:val="false"/>
          <w:color w:val="000000"/>
          <w:sz w:val="20"/>
        </w:rPr>
        <w:t>deliver such other financial information as Administrative Agent shall reasonably request from time-to-time.</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deliver to Administrative Agent within ten (10) days after approval by the Borrower’s board of directors, and in any event no later than within sixty (60) days after the end of each fiscal year of Borrower, annual operating budgets and financial projections approved by the Borrower’s board of directors, in a form acceptable to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pPr>
      <w:r>
        <w:rPr>
          <w:rFonts w:ascii="Arial" w:hAnsi="Arial"/>
          <w:b w:val="false"/>
          <w:color w:val="000000"/>
          <w:sz w:val="20"/>
        </w:rPr>
        <w:t>deliver to Administrative Agent, promptly as they are available and in any event: (i) at the time of filing of Borrower’s Form 10</w:t>
        <w:noBreakHyphen/>
        <w:t>K with the Securities and Exchange Commission after the end of each fiscal year of Borrower, the financial statements of Borrower filed with such Form 10</w:t>
        <w:noBreakHyphen/>
        <w:t>K; and (ii) at the time of filing of Borrower’s Form 10</w:t>
        <w:noBreakHyphen/>
        <w:t>Q with the Securities and Exchange Commission after the end of each of the first three fiscal quarters of Borrower, the consolidated financial statements of Borrower filed with such Form 10</w:t>
        <w:noBreakHyphen/>
        <w:t xml:space="preserve">Q; </w:t>
      </w:r>
      <w:r>
        <w:rPr>
          <w:rFonts w:ascii="Arial" w:hAnsi="Arial"/>
          <w:b w:val="false"/>
          <w:i/>
          <w:color w:val="000000"/>
          <w:sz w:val="20"/>
        </w:rPr>
        <w:t>provided</w:t>
      </w:r>
      <w:r>
        <w:rPr>
          <w:color w:val="000000"/>
        </w:rPr>
        <w:t xml:space="preserve"> </w:t>
      </w:r>
      <w:r>
        <w:rPr>
          <w:rFonts w:ascii="Arial" w:hAnsi="Arial"/>
          <w:b w:val="false"/>
          <w:color w:val="000000"/>
          <w:sz w:val="20"/>
        </w:rPr>
        <w:t>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deliver to Administrative Agent (A) promptly upon becoming available, copies of all statements, reports and notices sent or made available generally by Borrower to its security holders and (B) immediately upon receipt of written notice thereof, a report of any material legal actions pending or </w:t>
      </w:r>
    </w:p>
    <w:p>
      <w:pPr>
        <w:pStyle w:val="TextBody"/>
        <w:bidi w:val="0"/>
        <w:jc w:val="center"/>
        <w:rPr>
          <w:rFonts w:ascii="Arial" w:hAnsi="Arial"/>
          <w:b w:val="false"/>
          <w:color w:val="000000"/>
          <w:sz w:val="20"/>
        </w:rPr>
      </w:pPr>
      <w:r>
        <w:rPr>
          <w:rFonts w:ascii="Arial" w:hAnsi="Arial"/>
          <w:b w:val="false"/>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 xml:space="preserve">threatened against Borrower or any of its Subsidiaries or the commencement of any action, proceeding or governmental investigation involving Borrower or any of its Subsidiaries is commenced that is reasonably expected to result in damages or costs to Borrower or any of its Subsidiaries in excess of One Million Dollars ($1,000,000.00); </w:t>
      </w:r>
      <w:r>
        <w:rPr>
          <w:rFonts w:ascii="Arial" w:hAnsi="Arial"/>
          <w:b w:val="false"/>
          <w:i/>
          <w:color w:val="000000"/>
          <w:sz w:val="20"/>
        </w:rPr>
        <w:t>provided</w:t>
      </w:r>
      <w:r>
        <w:rPr>
          <w:color w:val="000000"/>
        </w:rPr>
        <w:t xml:space="preserve"> </w:t>
      </w:r>
      <w:r>
        <w:rPr>
          <w:rFonts w:ascii="Arial" w:hAnsi="Arial"/>
          <w:b w:val="false"/>
          <w:color w:val="000000"/>
          <w:sz w:val="20"/>
        </w:rPr>
        <w:t>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rFonts w:ascii="Arial" w:hAnsi="Arial"/>
          <w:b w:val="false"/>
          <w:color w:val="000000"/>
          <w:sz w:val="20"/>
        </w:rPr>
      </w:pPr>
      <w:r>
        <w:rPr>
          <w:rFonts w:ascii="Arial" w:hAnsi="Arial"/>
          <w:b w:val="false"/>
          <w:color w:val="000000"/>
          <w:sz w:val="20"/>
        </w:rPr>
        <w:t>deliver the following to Administrative Agent: (i) as of the date of each Compliance Certificate, a list of all Intellectual Property owned or licensed to Borrower and a list of items within the definition of Collateral hereunder since the date of the last Compliance Certificate in such form as reasonably required by Administrative Agent; (ii) promptly after the same are sent by Administrative Agent, copies of any statements, reports, or correspondence required to be delivered to any other Lender; (iii) promptly upon receipt of the same, copies of all notices, requests and other documents received by any other party pursuant any other material contract, instrument, indenture regarding or relating to any breach or default alleged by or against any party thereto or any other event that could materially impair the value of the interests or rights of Administrative Agent or any Lender or could otherwise be reasonably expected to cause a Material Adverse Change; and (iv) such other information respecting the business, condition (financial or otherwise), operations, performance, properties or prospects of Borrower as Administrative Agent may from time to time reasonably request;</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pPr>
      <w:r>
        <w:rPr>
          <w:rFonts w:ascii="Arial" w:hAnsi="Arial"/>
          <w:b w:val="false"/>
          <w:color w:val="000000"/>
          <w:sz w:val="20"/>
        </w:rPr>
        <w:t xml:space="preserve">make due and timely payment or deposit of all federal, state, and local taxes, assessments, or contributions required of it by law or imposed upon any Property belonging to it, and will execute and deliver to Administrative Agent, on demand, appropriate certificates attesting to the payment or deposit thereof; and Borrower will make timely payment or deposit of all tax payments and withholding taxes required of it by applicable laws, including those laws concerning F.I.C.A., F.U.T.A., state disability, and local, state, and federal income taxes, and will, upon request, furnish Administrative Agent with proof satisfactory to Administrative Agent indicating that Borrower and each Subsidiary has made such payments or deposits; </w:t>
      </w:r>
      <w:r>
        <w:rPr>
          <w:rFonts w:ascii="Arial" w:hAnsi="Arial"/>
          <w:b w:val="false"/>
          <w:i/>
          <w:color w:val="000000"/>
          <w:sz w:val="20"/>
        </w:rPr>
        <w:t>provided</w:t>
      </w:r>
      <w:r>
        <w:rPr>
          <w:color w:val="000000"/>
        </w:rPr>
        <w:t xml:space="preserve"> </w:t>
      </w:r>
      <w:r>
        <w:rPr>
          <w:rFonts w:ascii="Arial" w:hAnsi="Arial"/>
          <w:b w:val="false"/>
          <w:color w:val="000000"/>
          <w:sz w:val="20"/>
        </w:rPr>
        <w:t>that Borrower need not make any payment if the amount or validity of such payment is contested in good faith by appropriate proceedings which suspend the collection thereof (provided that such proceedings do not involve any substantial danger of the sale, forfeiture or loss of any material item of Collateral or Collateral which in the aggregate is material to Borrower and that Borrower has adequately bonded such amounts or reserves sufficient to discharge such amounts have been provided on the books of Borrower); provided further that Borrower shall not change its respective jurisdiction of residence for taxation purposes, without the prior written consent of Administrative Agent or if such contested taxes, assessments, deposits and contributions do not, individually or in the aggregate, exceed $250,000 at any time;</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rFonts w:ascii="Arial" w:hAnsi="Arial"/>
          <w:b w:val="false"/>
          <w:color w:val="000000"/>
          <w:sz w:val="20"/>
        </w:rPr>
      </w:pPr>
      <w:r>
        <w:rPr>
          <w:rFonts w:ascii="Arial" w:hAnsi="Arial"/>
          <w:b w:val="false"/>
          <w:color w:val="000000"/>
          <w:sz w:val="20"/>
        </w:rPr>
        <w:t>make or cause to be made all filings in respect of, and pay or cause to be paid when due, all taxes, assessments, fines, fees and other liabilities (including all taxes and other claims in respect of the Collateral) unless being contested in good faith and for which Borrower maintains adequate reserves or if such contested taxes, assessments, deposits and contributions do not, individually or in the aggregate, exceed $250,000 at any time;</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rFonts w:ascii="Arial" w:hAnsi="Arial"/>
          <w:b w:val="false"/>
          <w:color w:val="000000"/>
          <w:sz w:val="20"/>
        </w:rPr>
      </w:pPr>
      <w:r>
        <w:rPr>
          <w:rFonts w:ascii="Arial" w:hAnsi="Arial"/>
          <w:b w:val="false"/>
          <w:color w:val="000000"/>
          <w:sz w:val="20"/>
        </w:rPr>
        <w:t>perform all of Borrower’s and each Subsidiary’s obligations imposed by applicable law, rule or regulation in all material respects with respect to the Collateral;</w:t>
      </w:r>
    </w:p>
    <w:p>
      <w:pPr>
        <w:pStyle w:val="TextBody"/>
        <w:bidi w:val="0"/>
        <w:spacing w:before="0" w:after="240"/>
        <w:jc w:val="both"/>
        <w:rPr>
          <w:rFonts w:ascii="Arial" w:hAnsi="Arial"/>
          <w:b w:val="false"/>
          <w:color w:val="000000"/>
          <w:sz w:val="20"/>
        </w:rPr>
      </w:pPr>
      <w:r>
        <w:rPr>
          <w:rFonts w:ascii="Arial" w:hAnsi="Arial"/>
          <w:b w:val="false"/>
          <w:color w:val="000000"/>
          <w:sz w:val="20"/>
        </w:rPr>
        <w:t>(n)</w:t>
      </w:r>
    </w:p>
    <w:p>
      <w:pPr>
        <w:pStyle w:val="TextBody"/>
        <w:bidi w:val="0"/>
        <w:spacing w:before="0" w:after="240"/>
        <w:jc w:val="both"/>
        <w:rPr>
          <w:rFonts w:ascii="Arial" w:hAnsi="Arial"/>
          <w:b w:val="false"/>
          <w:color w:val="000000"/>
          <w:sz w:val="20"/>
        </w:rPr>
      </w:pPr>
      <w:r>
        <w:rPr>
          <w:rFonts w:ascii="Arial" w:hAnsi="Arial"/>
          <w:b w:val="false"/>
          <w:color w:val="000000"/>
          <w:sz w:val="20"/>
        </w:rPr>
        <w:t>as soon as possible, and in any event within two (2) Business Days after Borrower having obtained Knowledge of the occurrence of any Event of Default or Potential Event of Default, provide a written notice setting forth the details of such Event of Default or Potential Event of Default and the action, if any is permitted, which is proposed to be taken by Borrower with respect thereto;</w:t>
      </w:r>
    </w:p>
    <w:p>
      <w:pPr>
        <w:pStyle w:val="TextBody"/>
        <w:bidi w:val="0"/>
        <w:spacing w:before="0" w:after="240"/>
        <w:jc w:val="both"/>
        <w:rPr>
          <w:rFonts w:ascii="Arial" w:hAnsi="Arial"/>
          <w:b w:val="false"/>
          <w:color w:val="000000"/>
          <w:sz w:val="20"/>
        </w:rPr>
      </w:pPr>
      <w:r>
        <w:rPr>
          <w:rFonts w:ascii="Arial" w:hAnsi="Arial"/>
          <w:b w:val="false"/>
          <w:color w:val="000000"/>
          <w:sz w:val="20"/>
        </w:rPr>
        <w:t>(o)</w:t>
      </w:r>
    </w:p>
    <w:p>
      <w:pPr>
        <w:pStyle w:val="TextBody"/>
        <w:bidi w:val="0"/>
        <w:spacing w:before="0" w:after="240"/>
        <w:jc w:val="both"/>
        <w:rPr>
          <w:rFonts w:ascii="Arial" w:hAnsi="Arial"/>
          <w:b w:val="false"/>
          <w:color w:val="000000"/>
          <w:sz w:val="20"/>
        </w:rPr>
      </w:pPr>
      <w:r>
        <w:rPr>
          <w:rFonts w:ascii="Arial" w:hAnsi="Arial"/>
          <w:b w:val="false"/>
          <w:color w:val="000000"/>
          <w:sz w:val="20"/>
        </w:rPr>
        <w:t>as soon as possible, and in any event, no later than three (3) Business Days after receipt, provide Administrative Agent with a copy of any notice of default, notice of termination or similar notice pertaining to a lease of real property where any Collateral is located with a value in excess of $200,000;</w:t>
      </w:r>
    </w:p>
    <w:p>
      <w:pPr>
        <w:pStyle w:val="TextBody"/>
        <w:bidi w:val="0"/>
        <w:jc w:val="center"/>
        <w:rPr>
          <w:rFonts w:ascii="Arial" w:hAnsi="Arial"/>
          <w:b w:val="false"/>
          <w:color w:val="000000"/>
          <w:sz w:val="20"/>
        </w:rPr>
      </w:pPr>
      <w:r>
        <w:rPr>
          <w:rFonts w:ascii="Arial" w:hAnsi="Arial"/>
          <w:b w:val="false"/>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(p)</w:t>
      </w:r>
    </w:p>
    <w:p>
      <w:pPr>
        <w:pStyle w:val="TextBody"/>
        <w:bidi w:val="0"/>
        <w:spacing w:before="0" w:after="240"/>
        <w:jc w:val="both"/>
        <w:rPr>
          <w:rFonts w:ascii="Arial" w:hAnsi="Arial"/>
          <w:b w:val="false"/>
          <w:color w:val="000000"/>
          <w:sz w:val="20"/>
        </w:rPr>
      </w:pPr>
      <w:r>
        <w:rPr>
          <w:rFonts w:ascii="Arial" w:hAnsi="Arial"/>
          <w:b w:val="false"/>
          <w:color w:val="000000"/>
          <w:sz w:val="20"/>
        </w:rPr>
        <w:t>from time to time execute and deliver such further documents and do such further acts and things as Administrative Agent may reasonably request in order to fully effect the purposes of this Agreement and to protect Administrative Agent’s security interest in the Collateral, and Borrower hereby authorizes Administrative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Administrative Agent’s name or in the name of Administrative Agent as agent and attorney-in-fact for Borrower;</w:t>
      </w:r>
    </w:p>
    <w:p>
      <w:pPr>
        <w:pStyle w:val="TextBody"/>
        <w:bidi w:val="0"/>
        <w:spacing w:before="0" w:after="240"/>
        <w:jc w:val="both"/>
        <w:rPr>
          <w:rFonts w:ascii="Arial" w:hAnsi="Arial"/>
          <w:b w:val="false"/>
          <w:color w:val="000000"/>
          <w:sz w:val="20"/>
        </w:rPr>
      </w:pPr>
      <w:r>
        <w:rPr>
          <w:rFonts w:ascii="Arial" w:hAnsi="Arial"/>
          <w:b w:val="false"/>
          <w:color w:val="000000"/>
          <w:sz w:val="20"/>
        </w:rPr>
        <w:t>(q)</w:t>
      </w:r>
    </w:p>
    <w:p>
      <w:pPr>
        <w:pStyle w:val="TextBody"/>
        <w:bidi w:val="0"/>
        <w:spacing w:before="0" w:after="240"/>
        <w:jc w:val="both"/>
        <w:rPr/>
      </w:pPr>
      <w:r>
        <w:rPr>
          <w:rFonts w:ascii="Arial" w:hAnsi="Arial"/>
          <w:b w:val="false"/>
          <w:color w:val="000000"/>
          <w:sz w:val="20"/>
        </w:rPr>
        <w:t xml:space="preserve">keep Borrower’s and its Subsidiaries’ business and the Collateral insured for risks and in amounts standard for companies in Borrower’s and its Subsidiaries’ industry and location and as Administrative Agent may reasonably request, including, but not limited to, D&amp;O insurance reasonably satisfactory to Administrative Agent. Insurance policies shall be in a form, with companies, and in amounts that are reasonably satisfactory to Administrative Agent. All property policies shall have a lender’s loss payable endorsement showing Administrative Agent as lender loss payee and waive subrogation against Administrative Agent, and all liability policies shall show, or have endorsements showing Administrative Agent, as additional insured. Administrative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Administrative Agent, that it will give Administrative Agent thirty (30) days prior written notice before any such policy or policies shall be materially altered by a decrease in coverage or exclusion to coverage or canceled (other than cancellation for non-payment of premiums, for which ten (10) days’ prior written notice shall be required). At Administrative Agent’s request, Borrower shall deliver certified copies of policies and evidence of all premium payments. Proceeds payable under any policy shall, at Administrative Agent’s option, be payable to Administrative Agent, on account of the Obligations. If Borrower or any of its Subsidiaries fails to obtain insurance as required under this </w:t>
      </w:r>
      <w:r>
        <w:rPr>
          <w:rFonts w:ascii="Arial" w:hAnsi="Arial"/>
          <w:b w:val="false"/>
          <w:color w:val="000000"/>
          <w:sz w:val="20"/>
          <w:u w:val="single"/>
        </w:rPr>
        <w:t>Section 4.2(q)</w:t>
      </w:r>
      <w:r>
        <w:rPr>
          <w:color w:val="000000"/>
        </w:rPr>
        <w:t xml:space="preserve"> </w:t>
      </w:r>
      <w:r>
        <w:rPr>
          <w:rFonts w:ascii="Arial" w:hAnsi="Arial"/>
          <w:b w:val="false"/>
          <w:color w:val="000000"/>
          <w:sz w:val="20"/>
        </w:rPr>
        <w:t xml:space="preserve">or to pay any amount or furnish any required proof of payment to third persons, Administrative Agent may make (but has no obligation to do so), at Borrower’s expense, all or part of such payment or obtain such insurance policies required in this </w:t>
      </w:r>
      <w:r>
        <w:rPr>
          <w:rFonts w:ascii="Arial" w:hAnsi="Arial"/>
          <w:b w:val="false"/>
          <w:color w:val="000000"/>
          <w:sz w:val="20"/>
          <w:u w:val="single"/>
        </w:rPr>
        <w:t>Section 4.2(q)</w:t>
      </w:r>
      <w:r>
        <w:rPr>
          <w:rFonts w:ascii="Arial" w:hAnsi="Arial"/>
          <w:b w:val="false"/>
          <w:color w:val="000000"/>
          <w:sz w:val="20"/>
        </w:rPr>
        <w:t>, and take any action under the policies Administrative Agent deems prudent;</w:t>
      </w:r>
    </w:p>
    <w:p>
      <w:pPr>
        <w:pStyle w:val="TextBody"/>
        <w:bidi w:val="0"/>
        <w:spacing w:before="0" w:after="240"/>
        <w:jc w:val="both"/>
        <w:rPr>
          <w:rFonts w:ascii="Arial" w:hAnsi="Arial"/>
          <w:b w:val="false"/>
          <w:color w:val="000000"/>
          <w:sz w:val="20"/>
        </w:rPr>
      </w:pPr>
      <w:r>
        <w:rPr>
          <w:rFonts w:ascii="Arial" w:hAnsi="Arial"/>
          <w:b w:val="false"/>
          <w:color w:val="000000"/>
          <w:sz w:val="20"/>
        </w:rPr>
        <w:t>(r)</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during all times any amounts remain due from Borrower to Administrative Agent or Lenders under this Agreement or Borrower has any Obligations under the Loan Documents, (i) preserve, renew and maintain in full force and effect its corporate existence and take all commercially reasonable action to maintain all rights, privileges and franchises necessary or desirable in the normal course of business; (ii) perform and observe all the terms and provisions of any material contract, instrument, or indenture to be performed or observed by it, maintain each such contract, instrument, or indenture in full force and effect, and enforce such rights under any material contract instrument, or indenture, unless the failure to do so could not be reasonably expected to cause a Material Adverse Change; (iii) keep proper books and records and accounts in which in all material respects full, true and correct entries in conformity with GAAP and all requirements of any governmental or regulatory authorities shall be made of all dealings and transactions and assets in relations to its business and activities; and (iv) permit Administrative Agent to visit and inspect any of its assets and properties and examine and make abstracts from any of its books and records at any time with or without prior written notice and as often as may be reasonably desired at any time during an Event of Default or upon prior written notice at reasonable times when no Event of Default is continuing up to two (2) times per year, and to discuss its business operations, properties and financial and other conditions with its officers and employees and accountants; </w:t>
      </w:r>
    </w:p>
    <w:p>
      <w:pPr>
        <w:pStyle w:val="TextBody"/>
        <w:bidi w:val="0"/>
        <w:spacing w:before="0" w:after="240"/>
        <w:jc w:val="both"/>
        <w:rPr>
          <w:rFonts w:ascii="Arial" w:hAnsi="Arial"/>
          <w:b w:val="false"/>
          <w:color w:val="000000"/>
          <w:sz w:val="20"/>
        </w:rPr>
      </w:pPr>
      <w:r>
        <w:rPr>
          <w:rFonts w:ascii="Arial" w:hAnsi="Arial"/>
          <w:b w:val="false"/>
          <w:color w:val="000000"/>
          <w:sz w:val="20"/>
        </w:rPr>
        <w:t>(s)</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make available to the Administrative Agent, without expense to the Administrative Agent, Borrower and each of Borrower’s officers, employees and agents and Borrower’s books, to the extent that the Administrative Agent may reasonably deem them necessary to prosecute or defend any third party suit or proceeding instituted by or against the Administrative Agent or any Lender with respect to any Collateral or relating to Borrower; </w:t>
      </w:r>
    </w:p>
    <w:p>
      <w:pPr>
        <w:pStyle w:val="TextBody"/>
        <w:bidi w:val="0"/>
        <w:jc w:val="center"/>
        <w:rPr>
          <w:rFonts w:ascii="Arial" w:hAnsi="Arial"/>
          <w:b w:val="false"/>
          <w:color w:val="000000"/>
          <w:sz w:val="20"/>
        </w:rPr>
      </w:pPr>
      <w:r>
        <w:rPr>
          <w:rFonts w:ascii="Arial" w:hAnsi="Arial"/>
          <w:b w:val="false"/>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(t)</w:t>
      </w:r>
    </w:p>
    <w:p>
      <w:pPr>
        <w:pStyle w:val="TextBody"/>
        <w:bidi w:val="0"/>
        <w:spacing w:before="0" w:after="240"/>
        <w:jc w:val="both"/>
        <w:rPr>
          <w:rFonts w:ascii="Arial" w:hAnsi="Arial"/>
          <w:b w:val="false"/>
          <w:color w:val="000000"/>
          <w:sz w:val="20"/>
        </w:rPr>
      </w:pPr>
      <w:r>
        <w:rPr>
          <w:rFonts w:ascii="Arial" w:hAnsi="Arial"/>
          <w:b w:val="false"/>
          <w:color w:val="000000"/>
          <w:sz w:val="20"/>
        </w:rPr>
        <w:t>If, after the Closing Date, any Borrower intends to form any direct or indirect Subsidiary, or acquire any direct or indirect Subsidiary, the Borrower shall (or shall cause such Borrower to): (i) ten (10) Business Days prior to such formation or acquisition, provide written notice to Administrative Agent of the formation of such Subsidiary, and, upon Administrative Agent’s request, copies of the Operating Documents of such Subsidiary, and (ii) promptly upon Administrative Agent’s request, and in any event within thirty (30) days of such request (or such later date as Administrative Agent may agree in its sole discretion) of such formation or creation: (A) take all such action as may be reasonably required by Administrative Agent to cause such new Subsidiary to either: (x) provide to Administrative Agent a joinder to this Agreement pursuant to which such Subsidiary becomes a Borrower hereunder, or (y) guarantee the Obligations of Borrowers under the Loan Documents, (B) grant a security interest in and to the assets which constitute Collateral of such Subsidiary (substantially in accordance with this Agreement), in each case together with such Account Control Agreements and other documents, instruments and agreements reasonably requested by Administrative Agent in accordance with the terms of this Agreement, all in form and substance reasonably satisfactory to Administrative Agent (including being sufficient to grant Administrative Agent a first priority Lien, subject to Permitted Liens) and (C) to pledge all of the direct or beneficial Equity Securities in such Subsidiary to the extent constituting Collateral; and</w:t>
      </w:r>
    </w:p>
    <w:p>
      <w:pPr>
        <w:pStyle w:val="TextBody"/>
        <w:bidi w:val="0"/>
        <w:spacing w:before="0" w:after="240"/>
        <w:jc w:val="both"/>
        <w:rPr>
          <w:rFonts w:ascii="Arial" w:hAnsi="Arial"/>
          <w:b w:val="false"/>
          <w:color w:val="000000"/>
          <w:sz w:val="20"/>
        </w:rPr>
      </w:pPr>
      <w:r>
        <w:rPr>
          <w:rFonts w:ascii="Arial" w:hAnsi="Arial"/>
          <w:b w:val="false"/>
          <w:color w:val="000000"/>
          <w:sz w:val="20"/>
        </w:rPr>
        <w:t>(u)</w:t>
      </w:r>
    </w:p>
    <w:p>
      <w:pPr>
        <w:pStyle w:val="TextBody"/>
        <w:bidi w:val="0"/>
        <w:spacing w:before="0" w:after="240"/>
        <w:jc w:val="both"/>
        <w:rPr>
          <w:rFonts w:ascii="Arial" w:hAnsi="Arial"/>
          <w:b w:val="false"/>
          <w:color w:val="000000"/>
          <w:sz w:val="20"/>
        </w:rPr>
      </w:pPr>
      <w:r>
        <w:rPr>
          <w:rFonts w:ascii="Arial" w:hAnsi="Arial"/>
          <w:b w:val="false"/>
          <w:color w:val="000000"/>
          <w:sz w:val="20"/>
        </w:rPr>
        <w:t>Use the proceeds of the Loan solely to refinance Existing Indebtedness, as working capital and to fund its general corporate purposes.</w:t>
      </w:r>
    </w:p>
    <w:p>
      <w:pPr>
        <w:pStyle w:val="TextBody"/>
        <w:bidi w:val="0"/>
        <w:spacing w:before="0" w:after="240"/>
        <w:jc w:val="both"/>
        <w:rPr>
          <w:rFonts w:ascii="Arial" w:hAnsi="Arial"/>
          <w:b w:val="false"/>
          <w:color w:val="000000"/>
          <w:sz w:val="20"/>
        </w:rPr>
      </w:pPr>
      <w:r>
        <w:rPr>
          <w:rFonts w:ascii="Arial" w:hAnsi="Arial"/>
          <w:b w:val="false"/>
          <w:color w:val="000000"/>
          <w:sz w:val="20"/>
        </w:rPr>
        <w:t>4.3</w:t>
      </w:r>
    </w:p>
    <w:p>
      <w:pPr>
        <w:pStyle w:val="TextBody"/>
        <w:bidi w:val="0"/>
        <w:spacing w:before="0" w:after="240"/>
        <w:jc w:val="both"/>
        <w:rPr/>
      </w:pPr>
      <w:r>
        <w:rPr>
          <w:rFonts w:ascii="Arial" w:hAnsi="Arial"/>
          <w:b w:val="false"/>
          <w:color w:val="000000"/>
          <w:sz w:val="20"/>
          <w:u w:val="single"/>
        </w:rPr>
        <w:t>Negative Covenants of Borrower</w:t>
      </w:r>
      <w:r>
        <w:rPr>
          <w:rFonts w:ascii="Arial" w:hAnsi="Arial"/>
          <w:b w:val="false"/>
          <w:color w:val="000000"/>
          <w:sz w:val="20"/>
        </w:rPr>
        <w:t>. Borrower shall not, and shall not permit any of its Subsidiaries to, do any of the following without the prior written consent, which may be conditioned or withheld in its sole discretion:</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change its name, jurisdiction of incorporation, chief executive office, or principal place of business without ten (10) days’ prior written notice to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(i) create, incur, assume, or permit to exist any Lien or security interest on any Property or Collateral now or hereafter acquired by Borrower or any Subsidiary or on any income or rights in respect of any thereof, (including sale of any accounts) except Liens and security interests created pursuant to this Agreement or Permitted Liens or (ii) or enter into any agreement with any Person other than Administrative Agent not to grant a security interest in. or otherwise encumber, any of its property, or permit any Subsidiary to do so except for agreements governing Permitted Liens;</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(i) merge into or consolidate with any other entity, or permit any other entity to merge or consolidate with Borrower or any Subsidiary; provided that any Subsidiary may merge or consolidated with Borrower, (ii) liquidate or dissolve; provided that any Subsidiary may liquidate or dissolve as long as any assets of such Subsidiary are transferred to Borrower prior to liquidation or dissolution, (iii) acquire, or permit any of its Subsidiaries to acquire, all or substantially all of the capital stock, shares or property of another Person other than Permitted Investments or (iv) engage in any business other than the business of the type conducted by Borrower on the date hereof and business reasonably related, supplemental or ancillary thereto; </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Transfer any of its Property, whether now owned or hereafter acquired except: (i) dispositions of worn-out, obsolete or surplus Equipment or assets in the Ordinary Course of Business that is, in the reasonable judgment of such Borrower or Subsidiary as applicable, no longer economically practicable to maintain or useful; (ii) the sale of Inventory in the Ordinary Course of Business; (iii) in connection with Permitted Liens, Permitted Investments and Permitted Licenses; (iv) consisting of Borrower’s or its Subsidiaries’ use or transfer of money or Cash Equivalents in the ordinary course of its business for the payment of ordinary course business expenses in a manner that is not prohibited by the terms of this Agreement or the other Loan Documents; (v) other assets in an aggregate amount not to exceed $500,000 per year; (vi) the sale of assets pursuant to that certain Letter of Intent, dated as of [***], 2023, by and between Borrower and Brady Trane Service, Inc. (the “Brady Equipment Sale”) and provided to Agent prior to the date hereof; and (vii) the termination of Intellectual Property licenses for Borrower’s de-prioritized or immaterial programs and the transfer of assets back to the licensor in connection </w:t>
      </w:r>
    </w:p>
    <w:p>
      <w:pPr>
        <w:pStyle w:val="TextBody"/>
        <w:bidi w:val="0"/>
        <w:jc w:val="center"/>
        <w:rPr>
          <w:rFonts w:ascii="Arial" w:hAnsi="Arial"/>
          <w:b w:val="false"/>
          <w:color w:val="000000"/>
          <w:sz w:val="20"/>
        </w:rPr>
      </w:pPr>
      <w:r>
        <w:rPr>
          <w:rFonts w:ascii="Arial" w:hAnsi="Arial"/>
          <w:b w:val="false"/>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therewith, so long as any such Intellectual Property licenses are identified to Administrative Agent in writing, in advance of any transfer;</w:t>
      </w:r>
      <w:r>
        <w:rPr>
          <w:color w:val="00000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amend, supplement or otherwise modify (pursuant to waiver or otherwise) its Operating Documents , in any respect that would reasonably be expected to result in a Material Adverse Change;</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pPr>
      <w:r>
        <w:rPr>
          <w:rFonts w:ascii="Arial" w:hAnsi="Arial"/>
          <w:b w:val="false"/>
          <w:color w:val="000000"/>
          <w:sz w:val="20"/>
        </w:rPr>
        <w:t xml:space="preserve">move any Collateral from the Permitted Locations except in compliance with </w:t>
      </w:r>
      <w:r>
        <w:rPr>
          <w:rFonts w:ascii="Arial" w:hAnsi="Arial"/>
          <w:b w:val="false"/>
          <w:color w:val="000000"/>
          <w:sz w:val="20"/>
          <w:u w:val="single"/>
        </w:rPr>
        <w:t>Section 3.3</w:t>
      </w:r>
      <w:r>
        <w:rPr>
          <w:color w:val="000000"/>
        </w:rPr>
        <w:t xml:space="preserve"> </w:t>
      </w:r>
      <w:r>
        <w:rPr>
          <w:rFonts w:ascii="Arial" w:hAnsi="Arial"/>
          <w:b w:val="false"/>
          <w:color w:val="000000"/>
          <w:sz w:val="20"/>
        </w:rPr>
        <w:t>above;</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(i) pay any dividends or make any distributions, on its Equity Securities; (ii) purchase, redeem, retire, defease or otherwise acquire, for value any of its Equity Securities (other than repurchases pursuant to the terms of employee stock purchase plans, employee restricted stock agreements or similar arrangements in an aggregate amount not to exceed One Hundred Thousand Dollars ($100,000.00) in any fiscal year); (iii) return any capital to any holder of its Equity Securities as such; (iv) make, any distribution of Property, Equity Securities, obligations or securities to any holder of its Equity Securities; or (v) set apart any sum for any such purpose; provided, however, that Borrower may (A) convert any of its convertible securities into other securities pursuant to the terms of such convertible securities or otherwise in exchange thereof, (B) pay dividends solely in the form of common stock; (C) pay cash in lieu of fractional shares upon exercise or conversion of any option, warrant or other convertible security; and (D) pay dividends and distributions by any Subsidiary to Borrower or another Subsidiary that is a co-Borrower;</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any Key Person to cease to be actively engaged in the management of Borrower unless written notice thereof is provided to Administrative Agent within ten (10) days;</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enter into any contractual obligation with any Affiliate or engage in any other transaction with any Affiliate except (i) upon terms at least as favorable to Borrower as an arms-length transaction with Persons who are not Affiliates of Borrower, (ii) sales of equity securities to its investors in bona fide equity financings so long as a Change in Control does not occur, (iii) transactions between Borrower and its Subsidiaries permitted under this Agreement, (d) reasonable and customary compensation arrangements and benefit plans for officers and other employees of Borrower entered into or maintained in the Ordinary Course of Business and approved by Borrower’s board of directors, and (e) reasonable and customary fees paid to independent members of Borrower’s board of directors in the Ordinary Course of Business;</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rFonts w:ascii="Arial" w:hAnsi="Arial"/>
          <w:b w:val="false"/>
          <w:color w:val="000000"/>
          <w:sz w:val="20"/>
        </w:rPr>
      </w:pPr>
      <w:r>
        <w:rPr>
          <w:rFonts w:ascii="Arial" w:hAnsi="Arial"/>
          <w:b w:val="false"/>
          <w:color w:val="000000"/>
          <w:sz w:val="20"/>
        </w:rPr>
        <w:t>(i) prepay, redeem, purchase, defease or otherwise satisfy in any manner prior to the scheduled repayment thereof any subordinated Debt for borrowed money other than as permitted by the applicable subordination or intercreditor agreement applicable thereto), or (ii) amend, modify or otherwise change the terms of any subordinated Debt for borrowed money or capital lease obligations so as to accelerate the scheduled repayment thereof except pursuant to the terms of any subordination or intercreditor agreement applicable thereto or (iii) repay any notes to officers, directors or shareholders, provided that Borrower may convert any such notes into Borrower’s Equity Securities or repay or otherwise satisfy such notes by the issuance of Borrower’s Equity Securities except pursuant to the terms of any subordination or intercreditor agreement applicable thereto;</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rFonts w:ascii="Arial" w:hAnsi="Arial"/>
          <w:b w:val="false"/>
          <w:color w:val="000000"/>
          <w:sz w:val="20"/>
        </w:rPr>
      </w:pPr>
      <w:r>
        <w:rPr>
          <w:rFonts w:ascii="Arial" w:hAnsi="Arial"/>
          <w:b w:val="false"/>
          <w:color w:val="000000"/>
          <w:sz w:val="20"/>
        </w:rPr>
        <w:t>create, incur, assume or permit to exist any Debt except Permitted Debt; provided however, notwithstanding any Debt that is permitted under the definition of Permitted Debt, Borrower shall not create, incur, assume to exist any Debt involving the sale or financing of its accounts receivables or any Debt secured or supported by its accounts receivables without the prior written consent of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rFonts w:ascii="Arial" w:hAnsi="Arial"/>
          <w:b w:val="false"/>
          <w:color w:val="000000"/>
          <w:sz w:val="20"/>
        </w:rPr>
      </w:pPr>
      <w:r>
        <w:rPr>
          <w:rFonts w:ascii="Arial" w:hAnsi="Arial"/>
          <w:b w:val="false"/>
          <w:color w:val="000000"/>
          <w:sz w:val="20"/>
        </w:rPr>
        <w:t>make, or permit any Subsidiary to make, any Investment except for Permitted Investments;</w:t>
      </w:r>
    </w:p>
    <w:p>
      <w:pPr>
        <w:pStyle w:val="TextBody"/>
        <w:bidi w:val="0"/>
        <w:jc w:val="center"/>
        <w:rPr>
          <w:rFonts w:ascii="Arial" w:hAnsi="Arial"/>
          <w:b w:val="false"/>
          <w:color w:val="000000"/>
          <w:sz w:val="20"/>
        </w:rPr>
      </w:pPr>
      <w:r>
        <w:rPr>
          <w:rFonts w:ascii="Arial" w:hAnsi="Arial"/>
          <w:b w:val="false"/>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pPr>
      <w:r>
        <w:rPr>
          <w:rFonts w:ascii="Arial" w:hAnsi="Arial"/>
          <w:b w:val="false"/>
          <w:color w:val="000000"/>
          <w:sz w:val="20"/>
        </w:rPr>
        <w:t>(i) become an “investment company” or a company controlled by an “investment company” under the Investment Company Act of 1940 or undertake as one of its important activities extending credit to purchase or carry margin stock (as defined in Regulation U of the Board of Governors of the Federal Reserve System), or use the proceeds of any Loan for that purpose; (ii) become subject to any other federal or state law or regulation which purports to restrict or regulate its ability to borrow money; or (iii) fail to meet the minimum funding requirements of the Employment Retirement Income Security Act of 1974, and its regulations, as amended from time to time (“</w:t>
      </w:r>
      <w:r>
        <w:rPr>
          <w:rFonts w:ascii="Arial" w:hAnsi="Arial"/>
          <w:b w:val="false"/>
          <w:color w:val="000000"/>
          <w:sz w:val="20"/>
          <w:u w:val="single"/>
        </w:rPr>
        <w:t>ERISA</w:t>
      </w:r>
      <w:r>
        <w:rPr>
          <w:color w:val="000000"/>
        </w:rPr>
        <w:t>”</w:t>
      </w:r>
      <w:r>
        <w:rPr>
          <w:rFonts w:ascii="Arial" w:hAnsi="Arial"/>
          <w:b w:val="false"/>
          <w:color w:val="000000"/>
          <w:sz w:val="20"/>
        </w:rPr>
        <w:t>), permit, or permit any Subsidiary to permit, a Reportable Event or Prohibited Transaction, as defined in ERISA, to occur; (iv) fail to comply with the Federal Fair Labor Standards Act or violate any other law or regulation, if the violation could reasonably be expected to have a Material Adverse Change;</w:t>
      </w:r>
    </w:p>
    <w:p>
      <w:pPr>
        <w:pStyle w:val="TextBody"/>
        <w:bidi w:val="0"/>
        <w:spacing w:before="0" w:after="240"/>
        <w:jc w:val="both"/>
        <w:rPr>
          <w:rFonts w:ascii="Arial" w:hAnsi="Arial"/>
          <w:b w:val="false"/>
          <w:color w:val="000000"/>
          <w:sz w:val="20"/>
        </w:rPr>
      </w:pPr>
      <w:r>
        <w:rPr>
          <w:rFonts w:ascii="Arial" w:hAnsi="Arial"/>
          <w:b w:val="false"/>
          <w:color w:val="000000"/>
          <w:sz w:val="20"/>
        </w:rPr>
        <w:t>(n)</w:t>
      </w:r>
    </w:p>
    <w:p>
      <w:pPr>
        <w:pStyle w:val="TextBody"/>
        <w:bidi w:val="0"/>
        <w:spacing w:before="0" w:after="240"/>
        <w:jc w:val="both"/>
        <w:rPr>
          <w:rFonts w:ascii="Arial" w:hAnsi="Arial"/>
          <w:b w:val="false"/>
          <w:color w:val="000000"/>
          <w:sz w:val="20"/>
        </w:rPr>
      </w:pPr>
      <w:r>
        <w:rPr>
          <w:rFonts w:ascii="Arial" w:hAnsi="Arial"/>
          <w:b w:val="false"/>
          <w:color w:val="000000"/>
          <w:sz w:val="20"/>
        </w:rPr>
        <w:t>(x) directly or indirectly, enter into any documents, instruments, agreements or contracts with any Blocked Person or (y) directly or indirectly, (A) conduct any business or engage in any transaction or dealing with any Blocked Person, including the making or receiving of any contribution of funds, goods or services to or for the benefit of any Blocked Person, (B) deal in, or otherwise engage in any transaction relating to, any property or interests in property blocked pursuant to Executive Order No. 13224, any similar executive order or other Anti-Terrorism Law or (C) engage in or conspire to engage in any transaction that evades or avoids, or has the purpose of evading or avoiding, or attempts to violate, any of the prohibitions set forth in Executive Order No. 13224 or other Anti-Terrorism Law. Each Lender hereby notifies Borrower that pursuant to the requirements of Anti-Terrorism Laws and such Lender’s policies and practices, such Lender is required to obtain, verify and record certain information and documentation that identifies Borrower and its principals, which information includes the name and address of Borrower and its principals and such other information that will allow each Lender to identify such party in accordance with Anti-Terrorism Laws. Borrower shall immediately notify Administrative Agent if Borrower has knowledge that Borrower is listed on the OFAC Lists or (i) is convicted on, (ii) pleads nolo contendere to, (iii) is indicted on or (iv) is arraigned and held over on charges involving money laundering or predicate crimes to money laundering;</w:t>
      </w:r>
    </w:p>
    <w:p>
      <w:pPr>
        <w:pStyle w:val="TextBody"/>
        <w:bidi w:val="0"/>
        <w:spacing w:before="0" w:after="240"/>
        <w:jc w:val="both"/>
        <w:rPr>
          <w:rFonts w:ascii="Arial" w:hAnsi="Arial"/>
          <w:b w:val="false"/>
          <w:color w:val="000000"/>
          <w:sz w:val="20"/>
        </w:rPr>
      </w:pPr>
      <w:r>
        <w:rPr>
          <w:rFonts w:ascii="Arial" w:hAnsi="Arial"/>
          <w:b w:val="false"/>
          <w:color w:val="000000"/>
          <w:sz w:val="20"/>
        </w:rPr>
        <w:t>(o)</w:t>
      </w:r>
    </w:p>
    <w:p>
      <w:pPr>
        <w:pStyle w:val="TextBody"/>
        <w:bidi w:val="0"/>
        <w:spacing w:before="0" w:after="240"/>
        <w:jc w:val="both"/>
        <w:rPr>
          <w:rFonts w:ascii="Arial" w:hAnsi="Arial"/>
          <w:b w:val="false"/>
          <w:color w:val="000000"/>
          <w:sz w:val="20"/>
        </w:rPr>
      </w:pPr>
      <w:r>
        <w:rPr>
          <w:rFonts w:ascii="Arial" w:hAnsi="Arial"/>
          <w:b w:val="false"/>
          <w:color w:val="000000"/>
          <w:sz w:val="20"/>
        </w:rPr>
        <w:t>(i) maintain any Deposit Account or Securities Account except accounts with respect to which Administrative Agent is able to take such actions as Administrative Agent deems necessary to obtain a perfected security interest in such accounts through one or more Account Control Agreements or other agreements giving Administrative Agent “control” as defined under the UCC (other than with respect to any Excluded Account) or (ii) grant or allow any other Person (other than a Lender) to perfect a security interest in, or enter into any agreements with any Persons (other than Lender) accomplishing perfection via control as to, any of its Deposit Accounts or Securities Accounts, other with respect to any Excluded Account; or</w:t>
      </w:r>
    </w:p>
    <w:p>
      <w:pPr>
        <w:pStyle w:val="TextBody"/>
        <w:bidi w:val="0"/>
        <w:spacing w:before="0" w:after="240"/>
        <w:jc w:val="both"/>
        <w:rPr>
          <w:rFonts w:ascii="Arial" w:hAnsi="Arial"/>
          <w:b w:val="false"/>
          <w:color w:val="000000"/>
          <w:sz w:val="20"/>
        </w:rPr>
      </w:pPr>
      <w:r>
        <w:rPr>
          <w:rFonts w:ascii="Arial" w:hAnsi="Arial"/>
          <w:b w:val="false"/>
          <w:color w:val="000000"/>
          <w:sz w:val="20"/>
        </w:rPr>
        <w:t>(p)</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Cause or permit any Inactive Subsidiary to maintain cash or assets in excess of Fifty Thousand Dollars ($50,000) at any time or to own or maintain any Intellectual Property. </w:t>
      </w:r>
    </w:p>
    <w:p>
      <w:pPr>
        <w:pStyle w:val="TextBody"/>
        <w:bidi w:val="0"/>
        <w:spacing w:before="0" w:after="240"/>
        <w:jc w:val="center"/>
        <w:rPr>
          <w:rFonts w:ascii="Arial" w:hAnsi="Arial"/>
          <w:b/>
          <w:caps/>
          <w:color w:val="000000"/>
          <w:sz w:val="20"/>
        </w:rPr>
      </w:pPr>
      <w:r>
        <w:rPr>
          <w:rFonts w:ascii="Arial" w:hAnsi="Arial"/>
          <w:b/>
          <w:caps/>
          <w:color w:val="000000"/>
          <w:sz w:val="20"/>
        </w:rPr>
        <w:t>Article 5</w:t>
      </w:r>
    </w:p>
    <w:p>
      <w:pPr>
        <w:pStyle w:val="TextBody"/>
        <w:bidi w:val="0"/>
        <w:spacing w:before="0" w:after="240"/>
        <w:jc w:val="center"/>
        <w:rPr>
          <w:rFonts w:ascii="Arial" w:hAnsi="Arial"/>
          <w:b/>
          <w:caps/>
          <w:color w:val="000000"/>
          <w:sz w:val="20"/>
          <w:u w:val="single"/>
        </w:rPr>
      </w:pPr>
      <w:r>
        <w:rPr>
          <w:rFonts w:ascii="Arial" w:hAnsi="Arial"/>
          <w:b/>
          <w:caps/>
          <w:color w:val="000000"/>
          <w:sz w:val="20"/>
          <w:u w:val="single"/>
        </w:rPr>
        <w:br/>
        <w:br/>
        <w:t>agent</w:t>
      </w:r>
    </w:p>
    <w:p>
      <w:pPr>
        <w:pStyle w:val="TextBody"/>
        <w:bidi w:val="0"/>
        <w:spacing w:before="0" w:after="240"/>
        <w:jc w:val="both"/>
        <w:rPr>
          <w:rFonts w:ascii="Arial" w:hAnsi="Arial"/>
          <w:b w:val="false"/>
          <w:color w:val="000000"/>
          <w:sz w:val="20"/>
        </w:rPr>
      </w:pPr>
      <w:r>
        <w:rPr>
          <w:rFonts w:ascii="Arial" w:hAnsi="Arial"/>
          <w:b w:val="false"/>
          <w:color w:val="000000"/>
          <w:sz w:val="20"/>
        </w:rPr>
        <w:t>5.1</w:t>
      </w:r>
    </w:p>
    <w:p>
      <w:pPr>
        <w:pStyle w:val="TextBody"/>
        <w:bidi w:val="0"/>
        <w:spacing w:before="0" w:after="240"/>
        <w:jc w:val="both"/>
        <w:rPr>
          <w:rFonts w:ascii="Arial" w:hAnsi="Arial"/>
          <w:b w:val="false"/>
          <w:color w:val="000000"/>
          <w:sz w:val="20"/>
          <w:u w:val="single"/>
        </w:rPr>
      </w:pPr>
      <w:r>
        <w:rPr>
          <w:rFonts w:ascii="Arial" w:hAnsi="Arial"/>
          <w:b w:val="false"/>
          <w:color w:val="000000"/>
          <w:sz w:val="20"/>
          <w:u w:val="single"/>
        </w:rPr>
        <w:t>Appointment.</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Each Lender hereby irrevocably designates and appoints Trinity Capital Inc., or its successor or assignee, as Administrative Agent under this Agreement and the other Loan Documents, and each such Lender irrevocably authorizes the Administrative Agent, in such capacity, to take such action on its behalf under the provisions of this Agreement and the other Loan Documents (including without limitation any subordination and intercreditor agreements (or similar agreements)) and to exercise such rights, powers and perform such duties as are expressly delegated to the Administrative Agent by the terms of this Agreement and the other Loan Documents (including without limitation any subordination and intercreditor agreements (or similar agreements)), together with such other powers as are reasonably incidental thereto. Notwithstanding any provision to the contrary elsewhere in this Agreement, the Administrative Agent shall not have any duties or responsibilities, except those expressly set forth herein and in the other Loan </w:t>
      </w:r>
    </w:p>
    <w:p>
      <w:pPr>
        <w:pStyle w:val="TextBody"/>
        <w:bidi w:val="0"/>
        <w:jc w:val="center"/>
        <w:rPr>
          <w:rFonts w:ascii="Arial" w:hAnsi="Arial"/>
          <w:b w:val="false"/>
          <w:color w:val="000000"/>
          <w:sz w:val="20"/>
        </w:rPr>
      </w:pPr>
      <w:r>
        <w:rPr>
          <w:rFonts w:ascii="Arial" w:hAnsi="Arial"/>
          <w:b w:val="false"/>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Documents, or any fiduciary relationship with any Lender, and no implied covenants, functions, responsibilities, duties, obligations or liabilities shall be read into this Agreement or any other Loan Document or otherwise exist against the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pPr>
      <w:r>
        <w:rPr>
          <w:rFonts w:ascii="Arial" w:hAnsi="Arial"/>
          <w:b w:val="false"/>
          <w:color w:val="000000"/>
          <w:sz w:val="20"/>
        </w:rPr>
        <w:t xml:space="preserve">Each of the Lenders hereby irrevocably appoints and authorizes the Administrative Agent to act as the agent of such Lender for purposes of acquiring, holding and enforcing any and all Liens on Collateral granted by any Borrower to secure any of the Obligations and to take all other actions, exercise all powers and perform such duties as are delegated to Administrative Agent under the Loan Documents, together with such powers and discretion as are reasonably incidental thereto. In furtherance thereof, the Administrative Agent and any co-agents, sub-agents and attorneys-in-fact appointed by the Administrative Agent pursuant to </w:t>
      </w:r>
      <w:r>
        <w:rPr>
          <w:rFonts w:ascii="Arial" w:hAnsi="Arial"/>
          <w:b w:val="false"/>
          <w:color w:val="000000"/>
          <w:sz w:val="20"/>
          <w:u w:val="single"/>
        </w:rPr>
        <w:t>Section 5.2</w:t>
      </w:r>
      <w:r>
        <w:rPr>
          <w:color w:val="000000"/>
        </w:rPr>
        <w:t xml:space="preserve"> </w:t>
      </w:r>
      <w:r>
        <w:rPr>
          <w:rFonts w:ascii="Arial" w:hAnsi="Arial"/>
          <w:b w:val="false"/>
          <w:color w:val="000000"/>
          <w:sz w:val="20"/>
        </w:rPr>
        <w:t xml:space="preserve">for purposes of holding or enforcing any Lien on the Collateral (or any portion thereof) granted under this Agreement or any other Loan Document, or for exercising any rights and remedies thereunder (at the direction of the Administrative Agent), shall be entitled to the benefits of all provisions of this </w:t>
      </w:r>
      <w:r>
        <w:rPr>
          <w:rFonts w:ascii="Arial" w:hAnsi="Arial"/>
          <w:b w:val="false"/>
          <w:color w:val="000000"/>
          <w:sz w:val="20"/>
          <w:u w:val="single"/>
        </w:rPr>
        <w:t>Article 5</w:t>
      </w:r>
      <w:r>
        <w:rPr>
          <w:rFonts w:ascii="Arial" w:hAnsi="Arial"/>
          <w:b w:val="false"/>
          <w:color w:val="000000"/>
          <w:sz w:val="20"/>
        </w:rPr>
        <w:t>, as though such co-agents, sub-agents and attorneys-in-fact were the “collateral agent” under the Loan Documents as if set forth in full herein with respect thereto.</w:t>
      </w:r>
    </w:p>
    <w:p>
      <w:pPr>
        <w:pStyle w:val="TextBody"/>
        <w:bidi w:val="0"/>
        <w:spacing w:before="0" w:after="240"/>
        <w:jc w:val="both"/>
        <w:rPr>
          <w:rFonts w:ascii="Arial" w:hAnsi="Arial"/>
          <w:b w:val="false"/>
          <w:color w:val="000000"/>
          <w:sz w:val="20"/>
        </w:rPr>
      </w:pPr>
      <w:r>
        <w:rPr>
          <w:rFonts w:ascii="Arial" w:hAnsi="Arial"/>
          <w:b w:val="false"/>
          <w:color w:val="000000"/>
          <w:sz w:val="20"/>
        </w:rPr>
        <w:t>5.2</w:t>
      </w:r>
    </w:p>
    <w:p>
      <w:pPr>
        <w:pStyle w:val="TextBody"/>
        <w:bidi w:val="0"/>
        <w:spacing w:before="0" w:after="240"/>
        <w:jc w:val="both"/>
        <w:rPr/>
      </w:pPr>
      <w:r>
        <w:rPr>
          <w:rFonts w:ascii="Arial" w:hAnsi="Arial"/>
          <w:b w:val="false"/>
          <w:color w:val="000000"/>
          <w:sz w:val="20"/>
          <w:u w:val="single"/>
        </w:rPr>
        <w:t>Delegation of Duties</w:t>
      </w:r>
      <w:r>
        <w:rPr>
          <w:rFonts w:ascii="Arial" w:hAnsi="Arial"/>
          <w:b w:val="false"/>
          <w:color w:val="000000"/>
          <w:sz w:val="20"/>
        </w:rPr>
        <w:t xml:space="preserve">. Administrative Agent may execute any of its duties under this Agreement and the other Loan Documents by or through its agents or attorneys-in-fact shall be entitled to advice of counsel concerning all matters pertaining to such duties. The exculpatory and indemnification provisions of this Article 5 shall apply to attorney-in-fact and shall apply to their respective activities in connection with the syndication of the Loans as well as activities as the Administrative Agent. The Administrative Agent shall not be responsible for the negligence or misconduct of any agents or attorneys-in-fact selected by it with reasonable care. </w:t>
      </w:r>
    </w:p>
    <w:p>
      <w:pPr>
        <w:pStyle w:val="TextBody"/>
        <w:bidi w:val="0"/>
        <w:spacing w:before="0" w:after="240"/>
        <w:jc w:val="both"/>
        <w:rPr>
          <w:rFonts w:ascii="Arial" w:hAnsi="Arial"/>
          <w:b w:val="false"/>
          <w:color w:val="000000"/>
          <w:sz w:val="20"/>
        </w:rPr>
      </w:pPr>
      <w:r>
        <w:rPr>
          <w:rFonts w:ascii="Arial" w:hAnsi="Arial"/>
          <w:b w:val="false"/>
          <w:color w:val="000000"/>
          <w:sz w:val="20"/>
        </w:rPr>
        <w:t>5.3</w:t>
      </w:r>
    </w:p>
    <w:p>
      <w:pPr>
        <w:pStyle w:val="TextBody"/>
        <w:bidi w:val="0"/>
        <w:spacing w:before="0" w:after="240"/>
        <w:jc w:val="both"/>
        <w:rPr/>
      </w:pPr>
      <w:r>
        <w:rPr>
          <w:rFonts w:ascii="Arial" w:hAnsi="Arial"/>
          <w:b w:val="false"/>
          <w:color w:val="000000"/>
          <w:sz w:val="20"/>
          <w:u w:val="single"/>
        </w:rPr>
        <w:t>Exculpatory Provisions</w:t>
      </w:r>
      <w:r>
        <w:rPr>
          <w:rFonts w:ascii="Arial" w:hAnsi="Arial"/>
          <w:b w:val="false"/>
          <w:color w:val="000000"/>
          <w:sz w:val="20"/>
        </w:rPr>
        <w:t xml:space="preserve">. Neither Administrative Agent nor any of its Affiliates nor any of their respective officers, directors, employees, agents, advisors or attorneys-in-fact shall be (i) liable for any action taken or omitted to be taken, (including the making of (or omitting to make) any determination, calculations, selection, request or providing any approval or consent or enter into any amendments, modifications or supplements) by it or such Person under or in connection with this Agreement or any other Loan Document (except to the extent that any of the foregoing are found by a final and nonappealable judgment of a court of competent jurisdiction to have resulted from its or such Person’s own gross negligence or willful misconduct; provided, that no action taken or not taken in accordance with the directions of the Required Lenders or such other percentage of Lenders as shall be necessary hereunder, as applicable, shall be deemed to constitute gross negligence or willful misconduct) or (ii) responsible in any manner to any of the Lenders for (A) any recitals, statements, representations or warranties made by Borrower or any officer thereof contained in this Agreement or any other Loan Document or in any certificate, report, instrument, statement or other document referred to or provided for in, or received by the Administrative Agent or Lenders under or in connection with, this Agreement or any other Loan Document or the transactions contemplated herein or therein, (B) the value, validity, effectiveness, genuineness, enforceability, execution, collectability or sufficiency of this Agreement or any other Loan Document or for any failure of any Borrower a party thereto to perform its obligations hereunder or thereunder, (C) the financial condition or business affairs of Borrower or any other Person liable for the payment of any Obligations or (D) the attachment, creation and/or perfection of the Liens granted or purported to be granted in the Collateral pursuant to this Agreement or the continuation and/or amendment of any financing statements filed to perfect the Liens in the applicable Collateral (other than to the extent expressly directed by the Required Lenders). The Administrative Agent shall not be under any obligation to any Lender (i) to ascertain or to inquire as to the observance or performance of any of the agreements, terms, covenants or provisions contained in, or conditions of, this Agreement or any other Loan Document, (ii) to inspect the properties, books or records of any Borrower, (iii) to ascertain or to inquire as to the use of the proceeds of the Loans, (iv) to ascertain or to inquire as to the existence or possible existence of any Event of Default, (v) to ascertain or to inquire as to any statement, warranty or representation made in or in connection with this Agreement or any other Loan Document, (vi) to ascertain or to inquire as to the contents of any certificate, report or other document delivered hereunder or under any Loan Documents or in connection herewith or therewith, (vii) to ascertain or to inquire as to the validity, enforceability, effectiveness or genuineness of this Agreement, any other Loan Document or any other agreement, instrument or document, or the creation, perfection or priority of any Lien purported to be created by this Agreement, (viii) </w:t>
      </w:r>
    </w:p>
    <w:p>
      <w:pPr>
        <w:pStyle w:val="TextBody"/>
        <w:bidi w:val="0"/>
        <w:jc w:val="center"/>
        <w:rPr>
          <w:rFonts w:ascii="Arial" w:hAnsi="Arial"/>
          <w:b w:val="false"/>
          <w:color w:val="000000"/>
          <w:sz w:val="20"/>
        </w:rPr>
      </w:pPr>
      <w:r>
        <w:rPr>
          <w:rFonts w:ascii="Arial" w:hAnsi="Arial"/>
          <w:b w:val="false"/>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to ascertain or to inquire as to the value or the sufficiency of any Collateral, or (ix) to ascertain or to inquire as to the satisfaction of any condition set forth in Article 2 or elsewhere herein, other than to confirm receipt of items expressly required to be delivered to the Administrative Agent or (x) to make any disclosures with respect to the foregoing or otherwise relating to any Borrower unless expressly required herein. Anything contained herein to the contrary notwithstanding, the Administrative Agent shall not have any liability to the Lenders arising from confirmations of the amount of outstanding Loans or the component amounts thereof. Additionally, the Administrative Agent shall not be responsible or have any liability for, or have any duty to ascertain, inquire into, monitor or enforce, compliance with the provisions hereof relating to Defaulting Lenders, Affiliates of a Lender (or otherwise determine whether a Person qualifies as a Defaulting Lender or Affiliate of a Lender). Without limiting the generality of the foregoing, the Administrative Agent shall not (x) be obligated to ascertain, monitor or inquire as to whether any Lender or participant or prospective Lender or participant qualifies as a Defaulting Lender or Affiliate of a Lender and, absent actual knowledge to the contrary (which may be by written notice), shall be permitted to treat each Lender, participant, prospective Lender or prospective participant as if it is not a Defaulting Lender or Affiliate of a Lender or (y) have any liability with respect to or arising out of any assignment or participation of Loans, or disclosure of confidential information, to any Defaulting Lender or Affiliate of a Lender.</w:t>
      </w:r>
      <w:r>
        <w:rPr>
          <w:color w:val="00000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5.4</w:t>
      </w:r>
    </w:p>
    <w:p>
      <w:pPr>
        <w:pStyle w:val="TextBody"/>
        <w:bidi w:val="0"/>
        <w:spacing w:before="0" w:after="240"/>
        <w:jc w:val="both"/>
        <w:rPr/>
      </w:pPr>
      <w:r>
        <w:rPr>
          <w:rFonts w:ascii="Arial" w:hAnsi="Arial"/>
          <w:b w:val="false"/>
          <w:color w:val="000000"/>
          <w:sz w:val="20"/>
          <w:u w:val="single"/>
        </w:rPr>
        <w:t>Reliance by the Administrative Agent</w:t>
      </w:r>
      <w:r>
        <w:rPr>
          <w:rFonts w:ascii="Arial" w:hAnsi="Arial"/>
          <w:b w:val="false"/>
          <w:color w:val="000000"/>
          <w:sz w:val="20"/>
        </w:rPr>
        <w:t xml:space="preserve">. Administrative Agent shall be entitled to rely, and shall be fully protected in relying, upon (and shall not be liable for so relaying upon) any communication, request, instrument, writing, resolution, notice, consent, certificate, affidavit, letter, telecopy or email message, internet or intranet website posting, statement, order or other document (or other writing) or conversation believed by it to be genuine and correct and to have been signed, sent or made (or authenticated) by the proper Person or Persons and upon advice and statements of legal counsel (including counsel to the Borrower), independent accountants and other experts and professional advisors selected by the Administrative Agent.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request instructions from the Required Lenders (or such number or percentage of the Lenders as shall be necessary under the circumstances as provided for herein or in the other Loan Documents) prior to taking any action or enter into any amendments, modifications or supplements, making any determination (including as to whether any agreement, document or instrument is in form and substance satisfactory to the Administrative Agent), making any calculation (which may be confirmed by the Required Lenders), sending any notice, making a selection or request (including failing to make a selection or request), exercising any voting rights or powers (including failing to exercise any voting rights or powers) or providing any consent or approval (including failing to provide any consent or approval) in connection with this Agreement or any of the other Loan Documents and may refrain (and shall incur no liability from so refraining) from taking or omitting to take any act or making any such determination, calculation, selection, request, exercising such voting rights or powers or providing such notice, approval or consent or entering into or any amendments, modifications or supplements until it receives such instruction (or calculation, as applicable) from the Required Lenders (or such number or percentage of the Lenders as shall be necessary under the circumstances as provided for herein or in the other Loan Documents), in each case as it reasonably deems appropriate (and until such instructions and indemnity, as applicable, are received, the Administrative Agent may (but shall not be obligated to) act, or refrain from acting, as it deems advisable in good faith in the interests of the Lenders). The Administrative Agent shall in all cases be fully protected in acting, or in refraining from acting, under this Agreement and the other Loan Documents in accordance with a request of the Required Lenders (or such number or percentage of the Lenders as shall be necessary under the circumstances as provided for herein or in the other Loan Documents), and such request and any action taken or failure to act pursuant thereto shall be binding upon all the Lenders and all future holders of the Loans. Notwithstanding any other provisions set forth in this Agreement or any other Loan Documents, the Administrative Agent shall not be required to take any action that is in its opinion contrary to applicable requirement of law (including, for the avoidance of doubt, any action that may be in violation of the automatic stay under the Bankruptcy Code (or any similar laws)) or that may effect a forfeiture, modification or termination of property of a Defaulting Lender in violation of Bankruptcy Code (or any similar laws) or the terms of any of the Loan Documents or that would in its reasonable opinion subject it or any of its officers, employees or directors to personal liability. Each Lender, by delivering its signature </w:t>
      </w:r>
    </w:p>
    <w:p>
      <w:pPr>
        <w:pStyle w:val="TextBody"/>
        <w:bidi w:val="0"/>
        <w:jc w:val="center"/>
        <w:rPr>
          <w:rFonts w:ascii="Arial" w:hAnsi="Arial"/>
          <w:b w:val="false"/>
          <w:color w:val="000000"/>
          <w:sz w:val="20"/>
        </w:rPr>
      </w:pPr>
      <w:r>
        <w:rPr>
          <w:rFonts w:ascii="Arial" w:hAnsi="Arial"/>
          <w:b w:val="false"/>
          <w:color w:val="000000"/>
          <w:sz w:val="20"/>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page to this Agreement, an Assignment and Acceptance and/or funding its Loans, shall be deemed to have acknowledged receipt of, and consented to and approved, each Loan Document and each other document required to be approved by the Administrative Agent, Required Lenders or Lenders, as applicable on the Closing Date or as of the date of funding such Loan. On any applicable date of determination, upon request, the Administrative Agent shall be required to calculate whether a particular group of Lenders constitutes the Required Lenders. The Administrative Agent shall not be required to remit payments, the proceeds of Collateral or any other funds to the Lenders or any other Secured Parties herein except in accordance with the Loan Documents.</w:t>
      </w:r>
    </w:p>
    <w:p>
      <w:pPr>
        <w:pStyle w:val="TextBody"/>
        <w:bidi w:val="0"/>
        <w:spacing w:before="0" w:after="240"/>
        <w:jc w:val="both"/>
        <w:rPr>
          <w:rFonts w:ascii="Arial" w:hAnsi="Arial"/>
          <w:b w:val="false"/>
          <w:color w:val="000000"/>
          <w:sz w:val="20"/>
        </w:rPr>
      </w:pPr>
      <w:r>
        <w:rPr>
          <w:rFonts w:ascii="Arial" w:hAnsi="Arial"/>
          <w:b w:val="false"/>
          <w:color w:val="000000"/>
          <w:sz w:val="20"/>
        </w:rPr>
        <w:t>5.5</w:t>
      </w:r>
    </w:p>
    <w:p>
      <w:pPr>
        <w:pStyle w:val="TextBody"/>
        <w:bidi w:val="0"/>
        <w:spacing w:before="0" w:after="240"/>
        <w:jc w:val="both"/>
        <w:rPr/>
      </w:pPr>
      <w:r>
        <w:rPr>
          <w:rFonts w:ascii="Arial" w:hAnsi="Arial"/>
          <w:b w:val="false"/>
          <w:color w:val="000000"/>
          <w:sz w:val="20"/>
          <w:u w:val="single"/>
        </w:rPr>
        <w:t>Notice of Default</w:t>
      </w:r>
      <w:r>
        <w:rPr>
          <w:rFonts w:ascii="Arial" w:hAnsi="Arial"/>
          <w:b w:val="false"/>
          <w:color w:val="000000"/>
          <w:sz w:val="20"/>
        </w:rPr>
        <w:t>. Administrative Agent shall not be deemed to have knowledge or notice of the occurrence of any Potential Event of Default or Event of Default unless the Administrative Agent has received written notice from a Lender or the Borrower referring to this Agreement, describing such Potential Event of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Potential Event of Default or Event of Default as shall be reasonably directed by the Required Lenders (or, if so specified by this Agreement, all Lenders or such number or percentage of the Lenders as shall be necessary under the circumstances as provided for herein or in the other Loan Documents); provided that unless and until the Administrative Agent shall have received such directions, the Administrative Agent may (but shall not be obligated to) take such action, or refrain from taking such action, with respect to such Potential Event of Default or Event of Default as it shall deem advisable in good faith in the interests of the Lenders.</w:t>
      </w:r>
    </w:p>
    <w:p>
      <w:pPr>
        <w:pStyle w:val="TextBody"/>
        <w:bidi w:val="0"/>
        <w:spacing w:before="0" w:after="240"/>
        <w:jc w:val="both"/>
        <w:rPr>
          <w:rFonts w:ascii="Arial" w:hAnsi="Arial"/>
          <w:b w:val="false"/>
          <w:color w:val="000000"/>
          <w:sz w:val="20"/>
        </w:rPr>
      </w:pPr>
      <w:r>
        <w:rPr>
          <w:rFonts w:ascii="Arial" w:hAnsi="Arial"/>
          <w:b w:val="false"/>
          <w:color w:val="000000"/>
          <w:sz w:val="20"/>
        </w:rPr>
        <w:t>5.6</w:t>
      </w:r>
    </w:p>
    <w:p>
      <w:pPr>
        <w:pStyle w:val="TextBody"/>
        <w:bidi w:val="0"/>
        <w:spacing w:before="0" w:after="240"/>
        <w:jc w:val="both"/>
        <w:rPr/>
      </w:pPr>
      <w:r>
        <w:rPr>
          <w:rFonts w:ascii="Arial" w:hAnsi="Arial"/>
          <w:b w:val="false"/>
          <w:color w:val="000000"/>
          <w:sz w:val="20"/>
          <w:u w:val="single"/>
        </w:rPr>
        <w:t>Non-Reliance on Administrative Agent and Other Lenders</w:t>
      </w:r>
      <w:r>
        <w:rPr>
          <w:rFonts w:ascii="Arial" w:hAnsi="Arial"/>
          <w:b w:val="false"/>
          <w:color w:val="000000"/>
          <w:sz w:val="20"/>
        </w:rPr>
        <w:t>. Each Lender expressly acknowledges that neither the Administrative Agent nor any of its Affiliates nor any of their respective officers, directors, employees, agents, advisors or attorneys in fact have made any representations or warranties to it and that no act by the Administrative Agent hereafter taken, including any review of the affairs of a Borrower or any affiliate of a Borrower,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 investigation into the business, operations, property, financial and other condition and creditworthiness of the Borrower and its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and its affiliates. Except for notices, reports and other documents expressly required hereunder or otherwise requested by the Borrower in writing to be furnished to the Lenders by the Administrative Agent, the Administrative Agent shall not have any duty or responsibility to provide any Lender with any credit or other information concerning the business, operations, property, condition (financial or otherwise), prospects or creditworthiness of Borrower or any affiliate of Borrower that may come into the possession of the Administrative Agent or any of its officers, directors, employees, agents, advisors, attorneys in fact or affiliates.</w:t>
      </w:r>
    </w:p>
    <w:p>
      <w:pPr>
        <w:pStyle w:val="TextBody"/>
        <w:bidi w:val="0"/>
        <w:spacing w:before="0" w:after="240"/>
        <w:jc w:val="both"/>
        <w:rPr>
          <w:rFonts w:ascii="Arial" w:hAnsi="Arial"/>
          <w:b w:val="false"/>
          <w:color w:val="000000"/>
          <w:sz w:val="20"/>
        </w:rPr>
      </w:pPr>
      <w:r>
        <w:rPr>
          <w:rFonts w:ascii="Arial" w:hAnsi="Arial"/>
          <w:b w:val="false"/>
          <w:color w:val="000000"/>
          <w:sz w:val="20"/>
        </w:rPr>
        <w:t>5.7</w:t>
      </w:r>
    </w:p>
    <w:p>
      <w:pPr>
        <w:pStyle w:val="TextBody"/>
        <w:bidi w:val="0"/>
        <w:spacing w:before="0" w:after="240"/>
        <w:jc w:val="both"/>
        <w:rPr/>
      </w:pPr>
      <w:r>
        <w:rPr>
          <w:rFonts w:ascii="Arial" w:hAnsi="Arial"/>
          <w:b w:val="false"/>
          <w:color w:val="000000"/>
          <w:sz w:val="20"/>
          <w:u w:val="single"/>
        </w:rPr>
        <w:t>Indemnification</w:t>
      </w:r>
      <w:r>
        <w:rPr>
          <w:rFonts w:ascii="Arial" w:hAnsi="Arial"/>
          <w:b w:val="false"/>
          <w:color w:val="000000"/>
          <w:sz w:val="20"/>
        </w:rPr>
        <w:t xml:space="preserve">. The Lenders agree to indemnify, hold harmless and defend the Administrative Agent and its Affiliates and their respective officers, directors, employees, agents, advisors and controlling persons (each, an “Agent Indemnitee”) (to the extent not timely reimbursed by the Borrower and without limiting the obligation of the Borrower to do so), ratably according to their respective Pro Rata Shares in effect on the date on which indemnification is sought under this </w:t>
      </w:r>
      <w:r>
        <w:rPr>
          <w:rFonts w:ascii="Arial" w:hAnsi="Arial"/>
          <w:b w:val="false"/>
          <w:color w:val="000000"/>
          <w:sz w:val="20"/>
          <w:u w:val="single"/>
        </w:rPr>
        <w:t>Section 5.7</w:t>
      </w:r>
      <w:r>
        <w:rPr>
          <w:color w:val="000000"/>
        </w:rPr>
        <w:t xml:space="preserve"> </w:t>
      </w:r>
      <w:r>
        <w:rPr>
          <w:rFonts w:ascii="Arial" w:hAnsi="Arial"/>
          <w:b w:val="false"/>
          <w:color w:val="000000"/>
          <w:sz w:val="20"/>
        </w:rPr>
        <w:t xml:space="preserve">(or, if indemnification is sought after the date upon which the Commitments shall have terminated and the Loans shall have been paid in full, ratably in accordance with such Pro Rata Shares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w:t>
      </w:r>
    </w:p>
    <w:p>
      <w:pPr>
        <w:pStyle w:val="TextBody"/>
        <w:bidi w:val="0"/>
        <w:jc w:val="center"/>
        <w:rPr>
          <w:rFonts w:ascii="Arial" w:hAnsi="Arial"/>
          <w:b w:val="false"/>
          <w:color w:val="000000"/>
          <w:sz w:val="20"/>
        </w:rPr>
      </w:pPr>
      <w:r>
        <w:rPr>
          <w:rFonts w:ascii="Arial" w:hAnsi="Arial"/>
          <w:b w:val="false"/>
          <w:color w:val="000000"/>
          <w:sz w:val="20"/>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Arial" w:hAnsi="Arial"/>
          <w:b w:val="false"/>
          <w:color w:val="000000"/>
          <w:sz w:val="20"/>
        </w:rPr>
        <w:t xml:space="preserve">documents contemplated by or referred to herein or therein or the transactions contemplated hereby or thereby or any action taken or omitted by such Agent Indemnitee under or in connection with any of the foregoing including without limitation, exercising any of the Administrative Agent’s powers, rights, and remedies and performing their duties hereunder and thereunder (or omitting to do the same); provided that no Lender shall be liable to any Agent Indemnitee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bad faith, gross negligence or willful misconduct, provided, however, no action taken or not taken in accordance with the directions of the Administrative Agent, Required Lenders or such other percentage of Lenders as shall be necessary hereunder, as applicable, shall be deemed to constitute gross negligence or willful misconduct. The agreements in this </w:t>
      </w:r>
      <w:r>
        <w:rPr>
          <w:rFonts w:ascii="Arial" w:hAnsi="Arial"/>
          <w:b w:val="false"/>
          <w:color w:val="000000"/>
          <w:sz w:val="20"/>
          <w:u w:val="single"/>
        </w:rPr>
        <w:t>Section 5.7</w:t>
      </w:r>
      <w:r>
        <w:rPr>
          <w:color w:val="000000"/>
        </w:rPr>
        <w:t xml:space="preserve"> </w:t>
      </w:r>
      <w:r>
        <w:rPr>
          <w:rFonts w:ascii="Arial" w:hAnsi="Arial"/>
          <w:b w:val="false"/>
          <w:color w:val="000000"/>
          <w:sz w:val="20"/>
        </w:rPr>
        <w:t>shall survive the termination of this Agreement and the payment of the Loans and all other amounts payable hereunder.</w:t>
      </w:r>
    </w:p>
    <w:p>
      <w:pPr>
        <w:pStyle w:val="TextBody"/>
        <w:bidi w:val="0"/>
        <w:spacing w:before="0" w:after="240"/>
        <w:jc w:val="both"/>
        <w:rPr>
          <w:rFonts w:ascii="Arial" w:hAnsi="Arial"/>
          <w:b w:val="false"/>
          <w:color w:val="000000"/>
          <w:sz w:val="20"/>
        </w:rPr>
      </w:pPr>
      <w:r>
        <w:rPr>
          <w:rFonts w:ascii="Arial" w:hAnsi="Arial"/>
          <w:b w:val="false"/>
          <w:color w:val="000000"/>
          <w:sz w:val="20"/>
        </w:rPr>
        <w:t>5.8</w:t>
      </w:r>
    </w:p>
    <w:p>
      <w:pPr>
        <w:pStyle w:val="TextBody"/>
        <w:bidi w:val="0"/>
        <w:spacing w:before="0" w:after="240"/>
        <w:jc w:val="both"/>
        <w:rPr/>
      </w:pPr>
      <w:r>
        <w:rPr>
          <w:rFonts w:ascii="Arial" w:hAnsi="Arial"/>
          <w:b w:val="false"/>
          <w:color w:val="000000"/>
          <w:sz w:val="20"/>
          <w:u w:val="single"/>
        </w:rPr>
        <w:t>Administrative Agent in Its Individual Capacity</w:t>
      </w:r>
      <w:r>
        <w:rPr>
          <w:rFonts w:ascii="Arial" w:hAnsi="Arial"/>
          <w:b w:val="false"/>
          <w:color w:val="000000"/>
          <w:sz w:val="20"/>
        </w:rPr>
        <w:t>. Administrative Agent and its affiliates may make loans to, accept deposits from and generally engage in any kind of business with Borrower as though the Administrative Agent were not the Administrative Agent. With respect to its Loans made or renewed by it,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pStyle w:val="TextBody"/>
        <w:bidi w:val="0"/>
        <w:spacing w:before="0" w:after="240"/>
        <w:jc w:val="both"/>
        <w:rPr>
          <w:rFonts w:ascii="Arial" w:hAnsi="Arial"/>
          <w:b w:val="false"/>
          <w:color w:val="000000"/>
          <w:sz w:val="20"/>
        </w:rPr>
      </w:pPr>
      <w:r>
        <w:rPr>
          <w:rFonts w:ascii="Arial" w:hAnsi="Arial"/>
          <w:b w:val="false"/>
          <w:color w:val="000000"/>
          <w:sz w:val="20"/>
        </w:rPr>
        <w:t>5.9</w:t>
      </w:r>
    </w:p>
    <w:p>
      <w:pPr>
        <w:pStyle w:val="TextBody"/>
        <w:bidi w:val="0"/>
        <w:spacing w:before="0" w:after="240"/>
        <w:jc w:val="both"/>
        <w:rPr/>
      </w:pPr>
      <w:r>
        <w:rPr>
          <w:rFonts w:ascii="Arial" w:hAnsi="Arial"/>
          <w:b w:val="false"/>
          <w:color w:val="000000"/>
          <w:sz w:val="20"/>
          <w:u w:val="single"/>
        </w:rPr>
        <w:t>Successor Administrative Agent</w:t>
      </w:r>
      <w:r>
        <w:rPr>
          <w:rFonts w:ascii="Arial" w:hAnsi="Arial"/>
          <w:b w:val="false"/>
          <w:color w:val="000000"/>
          <w:sz w:val="20"/>
        </w:rPr>
        <w:t xml:space="preserve">. Administrative Agent may resign as Administrative Agent (which shall include the Administrative Agent’s capacities as administrative agent and collateral agent) upon 30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with respect to the Borrower shall have occurred and be continuing) be subject to written approval by the Borrower (which approval shall not be unreasonably withheld or delayed), whereupon such successor agent shall succeed to the rights, powers and duties of the Administrative Agent (other than any rights to indemnity payments or other amounts owed to the retiring Administrative Agent as of the Resignation Effective Date),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Any successor Administrative Agent appointed pursuant to this </w:t>
      </w:r>
      <w:r>
        <w:rPr>
          <w:rFonts w:ascii="Arial" w:hAnsi="Arial"/>
          <w:b w:val="false"/>
          <w:color w:val="000000"/>
          <w:sz w:val="20"/>
          <w:u w:val="single"/>
        </w:rPr>
        <w:t>Section 5.9</w:t>
      </w:r>
      <w:r>
        <w:rPr>
          <w:color w:val="000000"/>
        </w:rPr>
        <w:t xml:space="preserve"> </w:t>
      </w:r>
      <w:r>
        <w:rPr>
          <w:rFonts w:ascii="Arial" w:hAnsi="Arial"/>
          <w:b w:val="false"/>
          <w:color w:val="000000"/>
          <w:sz w:val="20"/>
        </w:rPr>
        <w:t>shall, upon its acceptance of such appointment, become the successor Administrative Agent for all purposes hereunder unless otherwise agreed. If no successor agent has accepted appointment as Administrative Agent by the date that is 30 days following a retiring Administrative Agent’s delivery of its notice of resignation, the retiring Administrative Agent may (but shall not be obligated to), on behalf of the Lenders and with the written consent of the Borrower (such consent not to be unreasonably withheld or delayed or required if an Event of Default shall have occurred and be continuing) appoint a successor Administrative Agent, which shall be a commercial bank organized or licensed under the laws of the United States of America or of any State thereof and having a combined capital and surplus of at least Five Hundred Million Dollars ($500,000,000.00). If no successor agent has accepted appointment as Administrative Agent by the date that is 30 days following a retiring Administrative Agent’s notice of resignation (“</w:t>
      </w:r>
      <w:r>
        <w:rPr>
          <w:rFonts w:ascii="Arial" w:hAnsi="Arial"/>
          <w:b w:val="false"/>
          <w:color w:val="000000"/>
          <w:sz w:val="20"/>
          <w:u w:val="single"/>
        </w:rPr>
        <w:t>Resignation Effective Date</w:t>
      </w:r>
      <w:r>
        <w:rPr>
          <w:color w:val="000000"/>
        </w:rPr>
        <w:t>”</w:t>
      </w:r>
      <w:r>
        <w:rPr>
          <w:rFonts w:ascii="Arial" w:hAnsi="Arial"/>
          <w:b w:val="false"/>
          <w:color w:val="000000"/>
          <w:sz w:val="20"/>
        </w:rPr>
        <w:t xml:space="preserve">), the retiring Administrative Agent’s resignation shall nevertheless thereupon become effective in accordance with such notice, and (i) the Lenders shall assume and perform all of the duties of the Administrative Agent hereunder until such time, if any, as the Required Lenders appoint a successor agent as provided for above, (ii) the retiring Administrative Agent shall be discharged from its duties and obligations hereunder and under the other Loan Documents and (iii) except for any indemnity payments or other amounts then owed to the retiring Administrative Agent, all payments, communications and determinations provided to be made by, to or through the Administrative Agent shall instead be made by or to each Lender directly, until such time, if any, as the successor Administrative Agent is appointed as provided for above. After any retiring Administrative Agent’s resignation as Administrative Agent, the provisions of this Article 5 shall continue to inure to its benefit as to any actions taken or omitted to be taken </w:t>
      </w:r>
    </w:p>
    <w:p>
      <w:pPr>
        <w:pStyle w:val="TextBody"/>
        <w:bidi w:val="0"/>
        <w:jc w:val="center"/>
        <w:rPr>
          <w:rFonts w:ascii="Arial" w:hAnsi="Arial"/>
          <w:b w:val="false"/>
          <w:color w:val="000000"/>
          <w:sz w:val="20"/>
        </w:rPr>
      </w:pPr>
      <w:r>
        <w:rPr>
          <w:rFonts w:ascii="Arial" w:hAnsi="Arial"/>
          <w:b w:val="false"/>
          <w:color w:val="000000"/>
          <w:sz w:val="20"/>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by it while it was Administrative Agent. Notwithstanding anything to the contrary, in no event shall a successor agent be a Defaulting Lender.</w:t>
      </w:r>
    </w:p>
    <w:p>
      <w:pPr>
        <w:pStyle w:val="TextBody"/>
        <w:bidi w:val="0"/>
        <w:spacing w:before="0" w:after="240"/>
        <w:jc w:val="both"/>
        <w:rPr>
          <w:rFonts w:ascii="Arial" w:hAnsi="Arial"/>
          <w:b w:val="false"/>
          <w:color w:val="000000"/>
          <w:sz w:val="20"/>
        </w:rPr>
      </w:pPr>
      <w:r>
        <w:rPr>
          <w:rFonts w:ascii="Arial" w:hAnsi="Arial"/>
          <w:b w:val="false"/>
          <w:color w:val="000000"/>
          <w:sz w:val="20"/>
        </w:rPr>
        <w:t>5.10</w:t>
      </w:r>
    </w:p>
    <w:p>
      <w:pPr>
        <w:pStyle w:val="TextBody"/>
        <w:bidi w:val="0"/>
        <w:spacing w:before="0" w:after="240"/>
        <w:jc w:val="both"/>
        <w:rPr/>
      </w:pPr>
      <w:r>
        <w:rPr>
          <w:rFonts w:ascii="Arial" w:hAnsi="Arial"/>
          <w:b w:val="false"/>
          <w:color w:val="000000"/>
          <w:sz w:val="20"/>
          <w:u w:val="single"/>
        </w:rPr>
        <w:t>Authorization for Intercreditor Agreement and Subordination Agreement</w:t>
      </w:r>
      <w:r>
        <w:rPr>
          <w:rFonts w:ascii="Arial" w:hAnsi="Arial"/>
          <w:b w:val="false"/>
          <w:color w:val="000000"/>
          <w:sz w:val="20"/>
        </w:rPr>
        <w:t>. The Lenders irrevocably authorize the Administrative Agent to enter into and perform its obligations under any Subordination Agreement or other similar arrangement permitted under this Agreement and any amendments, restatements, supplements or other modifications thereto approved in accordance with the terms thereof (without limiting the provisions set forth in Section 5.4 hereof).</w:t>
      </w:r>
    </w:p>
    <w:p>
      <w:pPr>
        <w:pStyle w:val="TextBody"/>
        <w:bidi w:val="0"/>
        <w:spacing w:before="0" w:after="240"/>
        <w:jc w:val="both"/>
        <w:rPr>
          <w:rFonts w:ascii="Arial" w:hAnsi="Arial"/>
          <w:b w:val="false"/>
          <w:color w:val="000000"/>
          <w:sz w:val="20"/>
        </w:rPr>
      </w:pPr>
      <w:r>
        <w:rPr>
          <w:rFonts w:ascii="Arial" w:hAnsi="Arial"/>
          <w:b w:val="false"/>
          <w:color w:val="000000"/>
          <w:sz w:val="20"/>
        </w:rPr>
        <w:t>5.11</w:t>
      </w:r>
    </w:p>
    <w:p>
      <w:pPr>
        <w:pStyle w:val="TextBody"/>
        <w:bidi w:val="0"/>
        <w:spacing w:before="0" w:after="240"/>
        <w:jc w:val="both"/>
        <w:rPr/>
      </w:pPr>
      <w:r>
        <w:rPr>
          <w:rFonts w:ascii="Arial" w:hAnsi="Arial"/>
          <w:b w:val="false"/>
          <w:color w:val="000000"/>
          <w:sz w:val="20"/>
          <w:u w:val="single"/>
        </w:rPr>
        <w:t>Administrative Agent May File Proofs of Claim</w:t>
      </w:r>
      <w:r>
        <w:rPr>
          <w:rFonts w:ascii="Arial" w:hAnsi="Arial"/>
          <w:b w:val="false"/>
          <w:color w:val="000000"/>
          <w:sz w:val="20"/>
        </w:rPr>
        <w:t>. In case of the pendency of any receivership, insolvency, liquidation, bankruptcy, reorganization, arrangement, adjustment, composition or other judicial proceeding relative to any Borrower, the Administrative Agent (on behalf of the Lenders)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To file a verified statement pursuant to rule 2019 of the Federal Rules of Bankruptcy Procedure that, in its sole opinion, complies with such rule’s disclosure requirements for entities representing more than one creditor;</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hereunder) allowed in such judicial proceeding;</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To collect and receive any monies or other property payable or deliverable on any such claims and to distribute the same; and</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Any custodian, receiver, assignee, trustee, liquidator, sequestrator or other similar official in any such judicial proceeding is hereby authorized by each applicable Lender to make such payments to the Administrative Agent, as applicable, and, in the event that the Administrative Agent shall consent to the making of such payments directly to the Lenders, to pay to the Administrative Agent any amount due for the reasonable compensation, expenses, disbursements and advances of the Administrative Agent and their respective agents and counsel, and any other amounts due to the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Each Lender further agrees that it shall not propose, vote in favor of, or otherwise support any plan of reorganization that is in contravention of any plan of reorganization that is proposed or supported by the Administrative Agent, and shall affirmatively vote to “reject” any plan of reorganization that is not affirmatively supported by the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5.12</w:t>
      </w:r>
    </w:p>
    <w:p>
      <w:pPr>
        <w:pStyle w:val="TextBody"/>
        <w:bidi w:val="0"/>
        <w:spacing w:before="0" w:after="240"/>
        <w:jc w:val="both"/>
        <w:rPr/>
      </w:pPr>
      <w:r>
        <w:rPr>
          <w:rFonts w:ascii="Arial" w:hAnsi="Arial"/>
          <w:b w:val="false"/>
          <w:color w:val="000000"/>
          <w:sz w:val="20"/>
          <w:u w:val="single"/>
        </w:rPr>
        <w:t>Collateral Matters</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Administrative Agent is hereby authorized on behalf of the Lenders, without the necessity of any notice to or further consent from the Lenders, from time to time (but without any obligation) to take any action with respect to the Collateral and this Agreement or any other Loan Document that may be necessary to perfect and maintain perfected Liens upon the Collateral granted pursuant to this Agreement or any other Loan Document if required or expressly permitted under the terms of any of the other Loan Documents.</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Each of the Lenders hereby irrevocably authorize and instruct the Administrative Agent to, and the Administrative Agent shall:</w:t>
      </w:r>
    </w:p>
    <w:p>
      <w:pPr>
        <w:pStyle w:val="TextBody"/>
        <w:bidi w:val="0"/>
        <w:jc w:val="center"/>
        <w:rPr>
          <w:rFonts w:ascii="Arial" w:hAnsi="Arial"/>
          <w:b w:val="false"/>
          <w:color w:val="000000"/>
          <w:sz w:val="20"/>
        </w:rPr>
      </w:pPr>
      <w:r>
        <w:rPr>
          <w:rFonts w:ascii="Arial" w:hAnsi="Arial"/>
          <w:b w:val="false"/>
          <w:color w:val="000000"/>
          <w:sz w:val="20"/>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pPr>
      <w:r>
        <w:rPr>
          <w:rFonts w:ascii="Arial" w:hAnsi="Arial"/>
          <w:b w:val="false"/>
          <w:color w:val="000000"/>
          <w:sz w:val="20"/>
        </w:rPr>
        <w:t xml:space="preserve">Release (or confirm any release) any Lien granted to or held by the Administrative Agent upon any Collateral (A) upon the date on which all Obligations have been repaid in full, (B) constituting property sold or to be sold or otherwise disposed of as part of or in connection with any disposition permitted hereunder or under any other Loan Document or to which the Required Lenders have consented, (C) that does not constitute (or ceases to constitute) Collateral, (D) otherwise pursuant to and in accordance with the provisions of any applicable Loan Document or (E) subject to </w:t>
      </w:r>
      <w:r>
        <w:rPr>
          <w:rFonts w:ascii="Arial" w:hAnsi="Arial"/>
          <w:b w:val="false"/>
          <w:color w:val="000000"/>
          <w:sz w:val="20"/>
          <w:u w:val="single"/>
        </w:rPr>
        <w:t>Section 5.11</w:t>
      </w:r>
      <w:r>
        <w:rPr>
          <w:rFonts w:ascii="Arial" w:hAnsi="Arial"/>
          <w:b w:val="false"/>
          <w:color w:val="000000"/>
          <w:sz w:val="20"/>
        </w:rPr>
        <w:t>, if approved, authorized or ratified in writing by the Required Lenders, provided, however, that if any action is required by the Administrative Agent to so release such Lien, upon the request of the Administrative Agent, the Borrower shall have delivered to the Administrative Agent a certificate certifying to the permissibility of such release hereunder (and the Administrative Agent shall be permitted to rely upon such certificate without incurring any liability therefor);</w:t>
      </w:r>
    </w:p>
    <w:p>
      <w:pPr>
        <w:pStyle w:val="TextBody"/>
        <w:bidi w:val="0"/>
        <w:spacing w:before="0" w:after="240"/>
        <w:jc w:val="both"/>
        <w:rPr>
          <w:rFonts w:ascii="Arial" w:hAnsi="Arial"/>
          <w:b w:val="false"/>
          <w:color w:val="000000"/>
          <w:sz w:val="20"/>
        </w:rPr>
      </w:pPr>
      <w:r>
        <w:rPr>
          <w:rFonts w:ascii="Arial" w:hAnsi="Arial"/>
          <w:b w:val="false"/>
          <w:color w:val="000000"/>
          <w:sz w:val="20"/>
        </w:rPr>
        <w:t>(ii)</w:t>
      </w:r>
    </w:p>
    <w:p>
      <w:pPr>
        <w:pStyle w:val="TextBody"/>
        <w:bidi w:val="0"/>
        <w:spacing w:before="0" w:after="240"/>
        <w:jc w:val="both"/>
        <w:rPr>
          <w:rFonts w:ascii="Arial" w:hAnsi="Arial"/>
          <w:b w:val="false"/>
          <w:color w:val="000000"/>
          <w:sz w:val="20"/>
        </w:rPr>
      </w:pPr>
      <w:r>
        <w:rPr>
          <w:rFonts w:ascii="Arial" w:hAnsi="Arial"/>
          <w:b w:val="false"/>
          <w:color w:val="000000"/>
          <w:sz w:val="20"/>
        </w:rPr>
        <w:t>Enter into any Subordination Agreement and/or similar agreement contemplated hereunder, including with respect to Debt that is (i) required or permitted to be subordinated in right of payment hereunder and/or (ii) secured by Liens and required or permitted to be pari passu with or junior to the Liens securing the Obligations, and with respect to which Debt, a Subordination Agreement or similar agreement is contemplated under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Anything contained in any of the Loan Documents to the contrary notwithstanding, the Borrower, the Administrative Agent and each Lender hereby agree that (i) no Lender (other than the Administrative Agent) shall have any right individually to realize upon any of the Collateral, (ii) no Lender shall have any right to enforce the Obligations, it being understood and agreed that all powers, rights and remedies hereunder and under any of the Loan Documents may be exercised solely by the Administrative Agent for the benefit of the Lenders in accordance with the terms hereof and thereof, and (iii) in the event of a foreclosure or similar enforcement action by the Administrative Agent on any of the Collateral pursuant to a public or private sale or other disposition (including pursuant to Section 363(k), Section 1129(b)(2)(a)(ii) or otherwise of the Bankruptcy Code), the Administrative Agent (or any Lender, except with respect to a “credit bid” pursuant to Section 363(k), Section 1129(b)(2)(a)(ii) or otherwise of the Bankruptcy Code), may be the purchaser or licensor of any or all of such Collateral at any such sale or other disposition and the Administrative Agent, as agent for and representative of Lenders (but not any Lender or the Lenders in its or their respective individual capacities) shall be entitled, upon instructions from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Administrative Agent at such sale or other disposition.</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pPr>
      <w:r>
        <w:rPr>
          <w:rFonts w:ascii="Arial" w:hAnsi="Arial"/>
          <w:b w:val="false"/>
          <w:color w:val="000000"/>
          <w:sz w:val="20"/>
        </w:rPr>
        <w:t xml:space="preserve">Administrative Agent shall not be responsible for or have a duty to ascertain or inquire into any representation or warranty regarding the existence or collectability of the Collateral, the existence, priority or perfection of the Administrative Agent’s Lien thereon, or any certificate prepared by Borrower in connection therewith, nor shall the Administrative Agent be responsible or liable to the Lenders for any failure to monitor or maintain any portion of the Collateral, Liens therein or financing statements filed in connection therewith. Upon request by the Administrative Agent at any time, the Lenders will confirm in writing the Administrative Agent’s authority to release or subordinate its interest in particular types or items of property, or to release any Borrower from its obligations under the Loan Documents or its Lien on any Collateral pursuant this </w:t>
      </w:r>
      <w:r>
        <w:rPr>
          <w:rFonts w:ascii="Arial" w:hAnsi="Arial"/>
          <w:b w:val="false"/>
          <w:color w:val="000000"/>
          <w:sz w:val="20"/>
          <w:u w:val="single"/>
        </w:rPr>
        <w:t>Section 5.12</w:t>
      </w:r>
      <w:r>
        <w:rPr>
          <w:rFonts w:ascii="Arial" w:hAnsi="Arial"/>
          <w:b w:val="false"/>
          <w:color w:val="000000"/>
          <w:sz w:val="20"/>
        </w:rPr>
        <w:t>. In each case as specified in this Article 5, the Administrative Agent will (and each Lender hereby authorizes the Administrative Agent to, at the Borrower’s expense, promptly execute and deliver to Borrower such documents, filings and recordings as Borrower may reasonably request to evidence the release of such item of Collateral from the assignment and security interest granted under this Agreement or any other Loan Document or to subordinate its interest therein, in accordance with the terms of the Loan Documents and this Article 5. Additionally, upon the reasonable request of the Borrower, the Administrative Agent will return possessory Collateral held by it that is released from the security interests of the Loan Documents pursuant to this Article 5; provided that, in the event that any possessory collateral in the possession of the Administrative Agent gets lost or misplaced upon the reasonable request of the Borrower, the Administrative Agent shall provide a loss affidavit to the Borrower in the form customarily provided by the Administrative Agent in such circumstances.</w:t>
      </w:r>
    </w:p>
    <w:p>
      <w:pPr>
        <w:pStyle w:val="TextBody"/>
        <w:bidi w:val="0"/>
        <w:jc w:val="center"/>
        <w:rPr>
          <w:rFonts w:ascii="Arial" w:hAnsi="Arial"/>
          <w:b w:val="false"/>
          <w:color w:val="000000"/>
          <w:sz w:val="20"/>
        </w:rPr>
      </w:pPr>
      <w:r>
        <w:rPr>
          <w:rFonts w:ascii="Arial" w:hAnsi="Arial"/>
          <w:b w:val="false"/>
          <w:color w:val="000000"/>
          <w:sz w:val="20"/>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caps/>
          <w:color w:val="000000"/>
          <w:sz w:val="20"/>
        </w:rPr>
      </w:pPr>
      <w:r>
        <w:rPr>
          <w:rFonts w:ascii="Arial" w:hAnsi="Arial"/>
          <w:b/>
          <w:caps/>
          <w:color w:val="000000"/>
          <w:sz w:val="20"/>
        </w:rPr>
        <w:t>Article 6</w:t>
      </w:r>
    </w:p>
    <w:p>
      <w:pPr>
        <w:pStyle w:val="TextBody"/>
        <w:bidi w:val="0"/>
        <w:spacing w:before="0" w:after="240"/>
        <w:jc w:val="center"/>
        <w:rPr>
          <w:rFonts w:ascii="Arial" w:hAnsi="Arial"/>
          <w:b/>
          <w:caps/>
          <w:color w:val="000000"/>
          <w:sz w:val="20"/>
          <w:u w:val="single"/>
        </w:rPr>
      </w:pPr>
      <w:r>
        <w:rPr>
          <w:rFonts w:ascii="Arial" w:hAnsi="Arial"/>
          <w:b/>
          <w:caps/>
          <w:color w:val="000000"/>
          <w:sz w:val="20"/>
          <w:u w:val="single"/>
        </w:rPr>
        <w:br/>
        <w:br/>
        <w:t>BORROWER’S INDEMNITY</w:t>
      </w:r>
    </w:p>
    <w:p>
      <w:pPr>
        <w:pStyle w:val="TextBody"/>
        <w:bidi w:val="0"/>
        <w:spacing w:before="0" w:after="240"/>
        <w:jc w:val="both"/>
        <w:rPr>
          <w:rFonts w:ascii="Arial" w:hAnsi="Arial"/>
          <w:b w:val="false"/>
          <w:color w:val="000000"/>
          <w:sz w:val="20"/>
        </w:rPr>
      </w:pPr>
      <w:r>
        <w:rPr>
          <w:rFonts w:ascii="Arial" w:hAnsi="Arial"/>
          <w:b w:val="false"/>
          <w:color w:val="000000"/>
          <w:sz w:val="20"/>
        </w:rPr>
        <w:t>6.1</w:t>
      </w:r>
    </w:p>
    <w:p>
      <w:pPr>
        <w:pStyle w:val="TextBody"/>
        <w:bidi w:val="0"/>
        <w:spacing w:before="0" w:after="240"/>
        <w:jc w:val="both"/>
        <w:rPr/>
      </w:pPr>
      <w:r>
        <w:rPr>
          <w:rFonts w:ascii="Arial" w:hAnsi="Arial"/>
          <w:b w:val="false"/>
          <w:color w:val="000000"/>
          <w:sz w:val="20"/>
          <w:u w:val="single"/>
        </w:rPr>
        <w:t>Indemnity By Borrower</w:t>
      </w:r>
      <w:r>
        <w:rPr>
          <w:rFonts w:ascii="Arial" w:hAnsi="Arial"/>
          <w:b w:val="false"/>
          <w:color w:val="000000"/>
          <w:sz w:val="20"/>
        </w:rPr>
        <w:t>. Borrower covenants and agrees, at its sole cost and expense and without limiting any other rights which Administrative Agent and Lenders have hereunder, to indemnify, protect and save Administrative Agent, each Lender, and each of their directors, officers, employees, consultants, agents, attorneys, or any other Person affiliated with or representing Administrative Agent or any Lender (each, an “Indemnified Person”) harmless against and from any and all claims, damages, losses, liabilities, obligations, demands, defenses, judgments, costs, disbursements Administrative Agent’s Expenses or Lender Expenses of any kind or of any nature whatsoever which may be imposed upon, incurred by or asserted or awarded against Administrative Agent or a Lender and related to or arising from the following, unless such claim, loss or damage shall be based upon the gross negligence or willful misconduct of Administrative Agent or such Lender:</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the transactions contemplated by the Loan Documents (including reasonable attorneys’ fees and expenses);</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a Lender)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any breach by Borrower of the representations, warranties, covenants, or other obligations or agreements made by Borrower in this Agreement or in any agreement related hereto or thereto;</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the violation by Borrower of any state or federal law, rule or regulation; </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a material misrepresentation made by Borrower to Administrative Agent or a Lender; and </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any governmental fees, charges, taxes or penalties levied or imposed in respect to any Collateral.</w:t>
      </w:r>
    </w:p>
    <w:p>
      <w:pPr>
        <w:pStyle w:val="TextBody"/>
        <w:bidi w:val="0"/>
        <w:spacing w:before="0" w:after="240"/>
        <w:jc w:val="both"/>
        <w:rPr>
          <w:rFonts w:ascii="Arial" w:hAnsi="Arial"/>
          <w:b w:val="false"/>
          <w:color w:val="000000"/>
          <w:sz w:val="20"/>
        </w:rPr>
      </w:pPr>
      <w:r>
        <w:rPr>
          <w:rFonts w:ascii="Arial" w:hAnsi="Arial"/>
          <w:b w:val="false"/>
          <w:color w:val="000000"/>
          <w:sz w:val="20"/>
        </w:rPr>
        <w:t>6.2</w:t>
      </w:r>
    </w:p>
    <w:p>
      <w:pPr>
        <w:pStyle w:val="TextBody"/>
        <w:bidi w:val="0"/>
        <w:spacing w:before="0" w:after="240"/>
        <w:jc w:val="both"/>
        <w:rPr/>
      </w:pPr>
      <w:r>
        <w:rPr>
          <w:rFonts w:ascii="Arial" w:hAnsi="Arial"/>
          <w:b w:val="false"/>
          <w:color w:val="000000"/>
          <w:sz w:val="20"/>
          <w:u w:val="single"/>
        </w:rPr>
        <w:t>Defense of Claims</w:t>
      </w:r>
      <w:r>
        <w:rPr>
          <w:rFonts w:ascii="Arial" w:hAnsi="Arial"/>
          <w:b w:val="false"/>
          <w:color w:val="000000"/>
          <w:sz w:val="20"/>
        </w:rPr>
        <w:t>. Borrower agrees to pay all amounts due under this Article 6 promptly on notice thereof from Administrative Agent. To the extent that Borrower may make or provide, to Administrative Agent’s satisfaction, for payment of all amounts due under this Article 6, Borrower shall be subrogated to Administrative Agent’s rights with respect to such events or conditions. So long as no Event of Default has occurred and is continuing, Borrower may defend any claims with counsel of its own choosing reasonably acceptable to Administrative Agent, provided if the claim creates a significant exposure for the Lenders in Administrative Agent’s its sole judgment, or attempts to establish legal principle adverse to any Lender or Administrative Agent, Administrative Agent, on behalf of Lenders, shall select the defense counsel. Borrower may settle any claims against Administrative Agent or a Lender, provided such settlement includes a complete release of Administrative Agent and Lenders from any claims at no cost to Administrative Agent or Lenders.</w:t>
      </w:r>
    </w:p>
    <w:p>
      <w:pPr>
        <w:pStyle w:val="TextBody"/>
        <w:bidi w:val="0"/>
        <w:spacing w:before="0" w:after="240"/>
        <w:jc w:val="both"/>
        <w:rPr>
          <w:rFonts w:ascii="Arial" w:hAnsi="Arial"/>
          <w:b w:val="false"/>
          <w:color w:val="000000"/>
          <w:sz w:val="20"/>
        </w:rPr>
      </w:pPr>
      <w:r>
        <w:rPr>
          <w:rFonts w:ascii="Arial" w:hAnsi="Arial"/>
          <w:b w:val="false"/>
          <w:color w:val="000000"/>
          <w:sz w:val="20"/>
        </w:rPr>
        <w:t>6.3</w:t>
      </w:r>
    </w:p>
    <w:p>
      <w:pPr>
        <w:pStyle w:val="TextBody"/>
        <w:bidi w:val="0"/>
        <w:spacing w:before="0" w:after="240"/>
        <w:jc w:val="both"/>
        <w:rPr/>
      </w:pPr>
      <w:r>
        <w:rPr>
          <w:rFonts w:ascii="Arial" w:hAnsi="Arial"/>
          <w:b w:val="false"/>
          <w:color w:val="000000"/>
          <w:sz w:val="20"/>
          <w:u w:val="single"/>
        </w:rPr>
        <w:t>Survival</w:t>
      </w:r>
      <w:r>
        <w:rPr>
          <w:rFonts w:ascii="Arial" w:hAnsi="Arial"/>
          <w:b w:val="false"/>
          <w:color w:val="000000"/>
          <w:sz w:val="20"/>
        </w:rPr>
        <w:t>. All of the indemnities and agreements contained in this Article 6 shall survive and continue in full force and effect notwithstanding termination of this Agreement, the full payment of any Loans or Borrower’s performance of all Obligations.</w:t>
      </w:r>
    </w:p>
    <w:p>
      <w:pPr>
        <w:pStyle w:val="TextBody"/>
        <w:bidi w:val="0"/>
        <w:jc w:val="center"/>
        <w:rPr>
          <w:rFonts w:ascii="Arial" w:hAnsi="Arial"/>
          <w:b w:val="false"/>
          <w:color w:val="000000"/>
          <w:sz w:val="20"/>
        </w:rPr>
      </w:pPr>
      <w:r>
        <w:rPr>
          <w:rFonts w:ascii="Arial" w:hAnsi="Arial"/>
          <w:b w:val="false"/>
          <w:color w:val="000000"/>
          <w:sz w:val="20"/>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caps/>
          <w:color w:val="000000"/>
          <w:sz w:val="20"/>
        </w:rPr>
      </w:pPr>
      <w:r>
        <w:rPr>
          <w:rFonts w:ascii="Arial" w:hAnsi="Arial"/>
          <w:b/>
          <w:caps/>
          <w:color w:val="000000"/>
          <w:sz w:val="20"/>
        </w:rPr>
        <w:t>Article 7</w:t>
      </w:r>
    </w:p>
    <w:p>
      <w:pPr>
        <w:pStyle w:val="TextBody"/>
        <w:bidi w:val="0"/>
        <w:spacing w:before="0" w:after="240"/>
        <w:jc w:val="center"/>
        <w:rPr>
          <w:rFonts w:ascii="Arial" w:hAnsi="Arial"/>
          <w:b/>
          <w:caps/>
          <w:color w:val="000000"/>
          <w:sz w:val="20"/>
          <w:u w:val="single"/>
        </w:rPr>
      </w:pPr>
      <w:r>
        <w:rPr>
          <w:rFonts w:ascii="Arial" w:hAnsi="Arial"/>
          <w:b/>
          <w:caps/>
          <w:color w:val="000000"/>
          <w:sz w:val="20"/>
          <w:u w:val="single"/>
        </w:rPr>
        <w:br/>
        <w:br/>
        <w:t>DEFAULT</w:t>
      </w:r>
    </w:p>
    <w:p>
      <w:pPr>
        <w:pStyle w:val="TextBody"/>
        <w:bidi w:val="0"/>
        <w:spacing w:before="0" w:after="240"/>
        <w:jc w:val="both"/>
        <w:rPr>
          <w:rFonts w:ascii="Arial" w:hAnsi="Arial"/>
          <w:b w:val="false"/>
          <w:color w:val="000000"/>
          <w:sz w:val="20"/>
        </w:rPr>
      </w:pPr>
      <w:r>
        <w:rPr>
          <w:rFonts w:ascii="Arial" w:hAnsi="Arial"/>
          <w:b w:val="false"/>
          <w:color w:val="000000"/>
          <w:sz w:val="20"/>
        </w:rPr>
        <w:t>7.1</w:t>
      </w:r>
    </w:p>
    <w:p>
      <w:pPr>
        <w:pStyle w:val="TextBody"/>
        <w:bidi w:val="0"/>
        <w:spacing w:before="0" w:after="240"/>
        <w:jc w:val="both"/>
        <w:rPr/>
      </w:pPr>
      <w:r>
        <w:rPr>
          <w:rFonts w:ascii="Arial" w:hAnsi="Arial"/>
          <w:b w:val="false"/>
          <w:color w:val="000000"/>
          <w:sz w:val="20"/>
          <w:u w:val="single"/>
        </w:rPr>
        <w:t>Lender’s Rights on Default</w:t>
      </w:r>
      <w:r>
        <w:rPr>
          <w:rFonts w:ascii="Arial" w:hAnsi="Arial"/>
          <w:b w:val="false"/>
          <w:color w:val="000000"/>
          <w:sz w:val="20"/>
        </w:rPr>
        <w:t>. If an Event of Default occurs and is continuing, Administrative Agent, on behalf of Lenders, shall be entitled to:</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rFonts w:ascii="Arial" w:hAnsi="Arial"/>
          <w:b w:val="false"/>
          <w:color w:val="000000"/>
          <w:sz w:val="20"/>
        </w:rPr>
      </w:pPr>
      <w:r>
        <w:rPr>
          <w:rFonts w:ascii="Arial" w:hAnsi="Arial"/>
          <w:b w:val="false"/>
          <w:color w:val="000000"/>
          <w:sz w:val="20"/>
        </w:rPr>
        <w:t>declare the unpaid balance of the Loans and this Agreement immediately due and payable, whether then due or thereafter arising;</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modify the terms and conditions upon which the Lenders may be willing to consider making Loans hereunder or immediately and automatically terminate any further obligations to make Loans under this Agreement; </w:t>
      </w:r>
    </w:p>
    <w:p>
      <w:pPr>
        <w:pStyle w:val="TextBody"/>
        <w:bidi w:val="0"/>
        <w:spacing w:before="0" w:after="240"/>
        <w:jc w:val="both"/>
        <w:rPr>
          <w:rFonts w:ascii="Arial" w:hAnsi="Arial"/>
          <w:b w:val="false"/>
          <w:color w:val="000000"/>
          <w:sz w:val="20"/>
        </w:rPr>
      </w:pPr>
      <w:r>
        <w:rPr>
          <w:rFonts w:ascii="Arial" w:hAnsi="Arial"/>
          <w:b w:val="false"/>
          <w:color w:val="000000"/>
          <w:sz w:val="20"/>
        </w:rPr>
        <w:t>(c)</w:t>
      </w:r>
    </w:p>
    <w:p>
      <w:pPr>
        <w:pStyle w:val="TextBody"/>
        <w:bidi w:val="0"/>
        <w:spacing w:before="0" w:after="240"/>
        <w:jc w:val="both"/>
        <w:rPr>
          <w:rFonts w:ascii="Arial" w:hAnsi="Arial"/>
          <w:b w:val="false"/>
          <w:color w:val="000000"/>
          <w:sz w:val="20"/>
        </w:rPr>
      </w:pPr>
      <w:r>
        <w:rPr>
          <w:rFonts w:ascii="Arial" w:hAnsi="Arial"/>
          <w:b w:val="false"/>
          <w:color w:val="000000"/>
          <w:sz w:val="20"/>
        </w:rPr>
        <w:t>require Borrower to, and Borrower hereby agrees that it will at its expense and upon request of Administrative Agent, assemble the Collateral or any part thereof, as directed by Administrative Agent and make it available to Administrative Agent at a place and time to be designated by Administrative Agent, for cash, on credit or for future delivery, and upon such other terms as the Administrative Agent deems commercially reasonable;</w:t>
      </w:r>
    </w:p>
    <w:p>
      <w:pPr>
        <w:pStyle w:val="TextBody"/>
        <w:bidi w:val="0"/>
        <w:spacing w:before="0" w:after="240"/>
        <w:jc w:val="both"/>
        <w:rPr>
          <w:rFonts w:ascii="Arial" w:hAnsi="Arial"/>
          <w:b w:val="false"/>
          <w:color w:val="000000"/>
          <w:sz w:val="20"/>
        </w:rPr>
      </w:pPr>
      <w:r>
        <w:rPr>
          <w:rFonts w:ascii="Arial" w:hAnsi="Arial"/>
          <w:b w:val="false"/>
          <w:color w:val="000000"/>
          <w:sz w:val="20"/>
        </w:rPr>
        <w:t>(d)</w:t>
      </w:r>
    </w:p>
    <w:p>
      <w:pPr>
        <w:pStyle w:val="TextBody"/>
        <w:bidi w:val="0"/>
        <w:spacing w:before="0" w:after="240"/>
        <w:jc w:val="both"/>
        <w:rPr/>
      </w:pPr>
      <w:r>
        <w:rPr>
          <w:rFonts w:ascii="Arial" w:hAnsi="Arial"/>
          <w:b w:val="false"/>
          <w:color w:val="000000"/>
          <w:sz w:val="20"/>
        </w:rPr>
        <w:t xml:space="preserve">ship, reclaim, recover, store, finish, maintain, repair, prepare for sale, advertise for sale, and sell (in the manner provided for herein) the Collateral. Administrative Agent and its agents and any purchasers at or after foreclosure are hereby granted a non-exclusive, irrevocable, perpetual, fully paid, royalty-free license or other right, solely pursuant to the provisions of this </w:t>
      </w:r>
      <w:r>
        <w:rPr>
          <w:rFonts w:ascii="Arial" w:hAnsi="Arial"/>
          <w:b w:val="false"/>
          <w:color w:val="000000"/>
          <w:sz w:val="20"/>
          <w:u w:val="single"/>
        </w:rPr>
        <w:t>Section 7.1</w:t>
      </w:r>
      <w:r>
        <w:rPr>
          <w:rFonts w:ascii="Arial" w:hAnsi="Arial"/>
          <w:b w:val="false"/>
          <w:color w:val="000000"/>
          <w:sz w:val="20"/>
        </w:rPr>
        <w:t xml:space="preserve">, to use, without charge, Borrower’s Intellectual Property, including labels, patents, copyrights, rights of use of any name, trade secrets, trade names, trademarks, service marks, and advertising matter, or any Property of a similar nature, now or at any time hereafter owned or acquired by Borrower or in which Borrower now or at any time hereafter has any rights; </w:t>
      </w:r>
      <w:r>
        <w:rPr>
          <w:rFonts w:ascii="Arial" w:hAnsi="Arial"/>
          <w:b w:val="false"/>
          <w:i/>
          <w:color w:val="000000"/>
          <w:sz w:val="20"/>
        </w:rPr>
        <w:t>provided</w:t>
      </w:r>
      <w:r>
        <w:rPr>
          <w:color w:val="000000"/>
        </w:rPr>
        <w:t xml:space="preserve"> </w:t>
      </w:r>
      <w:r>
        <w:rPr>
          <w:rFonts w:ascii="Arial" w:hAnsi="Arial"/>
          <w:b w:val="false"/>
          <w:color w:val="000000"/>
          <w:sz w:val="20"/>
        </w:rPr>
        <w:t>that such license shall only be exercisable in connection with the disposition of Collateral upon Administrative Agent’s exercise of its remedies hereunder;</w:t>
      </w:r>
    </w:p>
    <w:p>
      <w:pPr>
        <w:pStyle w:val="TextBody"/>
        <w:bidi w:val="0"/>
        <w:spacing w:before="0" w:after="240"/>
        <w:jc w:val="both"/>
        <w:rPr>
          <w:rFonts w:ascii="Arial" w:hAnsi="Arial"/>
          <w:b w:val="false"/>
          <w:color w:val="000000"/>
          <w:sz w:val="20"/>
        </w:rPr>
      </w:pPr>
      <w:r>
        <w:rPr>
          <w:rFonts w:ascii="Arial" w:hAnsi="Arial"/>
          <w:b w:val="false"/>
          <w:color w:val="000000"/>
          <w:sz w:val="20"/>
        </w:rPr>
        <w:t>(e)</w:t>
      </w:r>
    </w:p>
    <w:p>
      <w:pPr>
        <w:pStyle w:val="TextBody"/>
        <w:bidi w:val="0"/>
        <w:spacing w:before="0" w:after="240"/>
        <w:jc w:val="both"/>
        <w:rPr>
          <w:rFonts w:ascii="Arial" w:hAnsi="Arial"/>
          <w:b w:val="false"/>
          <w:color w:val="000000"/>
          <w:sz w:val="20"/>
        </w:rPr>
      </w:pPr>
      <w:r>
        <w:rPr>
          <w:rFonts w:ascii="Arial" w:hAnsi="Arial"/>
          <w:b w:val="false"/>
          <w:color w:val="000000"/>
          <w:sz w:val="20"/>
        </w:rPr>
        <w:t>without notice except as specified below, sell, resell, assign and deliver or grant a license to use or otherwise dispose of the Collateral or any part thereof, in one or more parcels at public or private sale, at any place designated by Administrative Agent;</w:t>
      </w:r>
    </w:p>
    <w:p>
      <w:pPr>
        <w:pStyle w:val="TextBody"/>
        <w:bidi w:val="0"/>
        <w:spacing w:before="0" w:after="240"/>
        <w:jc w:val="both"/>
        <w:rPr>
          <w:rFonts w:ascii="Arial" w:hAnsi="Arial"/>
          <w:b w:val="false"/>
          <w:color w:val="000000"/>
          <w:sz w:val="20"/>
        </w:rPr>
      </w:pPr>
      <w:r>
        <w:rPr>
          <w:rFonts w:ascii="Arial" w:hAnsi="Arial"/>
          <w:b w:val="false"/>
          <w:color w:val="000000"/>
          <w:sz w:val="20"/>
        </w:rPr>
        <w:t>(f)</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occupy any premises owned or leased by Borrower where the Collateral or any part thereof is assembled or located for a reasonable period in order to effectuate its rights and remedies hereunder or under law, without obligation to Borrower in respect of such occupation; </w:t>
      </w:r>
    </w:p>
    <w:p>
      <w:pPr>
        <w:pStyle w:val="TextBody"/>
        <w:bidi w:val="0"/>
        <w:spacing w:before="0" w:after="240"/>
        <w:jc w:val="both"/>
        <w:rPr>
          <w:rFonts w:ascii="Arial" w:hAnsi="Arial"/>
          <w:b w:val="false"/>
          <w:color w:val="000000"/>
          <w:sz w:val="20"/>
        </w:rPr>
      </w:pPr>
      <w:r>
        <w:rPr>
          <w:rFonts w:ascii="Arial" w:hAnsi="Arial"/>
          <w:b w:val="false"/>
          <w:color w:val="000000"/>
          <w:sz w:val="20"/>
        </w:rPr>
        <w:t>(g)</w:t>
      </w:r>
    </w:p>
    <w:p>
      <w:pPr>
        <w:pStyle w:val="TextBody"/>
        <w:bidi w:val="0"/>
        <w:spacing w:before="0" w:after="240"/>
        <w:jc w:val="both"/>
        <w:rPr>
          <w:rFonts w:ascii="Arial" w:hAnsi="Arial"/>
          <w:b w:val="false"/>
          <w:color w:val="000000"/>
          <w:sz w:val="20"/>
        </w:rPr>
      </w:pPr>
      <w:r>
        <w:rPr>
          <w:rFonts w:ascii="Arial" w:hAnsi="Arial"/>
          <w:b w:val="false"/>
          <w:color w:val="000000"/>
          <w:sz w:val="20"/>
        </w:rPr>
        <w:t>commence and prosecute any bankruptcy, insolvency or other similar proceeding or consent to Borrower commencing any bankruptcy, insolvency or other similar proceeding;</w:t>
      </w:r>
    </w:p>
    <w:p>
      <w:pPr>
        <w:pStyle w:val="TextBody"/>
        <w:bidi w:val="0"/>
        <w:spacing w:before="0" w:after="240"/>
        <w:jc w:val="both"/>
        <w:rPr>
          <w:rFonts w:ascii="Arial" w:hAnsi="Arial"/>
          <w:b w:val="false"/>
          <w:color w:val="000000"/>
          <w:sz w:val="20"/>
        </w:rPr>
      </w:pPr>
      <w:r>
        <w:rPr>
          <w:rFonts w:ascii="Arial" w:hAnsi="Arial"/>
          <w:b w:val="false"/>
          <w:color w:val="000000"/>
          <w:sz w:val="20"/>
        </w:rPr>
        <w:t>(h)</w:t>
      </w:r>
    </w:p>
    <w:p>
      <w:pPr>
        <w:pStyle w:val="TextBody"/>
        <w:bidi w:val="0"/>
        <w:spacing w:before="0" w:after="240"/>
        <w:jc w:val="both"/>
        <w:rPr>
          <w:rFonts w:ascii="Arial" w:hAnsi="Arial"/>
          <w:b w:val="false"/>
          <w:color w:val="000000"/>
          <w:sz w:val="20"/>
        </w:rPr>
      </w:pPr>
      <w:r>
        <w:rPr>
          <w:rFonts w:ascii="Arial" w:hAnsi="Arial"/>
          <w:b w:val="false"/>
          <w:color w:val="000000"/>
          <w:sz w:val="20"/>
        </w:rPr>
        <w:t>place a “hold” on any account maintained with Administrative Agent and/or deliver a notice of exclusive control, any entitlement order, or other directions or instructions pursuant to any Account Control Agreement or similar agreements providing control of any Collateral;</w:t>
      </w:r>
    </w:p>
    <w:p>
      <w:pPr>
        <w:pStyle w:val="TextBody"/>
        <w:bidi w:val="0"/>
        <w:spacing w:before="0" w:after="240"/>
        <w:jc w:val="both"/>
        <w:rPr>
          <w:rFonts w:ascii="Arial" w:hAnsi="Arial"/>
          <w:b w:val="false"/>
          <w:color w:val="000000"/>
          <w:sz w:val="20"/>
        </w:rPr>
      </w:pPr>
      <w:r>
        <w:rPr>
          <w:rFonts w:ascii="Arial" w:hAnsi="Arial"/>
          <w:b w:val="false"/>
          <w:color w:val="000000"/>
          <w:sz w:val="20"/>
        </w:rPr>
        <w:t>(i)</w:t>
      </w:r>
    </w:p>
    <w:p>
      <w:pPr>
        <w:pStyle w:val="TextBody"/>
        <w:bidi w:val="0"/>
        <w:spacing w:before="0" w:after="240"/>
        <w:jc w:val="both"/>
        <w:rPr>
          <w:rFonts w:ascii="Arial" w:hAnsi="Arial"/>
          <w:b w:val="false"/>
          <w:color w:val="000000"/>
          <w:sz w:val="20"/>
        </w:rPr>
      </w:pPr>
      <w:r>
        <w:rPr>
          <w:rFonts w:ascii="Arial" w:hAnsi="Arial"/>
          <w:b w:val="false"/>
          <w:color w:val="000000"/>
          <w:sz w:val="20"/>
        </w:rPr>
        <w:t>exercise any and all rights and remedies of Borrower under or in connection with the Collateral, or otherwise in respect of the Collateral, including without limitation, (A) any and all rights of Borrower to demand or otherwise require payment of any amount under, or performance of any provision of, the accounts receivables and the other Collateral, (B) withdraw, or cause or direct the withdrawal, of all funds with respect to any Deposit Accounts, (C) exercise all other rights and remedies with respect to the accounts receivables and the other Collateral, including without limitation, those set forth in Section 9-607 of the UCC and (D) exercise any and all voting, consensual and other rights with respect to any Collateral; and</w:t>
      </w:r>
    </w:p>
    <w:p>
      <w:pPr>
        <w:pStyle w:val="TextBody"/>
        <w:bidi w:val="0"/>
        <w:jc w:val="center"/>
        <w:rPr>
          <w:rFonts w:ascii="Arial" w:hAnsi="Arial"/>
          <w:b w:val="false"/>
          <w:color w:val="000000"/>
          <w:sz w:val="20"/>
        </w:rPr>
      </w:pPr>
      <w:r>
        <w:rPr>
          <w:rFonts w:ascii="Arial" w:hAnsi="Arial"/>
          <w:b w:val="false"/>
          <w:color w:val="000000"/>
          <w:sz w:val="20"/>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(j)</w:t>
      </w:r>
    </w:p>
    <w:p>
      <w:pPr>
        <w:pStyle w:val="TextBody"/>
        <w:bidi w:val="0"/>
        <w:spacing w:before="0" w:after="240"/>
        <w:jc w:val="both"/>
        <w:rPr>
          <w:rFonts w:ascii="Arial" w:hAnsi="Arial"/>
          <w:b w:val="false"/>
          <w:color w:val="000000"/>
          <w:sz w:val="20"/>
        </w:rPr>
      </w:pPr>
      <w:r>
        <w:rPr>
          <w:rFonts w:ascii="Arial" w:hAnsi="Arial"/>
          <w:b w:val="false"/>
          <w:color w:val="000000"/>
          <w:sz w:val="20"/>
        </w:rPr>
        <w:t>exercise all rights and remedies available to Administrative Agent and Lenders under the Loan Documents or at law or equity, including all remedies provided under the UCC (including disposal of the Collateral pursuant to the terms thereof).</w:t>
      </w:r>
    </w:p>
    <w:p>
      <w:pPr>
        <w:pStyle w:val="TextBody"/>
        <w:bidi w:val="0"/>
        <w:spacing w:before="0" w:after="240"/>
        <w:jc w:val="both"/>
        <w:rPr>
          <w:rFonts w:ascii="Arial" w:hAnsi="Arial"/>
          <w:b w:val="false"/>
          <w:color w:val="000000"/>
          <w:sz w:val="20"/>
        </w:rPr>
      </w:pPr>
      <w:r>
        <w:rPr>
          <w:rFonts w:ascii="Arial" w:hAnsi="Arial"/>
          <w:b w:val="false"/>
          <w:color w:val="000000"/>
          <w:sz w:val="20"/>
        </w:rPr>
        <w:t>Borrower agrees that, to the extent notice of sale shall be required by law, at least ten (10) days’ notice to Borrower of the time and place of any public sale or the time after which any private sale is to be made shall constitute reasonable notification. At any sale of the Collateral, if permitted by applicable law, the Administrative Agent and Lenders may be the purchaser, licensee, assignee or recipient of the Collateral or any part thereof and shall be entitled, for the purpose of bidding and making settlement or payment of the purchase price for all or any portion of the Collateral sold, assigned or licensed at such sale, to use and apply any of the Obligations as a credit on account of the purchase price of the Collateral or any part thereof payable at such sale. To the extent permitted by applicable law, Borrower waives all claims, damages and demands it may acquire against the Administrative Agent and Lenders arising out of the exercise by it of any rights hereunder. Borrower hereby waives and releases to the fullest extent permitted by law any right or equity of redemption with respect to the Collateral, whether before or after sale hereunder, and all rights, if any, of marshalling the Collateral and any other security for the Obligations or otherwise. The Administrative Agent and Lenders shall not be liable for failure to collect or realize upon any or all of the Collateral or for any delay in so doing nor shall it be under any obligation to take any action with regard thereto. The Administrative Agent and Lenders shall not be obligated to make any sale of the Collateral regardless of notice of sale having been given. The Administrative Agent and Lenders may adjourn any public or private sale from time to time by announcement at the time and place fixed therefore, and such sale may, without further notice, be made at the time and place to which it was so adjourned. The Administrative Agent and Lenders shall not be obligated to clean-up or otherwise prepare the Collateral for sale.</w:t>
      </w:r>
    </w:p>
    <w:p>
      <w:pPr>
        <w:pStyle w:val="TextBody"/>
        <w:bidi w:val="0"/>
        <w:spacing w:before="0" w:after="240"/>
        <w:jc w:val="both"/>
        <w:rPr>
          <w:rFonts w:ascii="Arial" w:hAnsi="Arial"/>
          <w:b w:val="false"/>
          <w:color w:val="000000"/>
          <w:sz w:val="20"/>
        </w:rPr>
      </w:pPr>
      <w:r>
        <w:rPr>
          <w:rFonts w:ascii="Arial" w:hAnsi="Arial"/>
          <w:b w:val="false"/>
          <w:color w:val="000000"/>
          <w:sz w:val="20"/>
        </w:rPr>
        <w:t>(k)</w:t>
      </w:r>
    </w:p>
    <w:p>
      <w:pPr>
        <w:pStyle w:val="TextBody"/>
        <w:bidi w:val="0"/>
        <w:spacing w:before="0" w:after="240"/>
        <w:jc w:val="both"/>
        <w:rPr>
          <w:rFonts w:ascii="Arial" w:hAnsi="Arial"/>
          <w:b w:val="false"/>
          <w:color w:val="000000"/>
          <w:sz w:val="20"/>
        </w:rPr>
      </w:pPr>
      <w:r>
        <w:rPr>
          <w:rFonts w:ascii="Arial" w:hAnsi="Arial"/>
          <w:b w:val="false"/>
          <w:color w:val="000000"/>
          <w:sz w:val="20"/>
        </w:rPr>
        <w:t>all payments received by Borrower in respect of the Collateral shall be received in trust for the benefit of the Administrative Agent and Lenders, shall be segregated from other funds of Borrower and shall be forthwith paid over the Administrative Agent, for the benefit of the Lenders, in the same form as so received (with any necessary endorsement);</w:t>
      </w:r>
    </w:p>
    <w:p>
      <w:pPr>
        <w:pStyle w:val="TextBody"/>
        <w:bidi w:val="0"/>
        <w:spacing w:before="0" w:after="240"/>
        <w:jc w:val="both"/>
        <w:rPr>
          <w:rFonts w:ascii="Arial" w:hAnsi="Arial"/>
          <w:b w:val="false"/>
          <w:color w:val="000000"/>
          <w:sz w:val="20"/>
        </w:rPr>
      </w:pPr>
      <w:r>
        <w:rPr>
          <w:rFonts w:ascii="Arial" w:hAnsi="Arial"/>
          <w:b w:val="false"/>
          <w:color w:val="000000"/>
          <w:sz w:val="20"/>
        </w:rPr>
        <w:t>(l)</w:t>
      </w:r>
    </w:p>
    <w:p>
      <w:pPr>
        <w:pStyle w:val="TextBody"/>
        <w:bidi w:val="0"/>
        <w:spacing w:before="0" w:after="240"/>
        <w:jc w:val="both"/>
        <w:rPr>
          <w:rFonts w:ascii="Arial" w:hAnsi="Arial"/>
          <w:b w:val="false"/>
          <w:color w:val="000000"/>
          <w:sz w:val="20"/>
        </w:rPr>
      </w:pPr>
      <w:r>
        <w:rPr>
          <w:rFonts w:ascii="Arial" w:hAnsi="Arial"/>
          <w:b w:val="false"/>
          <w:color w:val="000000"/>
          <w:sz w:val="20"/>
        </w:rPr>
        <w:t>the Administrative Agent may, without notice to Borrower except as required by law and at any time or from time to time, charge, set off and otherwise apply all or part of the Obligations against any funds deposited with it or held by it;</w:t>
      </w:r>
    </w:p>
    <w:p>
      <w:pPr>
        <w:pStyle w:val="TextBody"/>
        <w:bidi w:val="0"/>
        <w:spacing w:before="0" w:after="240"/>
        <w:jc w:val="both"/>
        <w:rPr>
          <w:rFonts w:ascii="Arial" w:hAnsi="Arial"/>
          <w:b w:val="false"/>
          <w:color w:val="000000"/>
          <w:sz w:val="20"/>
        </w:rPr>
      </w:pPr>
      <w:r>
        <w:rPr>
          <w:rFonts w:ascii="Arial" w:hAnsi="Arial"/>
          <w:b w:val="false"/>
          <w:color w:val="000000"/>
          <w:sz w:val="20"/>
        </w:rPr>
        <w:t>(m)</w:t>
      </w:r>
    </w:p>
    <w:p>
      <w:pPr>
        <w:pStyle w:val="TextBody"/>
        <w:bidi w:val="0"/>
        <w:spacing w:before="0" w:after="240"/>
        <w:jc w:val="both"/>
        <w:rPr>
          <w:rFonts w:ascii="Arial" w:hAnsi="Arial"/>
          <w:b w:val="false"/>
          <w:color w:val="000000"/>
          <w:sz w:val="20"/>
        </w:rPr>
      </w:pPr>
      <w:r>
        <w:rPr>
          <w:rFonts w:ascii="Arial" w:hAnsi="Arial"/>
          <w:b w:val="false"/>
          <w:color w:val="000000"/>
          <w:sz w:val="20"/>
        </w:rPr>
        <w:t>upon the written demand of the Administrative Agent, Borrower shall execute and deliver to the Administrative Agent a collateral assignment or assignments of any or all of Borrower’s Intellectual Property and such other documents and take such other actions as are necessary or appropriate to carry out the intent and purposes hereof;</w:t>
      </w:r>
    </w:p>
    <w:p>
      <w:pPr>
        <w:pStyle w:val="TextBody"/>
        <w:bidi w:val="0"/>
        <w:spacing w:before="0" w:after="240"/>
        <w:jc w:val="both"/>
        <w:rPr>
          <w:rFonts w:ascii="Arial" w:hAnsi="Arial"/>
          <w:b w:val="false"/>
          <w:color w:val="000000"/>
          <w:sz w:val="20"/>
        </w:rPr>
      </w:pPr>
      <w:r>
        <w:rPr>
          <w:rFonts w:ascii="Arial" w:hAnsi="Arial"/>
          <w:b w:val="false"/>
          <w:color w:val="000000"/>
          <w:sz w:val="20"/>
        </w:rPr>
        <w:t>(n)</w:t>
      </w:r>
    </w:p>
    <w:p>
      <w:pPr>
        <w:pStyle w:val="TextBody"/>
        <w:bidi w:val="0"/>
        <w:spacing w:before="0" w:after="240"/>
        <w:jc w:val="both"/>
        <w:rPr/>
      </w:pPr>
      <w:r>
        <w:rPr>
          <w:rFonts w:ascii="Arial" w:hAnsi="Arial"/>
          <w:b w:val="false"/>
          <w:color w:val="000000"/>
          <w:sz w:val="20"/>
        </w:rPr>
        <w:t xml:space="preserve">if Borrower fails to pay any amounts or furnish any required proof of payment due to third persons or entities, as required under the terms of this Agreement, then Administrative Agent may do any or all of the following: (a) make payment of the same or any part thereof; or (b) obtain and maintain insurance policies of the type discussed in </w:t>
      </w:r>
      <w:r>
        <w:rPr>
          <w:rFonts w:ascii="Arial" w:hAnsi="Arial"/>
          <w:b w:val="false"/>
          <w:color w:val="000000"/>
          <w:sz w:val="20"/>
          <w:u w:val="single"/>
        </w:rPr>
        <w:t>Section 4.2(q)</w:t>
      </w:r>
      <w:r>
        <w:rPr>
          <w:color w:val="000000"/>
        </w:rPr>
        <w:t xml:space="preserve"> </w:t>
      </w:r>
      <w:r>
        <w:rPr>
          <w:rFonts w:ascii="Arial" w:hAnsi="Arial"/>
          <w:b w:val="false"/>
          <w:color w:val="000000"/>
          <w:sz w:val="20"/>
        </w:rPr>
        <w:t xml:space="preserve">of this Agreement, and take any action with respect to such policies as Administrative Agent deems prudent. Any amounts paid or deposited by Administrative Agent shall constitute Administrative Agent’s Expenses, shall be immediately due and payable, shall bear interest at the Default Rate and shall be secured by the Collateral. Any payments made by Administrative Agent shall not constitute an agreement by Administrative Agent to make similar payments in the future or a waiver by Administrative Agent of any Event of Default under this Agreement. Borrower shall pay all reasonable fees and expenses, including Administrative Agent’s Expenses, incurred by Administrative Agent in the enforcement or attempt to enforce any of the Obligations hereunder not performed when due; </w:t>
      </w:r>
    </w:p>
    <w:p>
      <w:pPr>
        <w:pStyle w:val="TextBody"/>
        <w:bidi w:val="0"/>
        <w:spacing w:before="0" w:after="240"/>
        <w:jc w:val="both"/>
        <w:rPr>
          <w:rFonts w:ascii="Arial" w:hAnsi="Arial"/>
          <w:b w:val="false"/>
          <w:color w:val="000000"/>
          <w:sz w:val="20"/>
        </w:rPr>
      </w:pPr>
      <w:r>
        <w:rPr>
          <w:rFonts w:ascii="Arial" w:hAnsi="Arial"/>
          <w:b w:val="false"/>
          <w:color w:val="000000"/>
          <w:sz w:val="20"/>
        </w:rPr>
        <w:t>(o)</w:t>
      </w:r>
    </w:p>
    <w:p>
      <w:pPr>
        <w:pStyle w:val="TextBody"/>
        <w:bidi w:val="0"/>
        <w:spacing w:before="0" w:after="240"/>
        <w:jc w:val="both"/>
        <w:rPr>
          <w:rFonts w:ascii="Arial" w:hAnsi="Arial"/>
          <w:b w:val="false"/>
          <w:color w:val="000000"/>
          <w:sz w:val="20"/>
        </w:rPr>
      </w:pPr>
      <w:r>
        <w:rPr>
          <w:rFonts w:ascii="Arial" w:hAnsi="Arial"/>
          <w:b w:val="false"/>
          <w:color w:val="000000"/>
          <w:sz w:val="20"/>
        </w:rPr>
        <w:t xml:space="preserve">Lenders’ rights and remedies under this Agreement, the Loan Documents, and all other agreements shall be cumulative. Lenders shall have all other rights and remedies not inconsistent herewith as provided under the UCC, by law, or in equity. No exercise by Administrative Agent or any Lender of one right or remedy shall be deemed an election, and no waiver by Administrative Agent or any </w:t>
      </w:r>
    </w:p>
    <w:p>
      <w:pPr>
        <w:pStyle w:val="TextBody"/>
        <w:bidi w:val="0"/>
        <w:jc w:val="center"/>
        <w:rPr>
          <w:rFonts w:ascii="Arial" w:hAnsi="Arial"/>
          <w:b w:val="false"/>
          <w:color w:val="000000"/>
          <w:sz w:val="20"/>
        </w:rPr>
      </w:pPr>
      <w:r>
        <w:rPr>
          <w:rFonts w:ascii="Arial" w:hAnsi="Arial"/>
          <w:b w:val="false"/>
          <w:color w:val="000000"/>
          <w:sz w:val="20"/>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Lender of any Event of Default on Borrower’s part shall be deemed a continuing waiver. No delay by Administrative Agent or any Lender shall constitute a waiver, election, or acquiescence by it. The Obligations of Borrower to any Lender may be enforced against Borrower in accordance with the terms of this Agreement and the other Loan Documents and, to the fullest extent permitted by applicable law, it shall not be necessary for any other party to be joined as an additional party in any proceeding to enforce such Obligations;</w:t>
      </w:r>
    </w:p>
    <w:p>
      <w:pPr>
        <w:pStyle w:val="TextBody"/>
        <w:bidi w:val="0"/>
        <w:spacing w:before="0" w:after="240"/>
        <w:jc w:val="both"/>
        <w:rPr>
          <w:rFonts w:ascii="Arial" w:hAnsi="Arial"/>
          <w:b w:val="false"/>
          <w:color w:val="000000"/>
          <w:sz w:val="20"/>
        </w:rPr>
      </w:pPr>
      <w:r>
        <w:rPr>
          <w:rFonts w:ascii="Arial" w:hAnsi="Arial"/>
          <w:b w:val="false"/>
          <w:color w:val="000000"/>
          <w:sz w:val="20"/>
        </w:rPr>
        <w:t>(p)</w:t>
      </w:r>
    </w:p>
    <w:p>
      <w:pPr>
        <w:pStyle w:val="TextBody"/>
        <w:bidi w:val="0"/>
        <w:spacing w:before="0" w:after="240"/>
        <w:jc w:val="both"/>
        <w:rPr>
          <w:rFonts w:ascii="Arial" w:hAnsi="Arial"/>
          <w:b w:val="false"/>
          <w:color w:val="000000"/>
          <w:sz w:val="20"/>
        </w:rPr>
      </w:pPr>
      <w:r>
        <w:rPr>
          <w:rFonts w:ascii="Arial" w:hAnsi="Arial"/>
          <w:b w:val="false"/>
          <w:color w:val="000000"/>
          <w:sz w:val="20"/>
        </w:rPr>
        <w:t>the proceeds and/or avails of the Collateral, or any part thereof, and the proceeds and the avails of any remedy hereunder (as well as any other amounts of any kind held by Administrative Agent, for the benefit of Lenders, at the time of or received by Administrative Agent after the occurrence of an Event of Default hereunder) shall be paid to and applied as follows:</w:t>
      </w:r>
    </w:p>
    <w:p>
      <w:pPr>
        <w:pStyle w:val="TextBody"/>
        <w:bidi w:val="0"/>
        <w:spacing w:before="0" w:after="240"/>
        <w:jc w:val="both"/>
        <w:rPr>
          <w:rFonts w:ascii="Times New Roman" w:hAnsi="Times New Roman"/>
          <w:sz w:val="20"/>
        </w:rPr>
      </w:pPr>
      <w:r>
        <w:rPr>
          <w:rFonts w:ascii="Arial" w:hAnsi="Arial"/>
          <w:b w:val="false"/>
          <w:color w:val="000000"/>
          <w:sz w:val="20"/>
          <w:u w:val="single"/>
        </w:rPr>
        <w:t>First</w:t>
      </w:r>
      <w:r>
        <w:rPr>
          <w:rFonts w:ascii="Arial" w:hAnsi="Arial"/>
          <w:b w:val="false"/>
          <w:color w:val="000000"/>
          <w:sz w:val="20"/>
        </w:rPr>
        <w:t>, to the payment of out-of-pocket costs and expenses, including all amounts expended to preserve the value of the Collateral, of foreclosure or suit, if any, and of such sale and the exercise of any other rights or remedies, and of all proper fees, expenses, liability and advances, including reasonable legal expenses and attorneys’ fees, incurred or made hereunder by Administrative Agent, including Administrative Agent’s Expenses;</w:t>
      </w:r>
    </w:p>
    <w:p>
      <w:pPr>
        <w:pStyle w:val="TextBody"/>
        <w:bidi w:val="0"/>
        <w:spacing w:before="0" w:after="240"/>
        <w:jc w:val="both"/>
        <w:rPr>
          <w:rFonts w:ascii="Times New Roman" w:hAnsi="Times New Roman"/>
          <w:sz w:val="20"/>
        </w:rPr>
      </w:pPr>
      <w:r>
        <w:rPr>
          <w:rFonts w:ascii="Arial" w:hAnsi="Arial"/>
          <w:b w:val="false"/>
          <w:color w:val="000000"/>
          <w:sz w:val="20"/>
          <w:u w:val="single"/>
        </w:rPr>
        <w:t>Second</w:t>
      </w:r>
      <w:r>
        <w:rPr>
          <w:rFonts w:ascii="Arial" w:hAnsi="Arial"/>
          <w:b w:val="false"/>
          <w:color w:val="000000"/>
          <w:sz w:val="20"/>
        </w:rPr>
        <w:t xml:space="preserve">, to the payment to Administrative Agent, on behalf of the Lenders of the amount then owing or unpaid on the Loans for any accrued and unpaid interest, the amounts which would have otherwise come due under </w:t>
      </w:r>
      <w:r>
        <w:rPr>
          <w:rFonts w:ascii="Arial" w:hAnsi="Arial"/>
          <w:b w:val="false"/>
          <w:color w:val="000000"/>
          <w:sz w:val="20"/>
          <w:u w:val="single"/>
        </w:rPr>
        <w:t>Sections 2.6</w:t>
      </w:r>
      <w:r>
        <w:rPr>
          <w:rFonts w:ascii="Arial" w:hAnsi="Arial"/>
          <w:b w:val="false"/>
          <w:color w:val="000000"/>
          <w:sz w:val="20"/>
        </w:rPr>
        <w:t xml:space="preserve">, </w:t>
      </w:r>
      <w:r>
        <w:rPr>
          <w:rFonts w:ascii="Arial" w:hAnsi="Arial"/>
          <w:b w:val="false"/>
          <w:color w:val="000000"/>
          <w:sz w:val="20"/>
          <w:u w:val="single"/>
        </w:rPr>
        <w:t>2.7</w:t>
      </w:r>
      <w:r>
        <w:rPr>
          <w:rFonts w:ascii="Times New Roman" w:hAnsi="Times New Roman"/>
          <w:color w:val="000000"/>
          <w:sz w:val="20"/>
        </w:rPr>
        <w:t xml:space="preserve"> </w:t>
      </w:r>
      <w:r>
        <w:rPr>
          <w:rFonts w:ascii="Arial" w:hAnsi="Arial"/>
          <w:b w:val="false"/>
          <w:color w:val="000000"/>
          <w:sz w:val="20"/>
        </w:rPr>
        <w:t xml:space="preserve">or </w:t>
      </w:r>
      <w:r>
        <w:rPr>
          <w:rFonts w:ascii="Arial" w:hAnsi="Arial"/>
          <w:b w:val="false"/>
          <w:color w:val="000000"/>
          <w:sz w:val="20"/>
          <w:u w:val="single"/>
        </w:rPr>
        <w:t>2.8</w:t>
      </w:r>
      <w:r>
        <w:rPr>
          <w:rFonts w:ascii="Arial" w:hAnsi="Arial"/>
          <w:b w:val="false"/>
          <w:color w:val="000000"/>
          <w:sz w:val="20"/>
        </w:rPr>
        <w:t xml:space="preserve">, if the Loans had been voluntarily prepaid, the principal balance of the Loans, and all other Obligations with respect to the Loans (provided, however, if such proceeds shall be insufficient to pay in full the whole amount so due, owing or unpaid upon the Loans, then first, to the unpaid interest thereon ratably, second, to the amounts which would have otherwise come due under </w:t>
      </w:r>
      <w:r>
        <w:rPr>
          <w:rFonts w:ascii="Arial" w:hAnsi="Arial"/>
          <w:b w:val="false"/>
          <w:color w:val="000000"/>
          <w:sz w:val="20"/>
          <w:u w:val="single"/>
        </w:rPr>
        <w:t>Section 2.6</w:t>
      </w:r>
      <w:r>
        <w:rPr>
          <w:rFonts w:ascii="Arial" w:hAnsi="Arial"/>
          <w:b w:val="false"/>
          <w:color w:val="000000"/>
          <w:sz w:val="20"/>
        </w:rPr>
        <w:t xml:space="preserve">, </w:t>
      </w:r>
      <w:r>
        <w:rPr>
          <w:rFonts w:ascii="Arial" w:hAnsi="Arial"/>
          <w:b w:val="false"/>
          <w:color w:val="000000"/>
          <w:sz w:val="20"/>
          <w:u w:val="single"/>
        </w:rPr>
        <w:t>2.7</w:t>
      </w:r>
      <w:r>
        <w:rPr>
          <w:rFonts w:ascii="Arial" w:hAnsi="Arial"/>
          <w:b w:val="false"/>
          <w:color w:val="000000"/>
          <w:sz w:val="20"/>
        </w:rPr>
        <w:t xml:space="preserve">, or </w:t>
      </w:r>
      <w:r>
        <w:rPr>
          <w:rFonts w:ascii="Arial" w:hAnsi="Arial"/>
          <w:b w:val="false"/>
          <w:color w:val="000000"/>
          <w:sz w:val="20"/>
          <w:u w:val="single"/>
        </w:rPr>
        <w:t>2.8</w:t>
      </w:r>
      <w:r>
        <w:rPr>
          <w:rFonts w:ascii="Times New Roman" w:hAnsi="Times New Roman"/>
          <w:color w:val="000000"/>
          <w:sz w:val="20"/>
        </w:rPr>
        <w:t xml:space="preserve"> </w:t>
      </w:r>
      <w:r>
        <w:rPr>
          <w:rFonts w:ascii="Arial" w:hAnsi="Arial"/>
          <w:b w:val="false"/>
          <w:color w:val="000000"/>
          <w:sz w:val="20"/>
        </w:rPr>
        <w:t>ratably, if the Loans had been voluntarily prepaid, third, to the principal balance of the Loans ratably, and fourth, to the ratable payment of other amounts then payable to Lenders under any of the Loan Documents); and</w:t>
      </w:r>
    </w:p>
    <w:p>
      <w:pPr>
        <w:pStyle w:val="TextBody"/>
        <w:bidi w:val="0"/>
        <w:spacing w:before="0" w:after="240"/>
        <w:jc w:val="left"/>
        <w:rPr>
          <w:rFonts w:ascii="Times New Roman" w:hAnsi="Times New Roman"/>
          <w:sz w:val="20"/>
        </w:rPr>
      </w:pPr>
      <w:r>
        <w:rPr>
          <w:rFonts w:ascii="Arial" w:hAnsi="Arial"/>
          <w:b w:val="false"/>
          <w:color w:val="000000"/>
          <w:sz w:val="20"/>
          <w:u w:val="single"/>
        </w:rPr>
        <w:t>Third</w:t>
      </w:r>
      <w:r>
        <w:rPr>
          <w:rFonts w:ascii="Arial" w:hAnsi="Arial"/>
          <w:b w:val="false"/>
          <w:color w:val="000000"/>
          <w:sz w:val="20"/>
        </w:rPr>
        <w:t>, to the payment of the surplus, if any, to Borrower, its successors and assigns or to the Person lawfully entitled to receive the same;</w:t>
      </w:r>
    </w:p>
    <w:p>
      <w:pPr>
        <w:pStyle w:val="TextBody"/>
        <w:bidi w:val="0"/>
        <w:spacing w:before="0" w:after="240"/>
        <w:jc w:val="both"/>
        <w:rPr>
          <w:rFonts w:ascii="Arial" w:hAnsi="Arial"/>
          <w:b w:val="false"/>
          <w:color w:val="000000"/>
          <w:sz w:val="20"/>
        </w:rPr>
      </w:pPr>
      <w:r>
        <w:rPr>
          <w:rFonts w:ascii="Arial" w:hAnsi="Arial"/>
          <w:b w:val="false"/>
          <w:color w:val="000000"/>
          <w:sz w:val="20"/>
        </w:rPr>
        <w:t>(q)</w:t>
      </w:r>
    </w:p>
    <w:p>
      <w:pPr>
        <w:pStyle w:val="TextBody"/>
        <w:bidi w:val="0"/>
        <w:spacing w:before="0" w:after="240"/>
        <w:jc w:val="both"/>
        <w:rPr>
          <w:rFonts w:ascii="Arial" w:hAnsi="Arial"/>
          <w:b w:val="false"/>
          <w:color w:val="000000"/>
          <w:sz w:val="20"/>
        </w:rPr>
      </w:pPr>
      <w:r>
        <w:rPr>
          <w:rFonts w:ascii="Arial" w:hAnsi="Arial"/>
          <w:b w:val="false"/>
          <w:color w:val="000000"/>
          <w:sz w:val="20"/>
        </w:rPr>
        <w:t>Administrative Agent shall have proceeded to enforce any right under this Agreement or any other of the Loan Documents by foreclosure, sale, entry or otherwise, and such proceedings shall have been discontinued or abandoned for any reason or shall have been determined adversely, then and in every such case (unless otherwise ordered by a court of competent jurisdiction), Administrative Agent shall be restored to its former position and rights hereunder with respect to the Property subject to the security interest created under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7.2</w:t>
      </w:r>
    </w:p>
    <w:p>
      <w:pPr>
        <w:pStyle w:val="TextBody"/>
        <w:bidi w:val="0"/>
        <w:spacing w:before="0" w:after="240"/>
        <w:jc w:val="both"/>
        <w:rPr/>
      </w:pPr>
      <w:r>
        <w:rPr>
          <w:rFonts w:ascii="Arial" w:hAnsi="Arial"/>
          <w:b w:val="false"/>
          <w:color w:val="000000"/>
          <w:sz w:val="20"/>
          <w:u w:val="single"/>
        </w:rPr>
        <w:t>Rights Cumulative; Waivers</w:t>
      </w:r>
      <w:r>
        <w:rPr>
          <w:rFonts w:ascii="Arial" w:hAnsi="Arial"/>
          <w:b w:val="false"/>
          <w:color w:val="000000"/>
          <w:sz w:val="20"/>
        </w:rPr>
        <w:t>. All rights, remedies and powers granted to Administrative Agent and Lenders hereunder are irrevocable and cumulative, and not alternative or exclusive, and shall be in addition to all other rights, remedies and powers given hereunder, or in or by any other instrument, or available in law or equity. Administrative Agent’s and Lender’s knowledge at any time of any breach of, or non-compliance with, any representations, warranties, covenants or agreements hereunder shall not constitute or be deemed a waiver of any of such rights or remedies hereunder, and any waiver of any default shall not constitute a waiver of any other default. Notwithstanding any foreclosure or sale of any item of Collateral by Administrative Agent as permitted under this Agreement, Borrower shall remain liable for any deficiency. All amounts realized by Administrative Agent in furtherance of its rights to sell or foreclose upon the Collateral shall first be applied to all costs of the action and all costs of enforcement or interpretation of this Agreement, including any court costs, legal or expert fees and filing fees, then to any outstanding interest or penalties payable under this Agreement, then to repayment of principal of all Loans.</w:t>
      </w:r>
    </w:p>
    <w:p>
      <w:pPr>
        <w:pStyle w:val="TextBody"/>
        <w:bidi w:val="0"/>
        <w:jc w:val="center"/>
        <w:rPr>
          <w:rFonts w:ascii="Arial" w:hAnsi="Arial"/>
          <w:b w:val="false"/>
          <w:color w:val="000000"/>
          <w:sz w:val="20"/>
        </w:rPr>
      </w:pPr>
      <w:r>
        <w:rPr>
          <w:rFonts w:ascii="Arial" w:hAnsi="Arial"/>
          <w:b w:val="false"/>
          <w:color w:val="000000"/>
          <w:sz w:val="20"/>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caps/>
          <w:color w:val="000000"/>
          <w:sz w:val="20"/>
        </w:rPr>
      </w:pPr>
      <w:r>
        <w:rPr>
          <w:rFonts w:ascii="Arial" w:hAnsi="Arial"/>
          <w:b/>
          <w:caps/>
          <w:color w:val="000000"/>
          <w:sz w:val="20"/>
        </w:rPr>
        <w:t>Article 8</w:t>
      </w:r>
    </w:p>
    <w:p>
      <w:pPr>
        <w:pStyle w:val="TextBody"/>
        <w:bidi w:val="0"/>
        <w:spacing w:before="0" w:after="240"/>
        <w:jc w:val="center"/>
        <w:rPr>
          <w:rFonts w:ascii="Arial" w:hAnsi="Arial"/>
          <w:b/>
          <w:caps/>
          <w:color w:val="000000"/>
          <w:sz w:val="20"/>
          <w:u w:val="single"/>
        </w:rPr>
      </w:pPr>
      <w:r>
        <w:rPr>
          <w:rFonts w:ascii="Arial" w:hAnsi="Arial"/>
          <w:b/>
          <w:caps/>
          <w:color w:val="000000"/>
          <w:sz w:val="20"/>
          <w:u w:val="single"/>
        </w:rPr>
        <w:br/>
        <w:br/>
        <w:t>MISCELLANEOUS</w:t>
      </w:r>
    </w:p>
    <w:p>
      <w:pPr>
        <w:pStyle w:val="TextBody"/>
        <w:bidi w:val="0"/>
        <w:spacing w:before="0" w:after="240"/>
        <w:jc w:val="both"/>
        <w:rPr>
          <w:rFonts w:ascii="Arial" w:hAnsi="Arial"/>
          <w:b w:val="false"/>
          <w:color w:val="000000"/>
          <w:sz w:val="20"/>
        </w:rPr>
      </w:pPr>
      <w:r>
        <w:rPr>
          <w:rFonts w:ascii="Arial" w:hAnsi="Arial"/>
          <w:b w:val="false"/>
          <w:color w:val="000000"/>
          <w:sz w:val="20"/>
        </w:rPr>
        <w:t>8.1</w:t>
      </w:r>
    </w:p>
    <w:p>
      <w:pPr>
        <w:pStyle w:val="TextBody"/>
        <w:bidi w:val="0"/>
        <w:spacing w:before="0" w:after="240"/>
        <w:jc w:val="both"/>
        <w:rPr/>
      </w:pPr>
      <w:r>
        <w:rPr>
          <w:rFonts w:ascii="Arial" w:hAnsi="Arial"/>
          <w:b w:val="false"/>
          <w:color w:val="000000"/>
          <w:sz w:val="20"/>
          <w:u w:val="single"/>
        </w:rPr>
        <w:t>Costs and Expenses</w:t>
      </w:r>
      <w:r>
        <w:rPr>
          <w:rFonts w:ascii="Arial" w:hAnsi="Arial"/>
          <w:b w:val="false"/>
          <w:color w:val="000000"/>
          <w:sz w:val="20"/>
        </w:rPr>
        <w:t>. Borrower will pay all Administrative Agent’s Expenses and Lender’s Expenses on demand.</w:t>
      </w:r>
    </w:p>
    <w:p>
      <w:pPr>
        <w:pStyle w:val="TextBody"/>
        <w:bidi w:val="0"/>
        <w:spacing w:before="0" w:after="240"/>
        <w:jc w:val="both"/>
        <w:rPr>
          <w:rFonts w:ascii="Arial" w:hAnsi="Arial"/>
          <w:b w:val="false"/>
          <w:color w:val="000000"/>
          <w:sz w:val="20"/>
        </w:rPr>
      </w:pPr>
      <w:r>
        <w:rPr>
          <w:rFonts w:ascii="Arial" w:hAnsi="Arial"/>
          <w:b w:val="false"/>
          <w:color w:val="000000"/>
          <w:sz w:val="20"/>
        </w:rPr>
        <w:t>8.2</w:t>
      </w:r>
    </w:p>
    <w:p>
      <w:pPr>
        <w:pStyle w:val="TextBody"/>
        <w:bidi w:val="0"/>
        <w:spacing w:before="0" w:after="240"/>
        <w:jc w:val="both"/>
        <w:rPr/>
      </w:pPr>
      <w:r>
        <w:rPr>
          <w:rFonts w:ascii="Arial" w:hAnsi="Arial"/>
          <w:b w:val="false"/>
          <w:color w:val="000000"/>
          <w:sz w:val="20"/>
          <w:u w:val="single"/>
        </w:rPr>
        <w:t>Power of Attorney</w:t>
      </w:r>
      <w:r>
        <w:rPr>
          <w:rFonts w:ascii="Arial" w:hAnsi="Arial"/>
          <w:b w:val="false"/>
          <w:color w:val="000000"/>
          <w:sz w:val="20"/>
        </w:rPr>
        <w:t>. Borrower hereby irrevocably constitutes and appoints Administrative Agent as Borrower’s attorney-in-fact with full power of substitution, for Borrower and any of its Subsidiary’s and in Borrower’s or any of its Subsidiary’s name to do, at Administrative Agent’s option and at Borrower’s expense upon the occurrence and during the continuance of an Event of Default, to (a) ask, demand, collect (including, but not limited to the execution, in Borrower’s or any Subsidiary’s name, of notification letters), sue for, compound and give acquittance for any and all payments assigned hereunder and to endorse, in writing or by stamp, Borrower’s name or otherwise on all checks for any monies in respect of the Collateral; (b) sign Borrower’s or any of its Subsidiaries’ name on any invoice or bill of lading for any account or drafts against Account Debtors; (c) settle and adjust disputes and claims about any accounts directly with Account Debtors, for amounts and on terms Administrative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Administrative Agent or a third party as the UCC or any applicable law permits. Borrower hereby appoints Administrative Agent as its lawful attorney</w:t>
        <w:noBreakHyphen/>
        <w:t>in</w:t>
        <w:noBreakHyphen/>
        <w:t>fact to sign Borrower’s or any of its Subsidiaries’ name on any documents necessary to perfect or continue the perfection of Administrative Agent’s security interest in the Collateral regardless of whether an Event of Default has occurred until all Obligations (other than inchoate indemnity obligations) have been satisfied in full and Lenders are under no further obligation to make extend Loans hereunder. Administrative Agent’s foregoing appointment as Borrower’s or any of its Subsidiaries’ attorney in fact, and all of Administrative Agent’s and Lenders’ rights and powers, coupled with an interest, are irrevocable until all Obligations (other than inchoate indemnity obligations) have been fully repaid and performed and Lenders’ obligation to provide Loans terminates.</w:t>
      </w:r>
    </w:p>
    <w:p>
      <w:pPr>
        <w:pStyle w:val="TextBody"/>
        <w:bidi w:val="0"/>
        <w:spacing w:before="0" w:after="240"/>
        <w:jc w:val="both"/>
        <w:rPr>
          <w:rFonts w:ascii="Arial" w:hAnsi="Arial"/>
          <w:b w:val="false"/>
          <w:color w:val="000000"/>
          <w:sz w:val="20"/>
        </w:rPr>
      </w:pPr>
      <w:r>
        <w:rPr>
          <w:rFonts w:ascii="Arial" w:hAnsi="Arial"/>
          <w:b w:val="false"/>
          <w:color w:val="000000"/>
          <w:sz w:val="20"/>
        </w:rPr>
        <w:t>8.3</w:t>
      </w:r>
    </w:p>
    <w:p>
      <w:pPr>
        <w:pStyle w:val="TextBody"/>
        <w:bidi w:val="0"/>
        <w:spacing w:before="0" w:after="240"/>
        <w:jc w:val="both"/>
        <w:rPr/>
      </w:pPr>
      <w:r>
        <w:rPr>
          <w:rFonts w:ascii="Arial" w:hAnsi="Arial"/>
          <w:b w:val="false"/>
          <w:color w:val="000000"/>
          <w:sz w:val="20"/>
          <w:u w:val="single"/>
        </w:rPr>
        <w:t>Survival</w:t>
      </w:r>
      <w:r>
        <w:rPr>
          <w:rFonts w:ascii="Arial" w:hAnsi="Arial"/>
          <w:b w:val="false"/>
          <w:color w:val="000000"/>
          <w:sz w:val="20"/>
        </w:rPr>
        <w:t>. All representations, warranties and indemnities contained in this Agreement (and any and each other agreement or instrument delivered pursuant hereto) shall survive (i) the execution and delivery of this Agreement, (ii) the consummation of the transactions contemplated hereby, (iii) the payment of the Loans, (iv) the performance of all Obligations, and (v) termination of this Agreement.</w:t>
      </w:r>
    </w:p>
    <w:p>
      <w:pPr>
        <w:pStyle w:val="TextBody"/>
        <w:bidi w:val="0"/>
        <w:spacing w:before="0" w:after="240"/>
        <w:jc w:val="both"/>
        <w:rPr>
          <w:rFonts w:ascii="Arial" w:hAnsi="Arial"/>
          <w:b w:val="false"/>
          <w:color w:val="000000"/>
          <w:sz w:val="20"/>
        </w:rPr>
      </w:pPr>
      <w:r>
        <w:rPr>
          <w:rFonts w:ascii="Arial" w:hAnsi="Arial"/>
          <w:b w:val="false"/>
          <w:color w:val="000000"/>
          <w:sz w:val="20"/>
        </w:rPr>
        <w:t>8.4</w:t>
      </w:r>
    </w:p>
    <w:p>
      <w:pPr>
        <w:pStyle w:val="TextBody"/>
        <w:bidi w:val="0"/>
        <w:spacing w:before="0" w:after="240"/>
        <w:jc w:val="both"/>
        <w:rPr/>
      </w:pPr>
      <w:r>
        <w:rPr>
          <w:rFonts w:ascii="Arial" w:hAnsi="Arial"/>
          <w:b w:val="false"/>
          <w:color w:val="000000"/>
          <w:sz w:val="20"/>
          <w:u w:val="single"/>
        </w:rPr>
        <w:t>Assignments</w:t>
      </w:r>
      <w:r>
        <w:rPr>
          <w:rFonts w:ascii="Arial" w:hAnsi="Arial"/>
          <w:b w:val="false"/>
          <w:color w:val="000000"/>
          <w:sz w:val="20"/>
        </w:rPr>
        <w:t>. Except as herein provided, this Agreement shall be binding upon and inure to the benefit of Administrative Agent, Lenders, and Borrower and their respective representatives, successors and assigns. Any Lender may assign this Agreement and the Notes (if any) in whole or in part or sell participations therein without notice to Borrower or Borrower’s consent. Notwithstanding the foregoing, Borrower may not assign, transfer or otherwise convey this Agreement, in whole or in part, without Administrative Agent’s and each Lender’s prior written consent. Notwithstanding the foregoing, so long as no Event of Default shall have occurred and is continuing, no Lender shall assign its interests in the Loan Documents to any Person who, in the reasonable estimation of such Lender, is (a) a direct competitor of Borrower or (b) a vulture fund or distressed debt fund.</w:t>
      </w:r>
    </w:p>
    <w:p>
      <w:pPr>
        <w:pStyle w:val="TextBody"/>
        <w:bidi w:val="0"/>
        <w:spacing w:before="0" w:after="240"/>
        <w:jc w:val="both"/>
        <w:rPr>
          <w:rFonts w:ascii="Arial" w:hAnsi="Arial"/>
          <w:b w:val="false"/>
          <w:color w:val="000000"/>
          <w:sz w:val="20"/>
        </w:rPr>
      </w:pPr>
      <w:r>
        <w:rPr>
          <w:rFonts w:ascii="Arial" w:hAnsi="Arial"/>
          <w:b w:val="false"/>
          <w:color w:val="000000"/>
          <w:sz w:val="20"/>
        </w:rPr>
        <w:t>8.5</w:t>
      </w:r>
    </w:p>
    <w:p>
      <w:pPr>
        <w:pStyle w:val="TextBody"/>
        <w:bidi w:val="0"/>
        <w:spacing w:before="0" w:after="240"/>
        <w:jc w:val="both"/>
        <w:rPr/>
      </w:pPr>
      <w:r>
        <w:rPr>
          <w:rFonts w:ascii="Arial" w:hAnsi="Arial"/>
          <w:b w:val="false"/>
          <w:color w:val="000000"/>
          <w:sz w:val="20"/>
          <w:u w:val="single"/>
        </w:rPr>
        <w:t>No Brokers</w:t>
      </w:r>
      <w:r>
        <w:rPr>
          <w:rFonts w:ascii="Arial" w:hAnsi="Arial"/>
          <w:b w:val="false"/>
          <w:color w:val="000000"/>
          <w:sz w:val="20"/>
        </w:rPr>
        <w:t>. Borrower represents to Lenders that no brokers or advisors have been or will be retained in connection with the transactions contemplated herein.</w:t>
      </w:r>
    </w:p>
    <w:p>
      <w:pPr>
        <w:pStyle w:val="TextBody"/>
        <w:bidi w:val="0"/>
        <w:spacing w:before="0" w:after="240"/>
        <w:jc w:val="both"/>
        <w:rPr>
          <w:rFonts w:ascii="Arial" w:hAnsi="Arial"/>
          <w:b w:val="false"/>
          <w:color w:val="000000"/>
          <w:sz w:val="20"/>
        </w:rPr>
      </w:pPr>
      <w:r>
        <w:rPr>
          <w:rFonts w:ascii="Arial" w:hAnsi="Arial"/>
          <w:b w:val="false"/>
          <w:color w:val="000000"/>
          <w:sz w:val="20"/>
        </w:rPr>
        <w:t>8.6</w:t>
      </w:r>
    </w:p>
    <w:p>
      <w:pPr>
        <w:pStyle w:val="TextBody"/>
        <w:bidi w:val="0"/>
        <w:spacing w:before="0" w:after="240"/>
        <w:jc w:val="both"/>
        <w:rPr/>
      </w:pPr>
      <w:r>
        <w:rPr>
          <w:rFonts w:ascii="Arial" w:hAnsi="Arial"/>
          <w:b w:val="false"/>
          <w:color w:val="000000"/>
          <w:sz w:val="20"/>
          <w:u w:val="single"/>
        </w:rPr>
        <w:t>Notice</w:t>
      </w:r>
      <w:r>
        <w:rPr>
          <w:rFonts w:ascii="Arial" w:hAnsi="Arial"/>
          <w:b w:val="false"/>
          <w:color w:val="000000"/>
          <w:sz w:val="20"/>
        </w:rPr>
        <w:t xml:space="preserve">. All notices, consents, requests, instructions, approvals and communications provided herein shall be validly given, made or served, effective only if in writing, except as otherwise provided herein, and sent by overnight courier, certified U.S. mail, postage prepaid, or by electronic mail, and shall be deemed received within five (5) Business Days from the date of posting if sent by mail, one Business Day after delivery thereto if sent by overnight courier service, or on the day of transmission if sent by electronic mail with a confirmation receipt obtained, or if such day is not a Business Day, then on the following Business Day. All such notices, consents, requests, instructions, approvals and </w:t>
      </w:r>
    </w:p>
    <w:p>
      <w:pPr>
        <w:pStyle w:val="TextBody"/>
        <w:bidi w:val="0"/>
        <w:jc w:val="center"/>
        <w:rPr>
          <w:rFonts w:ascii="Arial" w:hAnsi="Arial"/>
          <w:b w:val="false"/>
          <w:color w:val="000000"/>
          <w:sz w:val="20"/>
        </w:rPr>
      </w:pPr>
      <w:r>
        <w:rPr>
          <w:rFonts w:ascii="Arial" w:hAnsi="Arial"/>
          <w:b w:val="false"/>
          <w:color w:val="000000"/>
          <w:sz w:val="20"/>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communications shall be sent to a party at the address set forth for such party on the signature pages hereto, or to such other address as such party may designate in writing.</w:t>
      </w:r>
    </w:p>
    <w:p>
      <w:pPr>
        <w:pStyle w:val="TextBody"/>
        <w:bidi w:val="0"/>
        <w:spacing w:before="0" w:after="240"/>
        <w:jc w:val="both"/>
        <w:rPr>
          <w:rFonts w:ascii="Arial" w:hAnsi="Arial"/>
          <w:b w:val="false"/>
          <w:color w:val="000000"/>
          <w:sz w:val="20"/>
        </w:rPr>
      </w:pPr>
      <w:r>
        <w:rPr>
          <w:rFonts w:ascii="Arial" w:hAnsi="Arial"/>
          <w:b w:val="false"/>
          <w:color w:val="000000"/>
          <w:sz w:val="20"/>
        </w:rPr>
        <w:t>8.7</w:t>
      </w:r>
    </w:p>
    <w:p>
      <w:pPr>
        <w:pStyle w:val="TextBody"/>
        <w:bidi w:val="0"/>
        <w:spacing w:before="0" w:after="240"/>
        <w:jc w:val="both"/>
        <w:rPr/>
      </w:pPr>
      <w:r>
        <w:rPr>
          <w:rFonts w:ascii="Arial" w:hAnsi="Arial"/>
          <w:b w:val="false"/>
          <w:color w:val="000000"/>
          <w:sz w:val="20"/>
          <w:u w:val="single"/>
        </w:rPr>
        <w:t>Governing Law; Consent to Jurisdiction and Service of Process</w:t>
      </w:r>
      <w:r>
        <w:rPr>
          <w:rFonts w:ascii="Arial" w:hAnsi="Arial"/>
          <w:b w:val="false"/>
          <w:color w:val="000000"/>
          <w:sz w:val="20"/>
        </w:rPr>
        <w:t>. THIS AGREEMENT SHALL BE SUBJECT TO AND GOVERNED BY THE LAWS OF THE STATE OF CALIFORNIA (WITHOUT REGARD TO THE CONFLICT OF LAW PRINCIPLES THEREOF THAT WOULD RESULT IN THE APPLICATION OF ANY LAWS OTHER THAN THE LAWS OF SUCH STATE). IN THE EVENT THAT ADMINISTRATIVE AGENT OR ANY LENDER INITIATES AGAINST BORROWER ANY DISPUTE, CLAIM, OR SUIT WHETHER DIRECTLY OR INDIRECTLY ARISING OUT OF OR RELATING TO THIS AGREEMENT, OR ANY OTHER LOAN DOCUMENT OR ANY OF BORROWER’S OBLIGATIONS OR INDEBTEDNESS HEREUNDER OR THEREUNDER, EACH PARTY DOES HEREBY IRREVOCABLY SUBMIT TO THE JURISDICTION AND VENUE OF ANY COURTS (FEDERAL, STATE OR LOCAL) HAVING A LOCATION IN THE STATE OF CALIFORNIA. IN THE EVENT THAT BORROWER INITIATES AGAINST ADMINISTRATIVE AGENT OR ANY LENDER ANY DISPUTE, CLAIM, OR SUIT WHETHER DIRECTLY OR INDIRECTLY ARISING OUT OF OR RELATING TO THIS AGREEMENT, OR ANY RELATED ASSIGNMENT OR ANY OF BORROWER’S OBLIGATIONS OR INDEBTEDNESS HEREUNDER, EACH PARTY DOES HEREBY IRREVOCABLY SUBMIT TO THE JURISDICTION AND VENUE OF ANY COURTS (FEDERAL, STATE OR LOCAL) HAVING A LOCATION IN THE STATE OF CALIFORNIA. EACH PARTY EXPRESSLY WAIVES PERSONAL SERVICE OF PROCESS AND CONSENTS TO SERVICE BY CERTIFIED MAIL, POSTAGE PREPAID, DIRECTED TO ITS LAST KNOWN ADDRESS WHICH SERVICE SHALL BE DEEMED COMPLETED WITHIN FIVE (5) DAYS AFTER THE DATE OF MAILING THEREOF. EACH PARTY HEREBY IRREVOCABLY WAIVES ANY CLAIM THAT THE STATE OF CALIFORNIA IS AN INCONVENIENT FORUM OR AN IMPROPER FORUM BASED ON LACK OF VENUE AS WELL AS ANY RIGHT IT MAY NOW OR HEREAFTER HAVE TO REMOVE ANY SUCH ACTION OR PROCEEDING, ONCE COMMENCED TO ANOTHER COURT ON THE GROUNDS OF FORUM NON CONVENIENS OR OTHERWISE. THE EXCLUSIVE CHOICE OF FORUM SET FORTH HEREIN SHALL NOT BE DEEMED TO PRECLUDE THE ENFORCEMENT BY EITHER PARTY OF ANY JUDGMENT OBTAINED IN SUCH FORUM OR THE TAKING OF ANY ACTION BY SUCH PARTY TO ENFORCE THE SAME IN ANY OTHER APPROPRIATE JURISDICTION.</w:t>
      </w:r>
    </w:p>
    <w:p>
      <w:pPr>
        <w:pStyle w:val="TextBody"/>
        <w:bidi w:val="0"/>
        <w:spacing w:before="0" w:after="240"/>
        <w:jc w:val="both"/>
        <w:rPr>
          <w:rFonts w:ascii="Arial" w:hAnsi="Arial"/>
          <w:b w:val="false"/>
          <w:color w:val="000000"/>
          <w:sz w:val="20"/>
        </w:rPr>
      </w:pPr>
      <w:r>
        <w:rPr>
          <w:rFonts w:ascii="Arial" w:hAnsi="Arial"/>
          <w:b w:val="false"/>
          <w:color w:val="000000"/>
          <w:sz w:val="20"/>
        </w:rPr>
        <w:t>8.8</w:t>
      </w:r>
    </w:p>
    <w:p>
      <w:pPr>
        <w:pStyle w:val="TextBody"/>
        <w:bidi w:val="0"/>
        <w:spacing w:before="0" w:after="240"/>
        <w:jc w:val="both"/>
        <w:rPr/>
      </w:pPr>
      <w:r>
        <w:rPr>
          <w:rFonts w:ascii="Arial" w:hAnsi="Arial"/>
          <w:b w:val="false"/>
          <w:color w:val="000000"/>
          <w:sz w:val="20"/>
          <w:u w:val="single"/>
        </w:rPr>
        <w:t>Other Documents</w:t>
      </w:r>
      <w:r>
        <w:rPr>
          <w:rFonts w:ascii="Arial" w:hAnsi="Arial"/>
          <w:b w:val="false"/>
          <w:color w:val="000000"/>
          <w:sz w:val="20"/>
        </w:rPr>
        <w:t>. Borrower shall execute such other documents and shall otherwise cooperate with Administrative Agent as Administrative Agent reasonably requires to effectuate the transactions contemplated hereby.</w:t>
      </w:r>
    </w:p>
    <w:p>
      <w:pPr>
        <w:pStyle w:val="TextBody"/>
        <w:bidi w:val="0"/>
        <w:spacing w:before="0" w:after="240"/>
        <w:jc w:val="both"/>
        <w:rPr>
          <w:rFonts w:ascii="Arial" w:hAnsi="Arial"/>
          <w:b w:val="false"/>
          <w:color w:val="000000"/>
          <w:sz w:val="20"/>
        </w:rPr>
      </w:pPr>
      <w:r>
        <w:rPr>
          <w:rFonts w:ascii="Arial" w:hAnsi="Arial"/>
          <w:b w:val="false"/>
          <w:color w:val="000000"/>
          <w:sz w:val="20"/>
        </w:rPr>
        <w:t>8.9</w:t>
      </w:r>
    </w:p>
    <w:p>
      <w:pPr>
        <w:pStyle w:val="TextBody"/>
        <w:bidi w:val="0"/>
        <w:spacing w:before="0" w:after="240"/>
        <w:jc w:val="both"/>
        <w:rPr/>
      </w:pPr>
      <w:r>
        <w:rPr>
          <w:rFonts w:ascii="Arial" w:hAnsi="Arial"/>
          <w:b w:val="false"/>
          <w:color w:val="000000"/>
          <w:sz w:val="20"/>
          <w:u w:val="single"/>
        </w:rPr>
        <w:t>Severability</w:t>
      </w:r>
      <w:r>
        <w:rPr>
          <w:rFonts w:ascii="Arial" w:hAnsi="Arial"/>
          <w:b w:val="false"/>
          <w:color w:val="000000"/>
          <w:sz w:val="20"/>
        </w:rPr>
        <w:t>. If any part of this Agreement shall be contrary to any law which a party might seek to apply or enforce or should otherwise be defective, the other provisions hereof shall not be affected thereby but shall continue in full force and effect, to which end they are hereby declared severable.</w:t>
      </w:r>
    </w:p>
    <w:p>
      <w:pPr>
        <w:pStyle w:val="TextBody"/>
        <w:bidi w:val="0"/>
        <w:spacing w:before="0" w:after="240"/>
        <w:jc w:val="both"/>
        <w:rPr>
          <w:rFonts w:ascii="Arial" w:hAnsi="Arial"/>
          <w:b w:val="false"/>
          <w:color w:val="000000"/>
          <w:sz w:val="20"/>
        </w:rPr>
      </w:pPr>
      <w:r>
        <w:rPr>
          <w:rFonts w:ascii="Arial" w:hAnsi="Arial"/>
          <w:b w:val="false"/>
          <w:color w:val="000000"/>
          <w:sz w:val="20"/>
        </w:rPr>
        <w:t>8.10</w:t>
      </w:r>
    </w:p>
    <w:p>
      <w:pPr>
        <w:pStyle w:val="TextBody"/>
        <w:bidi w:val="0"/>
        <w:spacing w:before="0" w:after="240"/>
        <w:jc w:val="both"/>
        <w:rPr/>
      </w:pPr>
      <w:r>
        <w:rPr>
          <w:rFonts w:ascii="Arial" w:hAnsi="Arial"/>
          <w:b w:val="false"/>
          <w:color w:val="000000"/>
          <w:sz w:val="20"/>
          <w:u w:val="single"/>
        </w:rPr>
        <w:t>Entirety; Amendments</w:t>
      </w:r>
      <w:r>
        <w:rPr>
          <w:rFonts w:ascii="Arial" w:hAnsi="Arial"/>
          <w:b w:val="false"/>
          <w:color w:val="000000"/>
          <w:sz w:val="20"/>
        </w:rPr>
        <w:t>. This Agreement and the Exhibits referred to herein constitute the entire agreement between Administrative Agent, Lenders, and Borrower as to the subject matter contemplated herein, and supersedes all prior agreements and understandings relating thereto. Each of the parties hereto acknowledges that no party hereto nor any agent of any other party whomsoever has made any promise, representation or warranty whatsoever, express or implied, not contained herein, concerning the subject matter hereof, to induce it to execute this Agreement. No other agreements will be effective to change, modify or terminate this Agreement in whole or in part unless such agreement is in writing and duly executed by the party to be charged except as expressly set forth herein.</w:t>
      </w:r>
    </w:p>
    <w:p>
      <w:pPr>
        <w:pStyle w:val="TextBody"/>
        <w:bidi w:val="0"/>
        <w:spacing w:before="0" w:after="240"/>
        <w:jc w:val="both"/>
        <w:rPr>
          <w:rFonts w:ascii="Arial" w:hAnsi="Arial"/>
          <w:b w:val="false"/>
          <w:color w:val="000000"/>
          <w:sz w:val="20"/>
        </w:rPr>
      </w:pPr>
      <w:r>
        <w:rPr>
          <w:rFonts w:ascii="Arial" w:hAnsi="Arial"/>
          <w:b w:val="false"/>
          <w:color w:val="000000"/>
          <w:sz w:val="20"/>
        </w:rPr>
        <w:t>8.11</w:t>
      </w:r>
    </w:p>
    <w:p>
      <w:pPr>
        <w:pStyle w:val="TextBody"/>
        <w:bidi w:val="0"/>
        <w:spacing w:before="0" w:after="240"/>
        <w:jc w:val="both"/>
        <w:rPr/>
      </w:pPr>
      <w:r>
        <w:rPr>
          <w:rFonts w:ascii="Arial" w:hAnsi="Arial"/>
          <w:b w:val="false"/>
          <w:color w:val="000000"/>
          <w:sz w:val="20"/>
          <w:u w:val="single"/>
        </w:rPr>
        <w:t>WAIVER OF JURY TRIAL</w:t>
      </w:r>
      <w:r>
        <w:rPr>
          <w:rFonts w:ascii="Arial" w:hAnsi="Arial"/>
          <w:b w:val="false"/>
          <w:color w:val="000000"/>
          <w:sz w:val="20"/>
        </w:rPr>
        <w:t xml:space="preserve">. EACH PARTY HEREBY UNCONDITIONALLY WAIVES ITS RIGHT TO A JURY TRIAL OF ANY CLAIM OR CAUSE OF ACTION BASED UPON OR ARISING OUT OF, DIRECTLY OR INDIRECTLY, THIS AGREEMENT, ANY RELATED DOCUMENTS, ANY DEALINGS BETWEEN THE PARTIES RELATING TO THE SUBJECT MATTER OF THIS AGREEMENT, AND/OR THE RELATIONSHIP THAT IS BEING ESTABLISHED BY THE PARTIES. THE SCOPE OF THIS WAIVER IS INTENDED TO BE ALL ENCOMPASSING OF ANY AND ALL DISPUTES THAT MAY BE FILED IN ANY COURT (INCLUDING, WITHOUT LIMITATION, TRANSACTION CLAIMS, TORT CLAIMS, BREACH OF DUTY CLAIMS, AND ALL OTHER COMMON LAW AND STATUTORY CLAIMS). </w:t>
      </w:r>
    </w:p>
    <w:p>
      <w:pPr>
        <w:pStyle w:val="TextBody"/>
        <w:bidi w:val="0"/>
        <w:jc w:val="center"/>
        <w:rPr>
          <w:rFonts w:ascii="Arial" w:hAnsi="Arial"/>
          <w:b w:val="false"/>
          <w:color w:val="000000"/>
          <w:sz w:val="20"/>
        </w:rPr>
      </w:pPr>
      <w:r>
        <w:rPr>
          <w:rFonts w:ascii="Arial" w:hAnsi="Arial"/>
          <w:b w:val="false"/>
          <w:color w:val="000000"/>
          <w:sz w:val="20"/>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THIS WAIVER IS IRREVOCABLE AND MAY NOT BE MODIFIED ORALLY OR IN WRITING, AND SHALL APPLY TO ANY SUBSEQUENT AMENDMENTS, RENEWALS, SUPPLEMENTS AND MODIFICATIONS TO THIS AGREEMENT. IN THE EVENT OF LITIGATION, THIS AGREEMENT MAY BE FILED AS A WRITTEN CONSENT TO TRIAL BY THE COURT.</w:t>
      </w:r>
    </w:p>
    <w:p>
      <w:pPr>
        <w:pStyle w:val="TextBody"/>
        <w:bidi w:val="0"/>
        <w:spacing w:before="0" w:after="240"/>
        <w:jc w:val="both"/>
        <w:rPr>
          <w:rFonts w:ascii="Arial" w:hAnsi="Arial"/>
          <w:b w:val="false"/>
          <w:color w:val="000000"/>
          <w:sz w:val="20"/>
        </w:rPr>
      </w:pPr>
      <w:r>
        <w:rPr>
          <w:rFonts w:ascii="Arial" w:hAnsi="Arial"/>
          <w:b w:val="false"/>
          <w:color w:val="000000"/>
          <w:sz w:val="20"/>
        </w:rPr>
        <w:t>WITHOUT INTENDING IN ANY WAY TO LIMIT THE PARTIES’ AGREEMENT TO WAIVE THEIR RESPECTIVE RIGHT TO A TRIAL BY JURY, if the above waiver of the right to a trial by jury is not enforceable, any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pStyle w:val="TextBody"/>
        <w:bidi w:val="0"/>
        <w:spacing w:before="0" w:after="240"/>
        <w:jc w:val="both"/>
        <w:rPr>
          <w:rFonts w:ascii="Arial" w:hAnsi="Arial"/>
          <w:b w:val="false"/>
          <w:color w:val="000000"/>
          <w:sz w:val="20"/>
        </w:rPr>
      </w:pPr>
      <w:r>
        <w:rPr>
          <w:rFonts w:ascii="Arial" w:hAnsi="Arial"/>
          <w:b w:val="false"/>
          <w:color w:val="000000"/>
          <w:sz w:val="20"/>
        </w:rPr>
        <w:t>8.12</w:t>
      </w:r>
    </w:p>
    <w:p>
      <w:pPr>
        <w:pStyle w:val="TextBody"/>
        <w:bidi w:val="0"/>
        <w:spacing w:before="0" w:after="240"/>
        <w:jc w:val="both"/>
        <w:rPr/>
      </w:pPr>
      <w:r>
        <w:rPr>
          <w:rFonts w:ascii="Arial" w:hAnsi="Arial"/>
          <w:b w:val="false"/>
          <w:color w:val="000000"/>
          <w:sz w:val="20"/>
          <w:u w:val="single"/>
        </w:rPr>
        <w:t>Publicity</w:t>
      </w:r>
      <w:r>
        <w:rPr>
          <w:rFonts w:ascii="Arial" w:hAnsi="Arial"/>
          <w:b w:val="false"/>
          <w:color w:val="000000"/>
          <w:sz w:val="20"/>
        </w:rPr>
        <w:t>. Each Lender will have the right to (a) make a public announcement and include on its website, social media sites, and other marketing materials information related to this transaction; provided that Lender and Borrower shall mutually agree on the timing and content of any publicity permitted by this Section 8.12(a), and (b) include information about this transaction, including but not limited to Borrower’s name, the type of investment, principal amount, interest rate and maturity date, in its periodic reports with the Securities and Exchange Commission (“SEC”), to the extent required by SEC rules and regulations.</w:t>
      </w:r>
    </w:p>
    <w:p>
      <w:pPr>
        <w:pStyle w:val="TextBody"/>
        <w:bidi w:val="0"/>
        <w:spacing w:before="0" w:after="240"/>
        <w:jc w:val="both"/>
        <w:rPr>
          <w:rFonts w:ascii="Arial" w:hAnsi="Arial"/>
          <w:b w:val="false"/>
          <w:color w:val="000000"/>
          <w:sz w:val="20"/>
        </w:rPr>
      </w:pPr>
      <w:r>
        <w:rPr>
          <w:rFonts w:ascii="Arial" w:hAnsi="Arial"/>
          <w:b w:val="false"/>
          <w:color w:val="000000"/>
          <w:sz w:val="20"/>
        </w:rPr>
        <w:t>8.13</w:t>
      </w:r>
    </w:p>
    <w:p>
      <w:pPr>
        <w:pStyle w:val="TextBody"/>
        <w:bidi w:val="0"/>
        <w:spacing w:before="0" w:after="240"/>
        <w:jc w:val="both"/>
        <w:rPr/>
      </w:pPr>
      <w:r>
        <w:rPr>
          <w:rFonts w:ascii="Arial" w:hAnsi="Arial"/>
          <w:b w:val="false"/>
          <w:color w:val="000000"/>
          <w:sz w:val="20"/>
          <w:u w:val="single"/>
        </w:rPr>
        <w:t>Demand Waiver</w:t>
      </w:r>
      <w:r>
        <w:rPr>
          <w:rFonts w:ascii="Arial" w:hAnsi="Arial"/>
          <w:b w:val="false"/>
          <w:color w:val="000000"/>
          <w:sz w:val="20"/>
        </w:rPr>
        <w:t>. 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the Lenders on which Borrower or any Subsidiary is liable.</w:t>
      </w:r>
    </w:p>
    <w:p>
      <w:pPr>
        <w:pStyle w:val="TextBody"/>
        <w:bidi w:val="0"/>
        <w:spacing w:before="0" w:after="240"/>
        <w:jc w:val="both"/>
        <w:rPr>
          <w:rFonts w:ascii="Arial" w:hAnsi="Arial"/>
          <w:b w:val="false"/>
          <w:color w:val="000000"/>
          <w:sz w:val="20"/>
        </w:rPr>
      </w:pPr>
      <w:r>
        <w:rPr>
          <w:rFonts w:ascii="Arial" w:hAnsi="Arial"/>
          <w:b w:val="false"/>
          <w:color w:val="000000"/>
          <w:sz w:val="20"/>
        </w:rPr>
        <w:t>8.14</w:t>
      </w:r>
    </w:p>
    <w:p>
      <w:pPr>
        <w:pStyle w:val="TextBody"/>
        <w:bidi w:val="0"/>
        <w:spacing w:before="0" w:after="240"/>
        <w:jc w:val="both"/>
        <w:rPr/>
      </w:pPr>
      <w:r>
        <w:rPr>
          <w:rFonts w:ascii="Arial" w:hAnsi="Arial"/>
          <w:b w:val="false"/>
          <w:color w:val="000000"/>
          <w:sz w:val="20"/>
          <w:u w:val="single"/>
        </w:rPr>
        <w:t>Counterparts</w:t>
      </w:r>
      <w:r>
        <w:rPr>
          <w:rFonts w:ascii="Arial" w:hAnsi="Arial"/>
          <w:b w:val="false"/>
          <w:color w:val="000000"/>
          <w:sz w:val="20"/>
        </w:rPr>
        <w:t>. This Agreement may be executed in any number of counterparts and by different parties on separate counterparts, each 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pStyle w:val="TextBody"/>
        <w:bidi w:val="0"/>
        <w:spacing w:before="0" w:after="240"/>
        <w:jc w:val="both"/>
        <w:rPr>
          <w:rFonts w:ascii="Arial" w:hAnsi="Arial"/>
          <w:b w:val="false"/>
          <w:color w:val="000000"/>
          <w:sz w:val="20"/>
        </w:rPr>
      </w:pPr>
      <w:r>
        <w:rPr>
          <w:rFonts w:ascii="Arial" w:hAnsi="Arial"/>
          <w:b w:val="false"/>
          <w:color w:val="000000"/>
          <w:sz w:val="20"/>
        </w:rPr>
        <w:t>8.15</w:t>
      </w:r>
    </w:p>
    <w:p>
      <w:pPr>
        <w:pStyle w:val="TextBody"/>
        <w:bidi w:val="0"/>
        <w:spacing w:before="0" w:after="240"/>
        <w:jc w:val="both"/>
        <w:rPr/>
      </w:pPr>
      <w:r>
        <w:rPr>
          <w:rFonts w:ascii="Arial" w:hAnsi="Arial"/>
          <w:b w:val="false"/>
          <w:color w:val="000000"/>
          <w:sz w:val="20"/>
          <w:u w:val="single"/>
        </w:rPr>
        <w:t>Electronic Execution of Certain Other Documents.</w:t>
      </w:r>
      <w:r>
        <w:rPr>
          <w:color w:val="000000"/>
        </w:rPr>
        <w:t xml:space="preserve"> </w:t>
      </w:r>
      <w:r>
        <w:rPr>
          <w:rFonts w:ascii="Arial" w:hAnsi="Arial"/>
          <w:b w:val="false"/>
          <w:color w:val="000000"/>
          <w:sz w:val="20"/>
        </w:rPr>
        <w:t>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Electronic Transactions Act, or any other similar state laws based on the Uniform Electronic Transactions Act.</w:t>
      </w:r>
    </w:p>
    <w:p>
      <w:pPr>
        <w:pStyle w:val="TextBody"/>
        <w:bidi w:val="0"/>
        <w:spacing w:before="0" w:after="240"/>
        <w:jc w:val="both"/>
        <w:rPr>
          <w:rFonts w:ascii="Arial" w:hAnsi="Arial"/>
          <w:b w:val="false"/>
          <w:color w:val="000000"/>
          <w:sz w:val="20"/>
        </w:rPr>
      </w:pPr>
      <w:r>
        <w:rPr>
          <w:rFonts w:ascii="Arial" w:hAnsi="Arial"/>
          <w:b w:val="false"/>
          <w:color w:val="000000"/>
          <w:sz w:val="20"/>
        </w:rPr>
        <w:t>8.16</w:t>
      </w:r>
    </w:p>
    <w:p>
      <w:pPr>
        <w:pStyle w:val="TextBody"/>
        <w:bidi w:val="0"/>
        <w:spacing w:before="0" w:after="240"/>
        <w:jc w:val="both"/>
        <w:rPr/>
      </w:pPr>
      <w:r>
        <w:rPr>
          <w:rFonts w:ascii="Arial" w:hAnsi="Arial"/>
          <w:b w:val="false"/>
          <w:color w:val="000000"/>
          <w:sz w:val="20"/>
          <w:u w:val="single"/>
        </w:rPr>
        <w:t>Correction of Loan Documents</w:t>
      </w:r>
      <w:r>
        <w:rPr>
          <w:rFonts w:ascii="Arial" w:hAnsi="Arial"/>
          <w:b w:val="false"/>
          <w:color w:val="000000"/>
          <w:sz w:val="20"/>
        </w:rPr>
        <w:t>. Administrative Agent, on behalf of Lenders, may correct patent errors and fill in any blanks in the Loan Documents consistent with the agreement of the parties so long as Administrative Agent provides Borrower with notice of such correction.</w:t>
      </w:r>
    </w:p>
    <w:p>
      <w:pPr>
        <w:pStyle w:val="TextBody"/>
        <w:bidi w:val="0"/>
        <w:jc w:val="center"/>
        <w:rPr>
          <w:rFonts w:ascii="Arial" w:hAnsi="Arial"/>
          <w:b w:val="false"/>
          <w:color w:val="000000"/>
          <w:sz w:val="20"/>
        </w:rPr>
      </w:pPr>
      <w:r>
        <w:rPr>
          <w:rFonts w:ascii="Arial" w:hAnsi="Arial"/>
          <w:b w:val="false"/>
          <w:color w:val="000000"/>
          <w:sz w:val="20"/>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8.17</w:t>
      </w:r>
    </w:p>
    <w:p>
      <w:pPr>
        <w:pStyle w:val="TextBody"/>
        <w:bidi w:val="0"/>
        <w:spacing w:before="0" w:after="240"/>
        <w:jc w:val="both"/>
        <w:rPr/>
      </w:pPr>
      <w:r>
        <w:rPr>
          <w:rFonts w:ascii="Arial" w:hAnsi="Arial"/>
          <w:b w:val="false"/>
          <w:color w:val="000000"/>
          <w:sz w:val="20"/>
          <w:u w:val="single"/>
        </w:rPr>
        <w:t>Right of Set Off</w:t>
      </w:r>
      <w:r>
        <w:rPr>
          <w:rFonts w:ascii="Arial" w:hAnsi="Arial"/>
          <w:b w:val="false"/>
          <w:color w:val="000000"/>
          <w:sz w:val="20"/>
        </w:rPr>
        <w:t>. Borrower hereby grants to Administrative Agent, for the benefit of Lenders, a Lien, security interest and right of set off as security for all Obligations to Lenders hereunder, whether now existing or hereafter arising upon and against all deposits, credits, collateral and property, now or hereafter in the possession, custody, safekeeping or control of the Administrative Agent or any entity under the control of the Lenders (including a Lender affiliate) or in transit to any of them. At any time after the occurrence and during the continuance of an Event of Default, without demand or notice, the Administrative Agent, on behalf of Lenders, may set off the same or any part thereof and apply the same to any liability or obligation of Borrower even though unmatured and regardless of the adequacy of any other collateral securing the Obligations. ANY AND ALL RIGHTS TO REQUIRE LENDERS TO EXERCISE THEIR RIGHTS OR REMEDIES WITH RESPECT TO ANY OTHER COLLATERAL WHICH SECURES THE OBLIGATIONS, PRIOR TO EXERCISING THEIR RIGHT OF SETOFF WITH RESPECT TO SUCH DEPOSITS, CREDITS OR OTHER PROPERTY OF BORROWER ARE HEREBY KNOWINGLY, VOLUNTARILY AND IRREVOCABLY WAIVED BY BORROWER.</w:t>
      </w:r>
    </w:p>
    <w:p>
      <w:pPr>
        <w:pStyle w:val="TextBody"/>
        <w:bidi w:val="0"/>
        <w:spacing w:before="0" w:after="240"/>
        <w:jc w:val="both"/>
        <w:rPr>
          <w:rFonts w:ascii="Arial" w:hAnsi="Arial"/>
          <w:b w:val="false"/>
          <w:color w:val="000000"/>
          <w:sz w:val="20"/>
        </w:rPr>
      </w:pPr>
      <w:r>
        <w:rPr>
          <w:rFonts w:ascii="Arial" w:hAnsi="Arial"/>
          <w:b w:val="false"/>
          <w:color w:val="000000"/>
          <w:sz w:val="20"/>
        </w:rPr>
        <w:t>8.18</w:t>
      </w:r>
    </w:p>
    <w:p>
      <w:pPr>
        <w:pStyle w:val="TextBody"/>
        <w:bidi w:val="0"/>
        <w:spacing w:before="0" w:after="240"/>
        <w:jc w:val="both"/>
        <w:rPr/>
      </w:pPr>
      <w:r>
        <w:rPr>
          <w:rFonts w:ascii="Arial" w:hAnsi="Arial"/>
          <w:b w:val="false"/>
          <w:color w:val="000000"/>
          <w:sz w:val="20"/>
          <w:u w:val="single"/>
        </w:rPr>
        <w:t>Registers</w:t>
      </w:r>
      <w:r>
        <w:rPr>
          <w:rFonts w:ascii="Arial" w:hAnsi="Arial"/>
          <w:b w:val="false"/>
          <w:color w:val="000000"/>
          <w:sz w:val="20"/>
        </w:rPr>
        <w:t>.</w:t>
      </w:r>
    </w:p>
    <w:p>
      <w:pPr>
        <w:pStyle w:val="TextBody"/>
        <w:bidi w:val="0"/>
        <w:spacing w:before="0" w:after="240"/>
        <w:jc w:val="both"/>
        <w:rPr>
          <w:rFonts w:ascii="Arial" w:hAnsi="Arial"/>
          <w:b w:val="false"/>
          <w:color w:val="000000"/>
          <w:sz w:val="20"/>
        </w:rPr>
      </w:pPr>
      <w:r>
        <w:rPr>
          <w:rFonts w:ascii="Arial" w:hAnsi="Arial"/>
          <w:b w:val="false"/>
          <w:color w:val="000000"/>
          <w:sz w:val="20"/>
        </w:rPr>
        <w:t>(a)</w:t>
      </w:r>
    </w:p>
    <w:p>
      <w:pPr>
        <w:pStyle w:val="TextBody"/>
        <w:bidi w:val="0"/>
        <w:spacing w:before="0" w:after="240"/>
        <w:jc w:val="both"/>
        <w:rPr/>
      </w:pPr>
      <w:r>
        <w:rPr>
          <w:rFonts w:ascii="Arial" w:hAnsi="Arial"/>
          <w:b w:val="false"/>
          <w:color w:val="000000"/>
          <w:sz w:val="20"/>
          <w:u w:val="single"/>
        </w:rPr>
        <w:t>Register</w:t>
      </w:r>
      <w:r>
        <w:rPr>
          <w:rFonts w:ascii="Arial" w:hAnsi="Arial"/>
          <w:b w:val="false"/>
          <w:color w:val="000000"/>
          <w:sz w:val="20"/>
        </w:rPr>
        <w:t>. The Administrative Agent, acting solely for this purpose as an agent of the Borrower, shall maintain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240"/>
        <w:jc w:val="both"/>
        <w:rPr>
          <w:rFonts w:ascii="Arial" w:hAnsi="Arial"/>
          <w:b w:val="false"/>
          <w:color w:val="000000"/>
          <w:sz w:val="20"/>
        </w:rPr>
      </w:pPr>
      <w:r>
        <w:rPr>
          <w:rFonts w:ascii="Arial" w:hAnsi="Arial"/>
          <w:b w:val="false"/>
          <w:color w:val="000000"/>
          <w:sz w:val="20"/>
        </w:rPr>
        <w:t>(b)</w:t>
      </w:r>
    </w:p>
    <w:p>
      <w:pPr>
        <w:pStyle w:val="TextBody"/>
        <w:bidi w:val="0"/>
        <w:spacing w:before="0" w:after="240"/>
        <w:jc w:val="both"/>
        <w:rPr/>
      </w:pPr>
      <w:r>
        <w:rPr>
          <w:rFonts w:ascii="Arial" w:hAnsi="Arial"/>
          <w:b w:val="false"/>
          <w:color w:val="000000"/>
          <w:sz w:val="20"/>
          <w:u w:val="single"/>
        </w:rPr>
        <w:t>Participant Register</w:t>
      </w:r>
      <w:r>
        <w:rPr>
          <w:rFonts w:ascii="Arial" w:hAnsi="Arial"/>
          <w:b w:val="false"/>
          <w:color w:val="000000"/>
          <w:sz w:val="20"/>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Borrower agrees that each participant shall be entitled to the benefits of the provisions in Section 2.11 (subject to the requirements and limitations therein, including the requirements under Section 2.11(g) (it being understood that the documentation required under Section 2.11(g) shall be delivered to the participating Lender)) to the same extent as if it were a Lender and had acquired its interest by assignment pursuant to Section 8.4; provided that such participant shall not be entitled to receive any greater payment under Section 2.11,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240"/>
        <w:jc w:val="both"/>
        <w:rPr>
          <w:rFonts w:ascii="Times New Roman" w:hAnsi="Times New Roman"/>
          <w:sz w:val="20"/>
        </w:rPr>
      </w:pPr>
      <w:r>
        <w:rPr>
          <w:rFonts w:ascii="Arial" w:hAnsi="Arial"/>
          <w:b w:val="false"/>
          <w:color w:val="000000"/>
          <w:sz w:val="20"/>
        </w:rPr>
        <w:t>8.19 Confidentiality. In handling any confidential information of Borrower, the Lenders and Administrative Agent shall exercise the same degree of care that it exercises for their own proprietary information, but disclosure of information may be made: (a) subject to the terms and conditions of this Agreement, to the Lenders’ and Administrative Agent’s Subsidiaries or Affiliates; (b) to prospective transferees (other than those identified in (a) above) or purchasers of any interest in the Loans (provided, however, the Lenders and Administrative Agent shall, except upon the occurrence and during the continuance of an Event of Default, obtain such prospective transferee’s or purchaser’s agreement to the terms of this provision or to similar confidentiality terms); (c) as required by law, regulation, subpoena, or</w:t>
      </w:r>
      <w:r>
        <w:rPr>
          <w:rFonts w:ascii="Times New Roman" w:hAnsi="Times New Roman"/>
          <w:color w:val="000000"/>
          <w:sz w:val="20"/>
        </w:rPr>
        <w:t xml:space="preserve"> </w:t>
      </w:r>
    </w:p>
    <w:p>
      <w:pPr>
        <w:pStyle w:val="TextBody"/>
        <w:bidi w:val="0"/>
        <w:jc w:val="center"/>
        <w:rPr>
          <w:rFonts w:ascii="Arial" w:hAnsi="Arial"/>
          <w:b w:val="false"/>
          <w:color w:val="000000"/>
          <w:sz w:val="20"/>
        </w:rPr>
      </w:pPr>
      <w:r>
        <w:rPr>
          <w:rFonts w:ascii="Arial" w:hAnsi="Arial"/>
          <w:b w:val="false"/>
          <w:color w:val="000000"/>
          <w:sz w:val="20"/>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other order; (d) to Lenders’ or Administrative Agent’s regulators or as otherwise required in connection with an examination or audit; (e) as Administrative Agent reasonably considers appropriate in exercising remedies under the Loan Documents; and (f) to third party service providers of the Lenders and/or Administrative Agent so long as such service providers have executed a confidentiality agreement with the Lenders and Administrative Agent with terms no less restrictive than those contained herein. Confidential information does not include information that either: (i) is in the public domain or in the Lenders’ and/or Administrative Agent’s possession when disclosed to the Lenders and/or Administrative Agent, or becomes part of the public domain after disclosure to the Lenders and/or Administrative Agent; or (ii) is disclosed to the Lenders and/or Administrative Agent by a third party, if the Lenders and/or Administrative Agent does not know that the third party is prohibited from disclosing the information. Administrative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8.19 supersede all prior agreements, understanding, representations, warranties, and negotiations between the parties about the subject matter of this Section 8.19.</w:t>
      </w:r>
    </w:p>
    <w:p>
      <w:pPr>
        <w:pStyle w:val="TextBody"/>
        <w:bidi w:val="0"/>
        <w:spacing w:before="0" w:after="240"/>
        <w:jc w:val="center"/>
        <w:rPr>
          <w:rFonts w:ascii="Arial" w:hAnsi="Arial"/>
          <w:b/>
          <w:smallCaps/>
          <w:color w:val="000000"/>
          <w:sz w:val="20"/>
        </w:rPr>
      </w:pPr>
      <w:r>
        <w:rPr>
          <w:rFonts w:ascii="Arial" w:hAnsi="Arial"/>
          <w:b/>
          <w:smallCaps/>
          <w:color w:val="000000"/>
          <w:sz w:val="20"/>
        </w:rPr>
        <w:t>[SIGNATURES ON FOLLOWING PAGE]</w:t>
      </w:r>
    </w:p>
    <w:p>
      <w:pPr>
        <w:pStyle w:val="TextBody"/>
        <w:bidi w:val="0"/>
        <w:jc w:val="center"/>
        <w:rPr>
          <w:rFonts w:ascii="Arial" w:hAnsi="Arial"/>
          <w:b w:val="false"/>
          <w:color w:val="000000"/>
          <w:sz w:val="20"/>
        </w:rPr>
      </w:pPr>
      <w:r>
        <w:rPr>
          <w:rFonts w:ascii="Arial" w:hAnsi="Arial"/>
          <w:b w:val="false"/>
          <w:color w:val="000000"/>
          <w:sz w:val="20"/>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left"/>
        <w:rPr>
          <w:rFonts w:ascii="Times New Roman" w:hAnsi="Times New Roman"/>
          <w:b/>
          <w:color w:val="000000"/>
          <w:sz w:val="20"/>
        </w:rPr>
      </w:pPr>
      <w:r>
        <w:rPr>
          <w:rFonts w:ascii="Times New Roman" w:hAnsi="Times New Roman"/>
          <w:b/>
          <w:color w:val="000000"/>
          <w:sz w:val="20"/>
        </w:rPr>
        <w:t>CERTAIN INFORMATION HAS BEEN EXCLUDED FROM THIS AGREEMENT (INDICATED BY “[***]”) BECAUSE TAYSHA GENE THERAPIES, INC. HAS DETERMINED SUCH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b/>
          <w:color w:val="000000"/>
          <w:sz w:val="20"/>
        </w:rPr>
        <w:t>IN WITNESS WHEREOF</w:t>
      </w:r>
      <w:r>
        <w:rPr>
          <w:rFonts w:ascii="Arial" w:hAnsi="Arial"/>
          <w:b w:val="false"/>
          <w:color w:val="000000"/>
          <w:sz w:val="20"/>
        </w:rPr>
        <w:t>, the parties hereto have caused this Loan and Security Agreement to be duly executed as of the day and year first above written.</w:t>
      </w:r>
    </w:p>
    <w:tbl>
      <w:tblPr>
        <w:tblW w:w="4853" w:type="dxa"/>
        <w:jc w:val="left"/>
        <w:tblInd w:w="0" w:type="dxa"/>
        <w:tblLayout w:type="fixed"/>
        <w:tblCellMar>
          <w:top w:w="28" w:type="dxa"/>
          <w:left w:w="28" w:type="dxa"/>
          <w:bottom w:w="28" w:type="dxa"/>
          <w:right w:w="28" w:type="dxa"/>
        </w:tblCellMar>
      </w:tblPr>
      <w:tblGrid>
        <w:gridCol w:w="4516"/>
        <w:gridCol w:w="14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LENDER: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TRINITY CAPITAL INC.</w:t>
            </w:r>
            <w:r>
              <w:rPr>
                <w:rFonts w:ascii="Arial" w:hAnsi="Arial"/>
                <w:b w:val="false"/>
                <w:color w:val="000000"/>
                <w:sz w:val="20"/>
              </w:rPr>
              <w:t>,</w:t>
            </w:r>
          </w:p>
          <w:p>
            <w:pPr>
              <w:pStyle w:val="TableContents"/>
              <w:bidi w:val="0"/>
              <w:jc w:val="left"/>
              <w:rPr>
                <w:rFonts w:ascii="Arial" w:hAnsi="Arial"/>
                <w:b w:val="false"/>
                <w:color w:val="000000"/>
                <w:sz w:val="20"/>
              </w:rPr>
            </w:pPr>
            <w:r>
              <w:rPr>
                <w:rFonts w:ascii="Arial" w:hAnsi="Arial"/>
                <w:b w:val="false"/>
                <w:color w:val="000000"/>
                <w:sz w:val="20"/>
              </w:rPr>
              <w:t>a Maryland corporation</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Arial" w:hAnsi="Arial"/>
                <w:b w:val="false"/>
                <w:color w:val="000000"/>
                <w:sz w:val="20"/>
              </w:rPr>
              <w:t xml:space="preserve">By: </w:t>
            </w:r>
            <w:r>
              <w:rPr>
                <w:rFonts w:ascii="Arial" w:hAnsi="Arial"/>
                <w:b w:val="false"/>
                <w:color w:val="000000"/>
                <w:sz w:val="20"/>
                <w:u w:val="single"/>
              </w:rPr>
              <w:t>/s/ Sarah Stanton</w:t>
            </w:r>
          </w:p>
          <w:p>
            <w:pPr>
              <w:pStyle w:val="TableContents"/>
              <w:bidi w:val="0"/>
              <w:jc w:val="left"/>
              <w:rPr>
                <w:rFonts w:ascii="Arial" w:hAnsi="Arial"/>
                <w:b w:val="false"/>
                <w:color w:val="000000"/>
                <w:sz w:val="20"/>
              </w:rPr>
            </w:pPr>
            <w:r>
              <w:rPr>
                <w:rFonts w:ascii="Arial" w:hAnsi="Arial"/>
                <w:b w:val="false"/>
                <w:color w:val="000000"/>
                <w:sz w:val="20"/>
              </w:rPr>
              <w:t>Name: Sarah Stanton</w:t>
            </w:r>
          </w:p>
          <w:p>
            <w:pPr>
              <w:pStyle w:val="TableContents"/>
              <w:bidi w:val="0"/>
              <w:jc w:val="left"/>
              <w:rPr>
                <w:rFonts w:ascii="Arial" w:hAnsi="Arial"/>
                <w:b w:val="false"/>
                <w:color w:val="000000"/>
                <w:sz w:val="20"/>
              </w:rPr>
            </w:pPr>
            <w:r>
              <w:rPr>
                <w:rFonts w:ascii="Arial" w:hAnsi="Arial"/>
                <w:b w:val="false"/>
                <w:color w:val="000000"/>
                <w:sz w:val="20"/>
              </w:rPr>
              <w:t>Its: General Counsel and Chief Compliance Officer</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Arial" w:hAnsi="Arial"/>
                <w:b w:val="false"/>
                <w:color w:val="000000"/>
                <w:sz w:val="20"/>
              </w:rPr>
              <w:t>Address for Notices:</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Arial" w:hAnsi="Arial"/>
                <w:b w:val="false"/>
                <w:color w:val="000000"/>
                <w:sz w:val="20"/>
              </w:rPr>
              <w:t>Trinity Capital Inc.</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Arial" w:hAnsi="Arial"/>
                <w:b w:val="false"/>
                <w:color w:val="000000"/>
                <w:sz w:val="20"/>
              </w:rPr>
              <w:t>1 N. 1</w:t>
            </w:r>
            <w:r>
              <w:rPr>
                <w:rFonts w:ascii="Arial" w:hAnsi="Arial"/>
                <w:b w:val="false"/>
                <w:color w:val="000000"/>
                <w:sz w:val="13"/>
              </w:rPr>
              <w:t>st</w:t>
            </w:r>
            <w:r>
              <w:rPr>
                <w:rFonts w:ascii="Times New Roman" w:hAnsi="Times New Roman"/>
                <w:color w:val="000000"/>
                <w:sz w:val="20"/>
              </w:rPr>
              <w:t> </w:t>
            </w:r>
            <w:r>
              <w:rPr>
                <w:rFonts w:ascii="Arial" w:hAnsi="Arial"/>
                <w:b w:val="false"/>
                <w:color w:val="000000"/>
                <w:sz w:val="20"/>
              </w:rPr>
              <w:t>Street, Floor 3</w:t>
            </w:r>
          </w:p>
          <w:p>
            <w:pPr>
              <w:pStyle w:val="TableContents"/>
              <w:bidi w:val="0"/>
              <w:jc w:val="left"/>
              <w:rPr>
                <w:rFonts w:ascii="Arial" w:hAnsi="Arial"/>
                <w:b w:val="false"/>
                <w:color w:val="000000"/>
                <w:sz w:val="20"/>
              </w:rPr>
            </w:pPr>
            <w:r>
              <w:rPr>
                <w:rFonts w:ascii="Arial" w:hAnsi="Arial"/>
                <w:b w:val="false"/>
                <w:color w:val="000000"/>
                <w:sz w:val="20"/>
              </w:rPr>
              <w:t>Phoenix, AZ 85004</w:t>
            </w:r>
          </w:p>
          <w:p>
            <w:pPr>
              <w:pStyle w:val="TableContents"/>
              <w:bidi w:val="0"/>
              <w:jc w:val="left"/>
              <w:rPr>
                <w:rFonts w:ascii="Arial" w:hAnsi="Arial"/>
                <w:b w:val="false"/>
                <w:color w:val="000000"/>
                <w:sz w:val="20"/>
              </w:rPr>
            </w:pPr>
            <w:r>
              <w:rPr>
                <w:rFonts w:ascii="Arial" w:hAnsi="Arial"/>
                <w:b w:val="false"/>
                <w:color w:val="000000"/>
                <w:sz w:val="20"/>
              </w:rPr>
              <w:t>Attention: Legal Department</w:t>
            </w:r>
          </w:p>
          <w:p>
            <w:pPr>
              <w:pStyle w:val="TableContents"/>
              <w:bidi w:val="0"/>
              <w:jc w:val="left"/>
              <w:rPr>
                <w:rFonts w:ascii="Arial" w:hAnsi="Arial"/>
                <w:b w:val="false"/>
                <w:color w:val="000000"/>
                <w:sz w:val="20"/>
              </w:rPr>
            </w:pPr>
            <w:r>
              <w:rPr>
                <w:rFonts w:ascii="Arial" w:hAnsi="Arial"/>
                <w:b w:val="false"/>
                <w:color w:val="000000"/>
                <w:sz w:val="20"/>
              </w:rPr>
              <w:t>Telephone: (480) 374-5350</w:t>
            </w:r>
          </w:p>
          <w:p>
            <w:pPr>
              <w:pStyle w:val="TableContents"/>
              <w:bidi w:val="0"/>
              <w:jc w:val="left"/>
              <w:rPr>
                <w:rFonts w:ascii="Times New Roman" w:hAnsi="Times New Roman"/>
                <w:sz w:val="20"/>
              </w:rPr>
            </w:pPr>
            <w:r>
              <w:rPr>
                <w:rFonts w:ascii="Arial" w:hAnsi="Arial"/>
                <w:b w:val="false"/>
                <w:color w:val="000000"/>
                <w:sz w:val="20"/>
              </w:rPr>
              <w:t>Email: legal@trincapinvestment.com</w:t>
            </w:r>
            <w:r>
              <w:rPr>
                <w:rFonts w:ascii="Times New Roman" w:hAnsi="Times New Roman"/>
                <w:color w:val="000000"/>
                <w:sz w:val="20"/>
              </w:rPr>
              <w:t xml:space="preserve"> </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b/>
                <w:color w:val="000000"/>
                <w:sz w:val="20"/>
              </w:rPr>
              <w:t>BORROWER</w:t>
            </w:r>
            <w:r>
              <w:rPr>
                <w:rFonts w:ascii="Arial" w:hAnsi="Arial"/>
                <w:b w:val="false"/>
                <w:color w:val="000000"/>
                <w:sz w:val="20"/>
              </w:rPr>
              <w:t>:</w:t>
            </w:r>
          </w:p>
          <w:p>
            <w:pPr>
              <w:pStyle w:val="TableContents"/>
              <w:bidi w:val="0"/>
              <w:jc w:val="left"/>
              <w:rPr/>
            </w:pPr>
            <w:r>
              <w:rPr/>
              <w:t> </w:t>
            </w:r>
          </w:p>
          <w:p>
            <w:pPr>
              <w:pStyle w:val="TableContents"/>
              <w:bidi w:val="0"/>
              <w:jc w:val="left"/>
              <w:rPr>
                <w:rFonts w:ascii="Arial" w:hAnsi="Arial"/>
                <w:b w:val="false"/>
                <w:color w:val="000000"/>
                <w:sz w:val="20"/>
              </w:rPr>
            </w:pPr>
            <w:r>
              <w:rPr>
                <w:rFonts w:ascii="Arial" w:hAnsi="Arial"/>
                <w:b w:val="false"/>
                <w:color w:val="000000"/>
                <w:sz w:val="20"/>
              </w:rPr>
              <w:t xml:space="preserve">TAYSHA GENE THERAPIES, INC., </w:t>
              <w:br/>
              <w:t>a Delaware corporation</w:t>
            </w:r>
          </w:p>
          <w:p>
            <w:pPr>
              <w:pStyle w:val="TableContents"/>
              <w:bidi w:val="0"/>
              <w:jc w:val="left"/>
              <w:rPr/>
            </w:pPr>
            <w:r>
              <w:rPr/>
              <w:t> </w:t>
            </w:r>
          </w:p>
          <w:p>
            <w:pPr>
              <w:pStyle w:val="TableContents"/>
              <w:bidi w:val="0"/>
              <w:jc w:val="left"/>
              <w:rPr>
                <w:rFonts w:ascii="Times New Roman" w:hAnsi="Times New Roman"/>
                <w:sz w:val="20"/>
              </w:rPr>
            </w:pPr>
            <w:r>
              <w:rPr>
                <w:rFonts w:ascii="Arial" w:hAnsi="Arial"/>
                <w:b w:val="false"/>
                <w:color w:val="000000"/>
                <w:sz w:val="20"/>
              </w:rPr>
              <w:br/>
              <w:br/>
              <w:t xml:space="preserve">By: </w:t>
            </w:r>
            <w:r>
              <w:rPr>
                <w:rFonts w:ascii="Arial" w:hAnsi="Arial"/>
                <w:b w:val="false"/>
                <w:color w:val="000000"/>
                <w:sz w:val="20"/>
                <w:u w:val="single"/>
              </w:rPr>
              <w:t>/s/ Kamran Alam</w:t>
            </w:r>
          </w:p>
          <w:p>
            <w:pPr>
              <w:pStyle w:val="TableContents"/>
              <w:bidi w:val="0"/>
              <w:jc w:val="left"/>
              <w:rPr>
                <w:rFonts w:ascii="Times New Roman" w:hAnsi="Times New Roman"/>
                <w:sz w:val="20"/>
              </w:rPr>
            </w:pPr>
            <w:r>
              <w:rPr>
                <w:rFonts w:ascii="Arial" w:hAnsi="Arial"/>
                <w:b w:val="false"/>
                <w:color w:val="000000"/>
                <w:sz w:val="20"/>
              </w:rPr>
              <w:t xml:space="preserve">Name: </w:t>
            </w:r>
            <w:r>
              <w:rPr>
                <w:rFonts w:ascii="Arial" w:hAnsi="Arial"/>
                <w:b w:val="false"/>
                <w:color w:val="000000"/>
                <w:sz w:val="20"/>
                <w:u w:val="single"/>
              </w:rPr>
              <w:t>Kamran Alam</w:t>
            </w:r>
          </w:p>
          <w:p>
            <w:pPr>
              <w:pStyle w:val="TableContents"/>
              <w:bidi w:val="0"/>
              <w:jc w:val="left"/>
              <w:rPr>
                <w:rFonts w:ascii="Times New Roman" w:hAnsi="Times New Roman"/>
                <w:sz w:val="20"/>
              </w:rPr>
            </w:pPr>
            <w:r>
              <w:rPr>
                <w:rFonts w:ascii="Arial" w:hAnsi="Arial"/>
                <w:b w:val="false"/>
                <w:color w:val="000000"/>
                <w:sz w:val="20"/>
              </w:rPr>
              <w:t>Its:</w:t>
            </w:r>
            <w:r>
              <w:rPr>
                <w:rFonts w:ascii="Times New Roman" w:hAnsi="Times New Roman"/>
                <w:color w:val="000000"/>
                <w:sz w:val="20"/>
                <w:u w:val="single"/>
              </w:rPr>
              <w:t> </w:t>
            </w:r>
            <w:r>
              <w:rPr>
                <w:rFonts w:ascii="Arial" w:hAnsi="Arial"/>
                <w:b w:val="false"/>
                <w:color w:val="000000"/>
                <w:sz w:val="20"/>
                <w:u w:val="single"/>
              </w:rPr>
              <w:t>Chief Financial Officer</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Arial" w:hAnsi="Arial"/>
                <w:b w:val="false"/>
                <w:color w:val="000000"/>
                <w:sz w:val="20"/>
              </w:rPr>
              <w:t>Address for Notices:</w:t>
            </w:r>
            <w:r>
              <w:rPr>
                <w:rFonts w:ascii="Times New Roman" w:hAnsi="Times New Roman"/>
                <w:color w:val="000000"/>
                <w:sz w:val="20"/>
              </w:rPr>
              <w:t xml:space="preserve"> </w:t>
            </w:r>
          </w:p>
          <w:p>
            <w:pPr>
              <w:pStyle w:val="TableContents"/>
              <w:bidi w:val="0"/>
              <w:jc w:val="left"/>
              <w:rPr>
                <w:rFonts w:ascii="Arial" w:hAnsi="Arial"/>
                <w:b w:val="false"/>
                <w:color w:val="000000"/>
                <w:sz w:val="20"/>
              </w:rPr>
            </w:pPr>
            <w:r>
              <w:rPr>
                <w:rFonts w:ascii="Arial" w:hAnsi="Arial"/>
                <w:b w:val="false"/>
                <w:color w:val="000000"/>
                <w:sz w:val="20"/>
              </w:rPr>
              <w:t>3000 Pegasus Park Dr., Suite 1430</w:t>
            </w:r>
          </w:p>
          <w:p>
            <w:pPr>
              <w:pStyle w:val="TableContents"/>
              <w:bidi w:val="0"/>
              <w:jc w:val="left"/>
              <w:rPr>
                <w:rFonts w:ascii="Arial" w:hAnsi="Arial"/>
                <w:b w:val="false"/>
                <w:color w:val="000000"/>
                <w:sz w:val="20"/>
              </w:rPr>
            </w:pPr>
            <w:r>
              <w:rPr>
                <w:rFonts w:ascii="Arial" w:hAnsi="Arial"/>
                <w:b w:val="false"/>
                <w:color w:val="000000"/>
                <w:sz w:val="20"/>
              </w:rPr>
              <w:t>Dallas, Texas 75247</w:t>
            </w:r>
          </w:p>
          <w:p>
            <w:pPr>
              <w:pStyle w:val="TableContents"/>
              <w:bidi w:val="0"/>
              <w:jc w:val="left"/>
              <w:rPr>
                <w:rFonts w:ascii="Arial" w:hAnsi="Arial"/>
                <w:b w:val="false"/>
                <w:color w:val="000000"/>
                <w:sz w:val="20"/>
              </w:rPr>
            </w:pPr>
            <w:r>
              <w:rPr>
                <w:rFonts w:ascii="Arial" w:hAnsi="Arial"/>
                <w:b w:val="false"/>
                <w:color w:val="000000"/>
                <w:sz w:val="20"/>
              </w:rPr>
              <w:t>Attention: Kamran Alam</w:t>
            </w:r>
          </w:p>
          <w:p>
            <w:pPr>
              <w:pStyle w:val="TableContents"/>
              <w:bidi w:val="0"/>
              <w:jc w:val="left"/>
              <w:rPr>
                <w:rFonts w:ascii="Arial" w:hAnsi="Arial"/>
                <w:b w:val="false"/>
                <w:color w:val="000000"/>
                <w:sz w:val="20"/>
              </w:rPr>
            </w:pPr>
            <w:r>
              <w:rPr>
                <w:rFonts w:ascii="Arial" w:hAnsi="Arial"/>
                <w:b w:val="false"/>
                <w:color w:val="000000"/>
                <w:sz w:val="20"/>
              </w:rPr>
              <w:t>Telephone: [***]</w:t>
            </w:r>
          </w:p>
          <w:p>
            <w:pPr>
              <w:pStyle w:val="TableContents"/>
              <w:bidi w:val="0"/>
              <w:spacing w:before="0" w:after="283"/>
              <w:jc w:val="left"/>
              <w:rPr>
                <w:rFonts w:ascii="Arial" w:hAnsi="Arial"/>
                <w:b w:val="false"/>
                <w:color w:val="000000"/>
                <w:sz w:val="20"/>
              </w:rPr>
            </w:pPr>
            <w:r>
              <w:rPr>
                <w:rFonts w:ascii="Arial" w:hAnsi="Arial"/>
                <w:b w:val="false"/>
                <w:color w:val="000000"/>
                <w:sz w:val="20"/>
              </w:rPr>
              <w:t>Email Address: kalam@tayshagtx.com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6"/>
        </w:rPr>
        <w:t>[</w:t>
      </w:r>
      <w:r>
        <w:rPr>
          <w:rFonts w:ascii="Arial" w:hAnsi="Arial"/>
          <w:b/>
          <w:i/>
          <w:color w:val="000000"/>
          <w:sz w:val="16"/>
        </w:rPr>
        <w:t>Signature Page to Loan And Security Agreement</w:t>
      </w:r>
      <w:r>
        <w:rPr>
          <w:rFonts w:ascii="Arial" w:hAnsi="Arial"/>
          <w:b/>
          <w:color w:val="000000"/>
          <w:sz w:val="16"/>
        </w:rPr>
        <w:t>]</w:t>
      </w:r>
    </w:p>
    <w:p>
      <w:pPr>
        <w:pStyle w:val="TextBody"/>
        <w:bidi w:val="0"/>
        <w:jc w:val="left"/>
        <w:rPr>
          <w:rFonts w:ascii="Arial" w:hAnsi="Arial"/>
          <w:b w:val="false"/>
          <w:color w:val="000000"/>
          <w:sz w:val="16"/>
        </w:rPr>
      </w:pPr>
      <w:r>
        <w:rPr>
          <w:rFonts w:ascii="Arial" w:hAnsi="Arial"/>
          <w:b w:val="false"/>
          <w:color w:val="000000"/>
          <w:sz w:val="16"/>
        </w:rPr>
        <w:t>DMS 40285223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left"/>
        <w:rPr>
          <w:rFonts w:ascii="Times New Roman" w:hAnsi="Times New Roman"/>
          <w:b/>
          <w:color w:val="000000"/>
          <w:sz w:val="20"/>
        </w:rPr>
      </w:pPr>
      <w:r>
        <w:rPr>
          <w:rFonts w:ascii="Times New Roman" w:hAnsi="Times New Roman"/>
          <w:b/>
          <w:color w:val="000000"/>
          <w:sz w:val="20"/>
        </w:rPr>
        <w:t>CERTAIN INFORMATION HAS BEEN EXCLUDED FROM THIS AGREEMENT (INDICATED BY “[***]”) BECAUSE TAYSHA GENE THERAPIES, INC. HAS DETERMINED SUCH INFORMATION (I) IS NOT MATERIAL AND (II) WOULD BE COMPETITIVELY HARMFUL IF PUBLICLY DISCLOSED.</w:t>
      </w:r>
    </w:p>
    <w:p>
      <w:pPr>
        <w:pStyle w:val="TextBody"/>
        <w:bidi w:val="0"/>
        <w:jc w:val="left"/>
        <w:rPr/>
      </w:pPr>
      <w:r>
        <w:rPr/>
        <w:t> </w:t>
      </w:r>
    </w:p>
    <w:tbl>
      <w:tblPr>
        <w:tblW w:w="4853" w:type="dxa"/>
        <w:jc w:val="left"/>
        <w:tblInd w:w="0" w:type="dxa"/>
        <w:tblLayout w:type="fixed"/>
        <w:tblCellMar>
          <w:top w:w="28" w:type="dxa"/>
          <w:left w:w="28" w:type="dxa"/>
          <w:bottom w:w="28" w:type="dxa"/>
          <w:right w:w="28" w:type="dxa"/>
        </w:tblCellMar>
      </w:tblPr>
      <w:tblGrid>
        <w:gridCol w:w="4516"/>
        <w:gridCol w:w="14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ADMINISTRATIVE AGENT:</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TRINITY CAPITAL INC.</w:t>
            </w:r>
            <w:r>
              <w:rPr>
                <w:rFonts w:ascii="Arial" w:hAnsi="Arial"/>
                <w:b w:val="false"/>
                <w:color w:val="000000"/>
                <w:sz w:val="20"/>
              </w:rPr>
              <w:t>,</w:t>
            </w:r>
          </w:p>
          <w:p>
            <w:pPr>
              <w:pStyle w:val="TableContents"/>
              <w:bidi w:val="0"/>
              <w:jc w:val="left"/>
              <w:rPr>
                <w:rFonts w:ascii="Arial" w:hAnsi="Arial"/>
                <w:b w:val="false"/>
                <w:color w:val="000000"/>
                <w:sz w:val="20"/>
              </w:rPr>
            </w:pPr>
            <w:r>
              <w:rPr>
                <w:rFonts w:ascii="Arial" w:hAnsi="Arial"/>
                <w:b w:val="false"/>
                <w:color w:val="000000"/>
                <w:sz w:val="20"/>
              </w:rPr>
              <w:t>a Maryland corporation</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Arial" w:hAnsi="Arial"/>
                <w:b w:val="false"/>
                <w:color w:val="000000"/>
                <w:sz w:val="20"/>
              </w:rPr>
              <w:t xml:space="preserve">By: </w:t>
            </w:r>
            <w:r>
              <w:rPr>
                <w:rFonts w:ascii="Arial" w:hAnsi="Arial"/>
                <w:b w:val="false"/>
                <w:color w:val="000000"/>
                <w:sz w:val="20"/>
                <w:u w:val="single"/>
              </w:rPr>
              <w:t>/s/ Sarah Stanton</w:t>
            </w:r>
            <w:r>
              <w:rPr>
                <w:rFonts w:ascii="Times New Roman" w:hAnsi="Times New Roman"/>
                <w:color w:val="000000"/>
                <w:sz w:val="20"/>
              </w:rPr>
              <w:t xml:space="preserve"> </w:t>
            </w:r>
          </w:p>
          <w:p>
            <w:pPr>
              <w:pStyle w:val="TableContents"/>
              <w:bidi w:val="0"/>
              <w:jc w:val="left"/>
              <w:rPr>
                <w:rFonts w:ascii="Arial" w:hAnsi="Arial"/>
                <w:b w:val="false"/>
                <w:color w:val="000000"/>
                <w:sz w:val="20"/>
              </w:rPr>
            </w:pPr>
            <w:r>
              <w:rPr>
                <w:rFonts w:ascii="Arial" w:hAnsi="Arial"/>
                <w:b w:val="false"/>
                <w:color w:val="000000"/>
                <w:sz w:val="20"/>
              </w:rPr>
              <w:t>Name: Sarah Stanton</w:t>
            </w:r>
          </w:p>
          <w:p>
            <w:pPr>
              <w:pStyle w:val="TableContents"/>
              <w:bidi w:val="0"/>
              <w:jc w:val="left"/>
              <w:rPr>
                <w:rFonts w:ascii="Arial" w:hAnsi="Arial"/>
                <w:b w:val="false"/>
                <w:color w:val="000000"/>
                <w:sz w:val="20"/>
              </w:rPr>
            </w:pPr>
            <w:r>
              <w:rPr>
                <w:rFonts w:ascii="Arial" w:hAnsi="Arial"/>
                <w:b w:val="false"/>
                <w:color w:val="000000"/>
                <w:sz w:val="20"/>
              </w:rPr>
              <w:t>Its: General Counsel and Chief Compliance Officer</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0"/>
              </w:rPr>
            </w:pPr>
            <w:r>
              <w:rPr>
                <w:rFonts w:ascii="Arial" w:hAnsi="Arial"/>
                <w:b w:val="false"/>
                <w:color w:val="000000"/>
                <w:sz w:val="20"/>
              </w:rPr>
              <w:t>Address for Notices:</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Arial" w:hAnsi="Arial"/>
                <w:b w:val="false"/>
                <w:color w:val="000000"/>
                <w:sz w:val="20"/>
              </w:rPr>
              <w:t>Trinity Capital Inc.</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Arial" w:hAnsi="Arial"/>
                <w:b w:val="false"/>
                <w:color w:val="000000"/>
                <w:sz w:val="20"/>
              </w:rPr>
              <w:t>1 N. 1</w:t>
            </w:r>
            <w:r>
              <w:rPr>
                <w:rFonts w:ascii="Arial" w:hAnsi="Arial"/>
                <w:b w:val="false"/>
                <w:color w:val="000000"/>
                <w:sz w:val="13"/>
              </w:rPr>
              <w:t>st</w:t>
            </w:r>
            <w:r>
              <w:rPr>
                <w:rFonts w:ascii="Times New Roman" w:hAnsi="Times New Roman"/>
                <w:color w:val="000000"/>
                <w:sz w:val="20"/>
              </w:rPr>
              <w:t> </w:t>
            </w:r>
            <w:r>
              <w:rPr>
                <w:rFonts w:ascii="Arial" w:hAnsi="Arial"/>
                <w:b w:val="false"/>
                <w:color w:val="000000"/>
                <w:sz w:val="20"/>
              </w:rPr>
              <w:t>Street, Floor 3</w:t>
            </w:r>
          </w:p>
          <w:p>
            <w:pPr>
              <w:pStyle w:val="TableContents"/>
              <w:bidi w:val="0"/>
              <w:jc w:val="left"/>
              <w:rPr>
                <w:rFonts w:ascii="Arial" w:hAnsi="Arial"/>
                <w:b w:val="false"/>
                <w:color w:val="000000"/>
                <w:sz w:val="20"/>
              </w:rPr>
            </w:pPr>
            <w:r>
              <w:rPr>
                <w:rFonts w:ascii="Arial" w:hAnsi="Arial"/>
                <w:b w:val="false"/>
                <w:color w:val="000000"/>
                <w:sz w:val="20"/>
              </w:rPr>
              <w:t>Phoenix, AZ 85004</w:t>
            </w:r>
          </w:p>
          <w:p>
            <w:pPr>
              <w:pStyle w:val="TableContents"/>
              <w:bidi w:val="0"/>
              <w:jc w:val="left"/>
              <w:rPr>
                <w:rFonts w:ascii="Arial" w:hAnsi="Arial"/>
                <w:b w:val="false"/>
                <w:color w:val="000000"/>
                <w:sz w:val="20"/>
              </w:rPr>
            </w:pPr>
            <w:r>
              <w:rPr>
                <w:rFonts w:ascii="Arial" w:hAnsi="Arial"/>
                <w:b w:val="false"/>
                <w:color w:val="000000"/>
                <w:sz w:val="20"/>
              </w:rPr>
              <w:t>Attention: Legal Department</w:t>
            </w:r>
          </w:p>
          <w:p>
            <w:pPr>
              <w:pStyle w:val="TableContents"/>
              <w:bidi w:val="0"/>
              <w:jc w:val="left"/>
              <w:rPr>
                <w:rFonts w:ascii="Arial" w:hAnsi="Arial"/>
                <w:b w:val="false"/>
                <w:color w:val="000000"/>
                <w:sz w:val="20"/>
              </w:rPr>
            </w:pPr>
            <w:r>
              <w:rPr>
                <w:rFonts w:ascii="Arial" w:hAnsi="Arial"/>
                <w:b w:val="false"/>
                <w:color w:val="000000"/>
                <w:sz w:val="20"/>
              </w:rPr>
              <w:t>Telephone: (480) 374-5350</w:t>
            </w:r>
          </w:p>
          <w:p>
            <w:pPr>
              <w:pStyle w:val="TableContents"/>
              <w:bidi w:val="0"/>
              <w:jc w:val="left"/>
              <w:rPr>
                <w:rFonts w:ascii="Times New Roman" w:hAnsi="Times New Roman"/>
                <w:sz w:val="20"/>
              </w:rPr>
            </w:pPr>
            <w:r>
              <w:rPr>
                <w:rFonts w:ascii="Arial" w:hAnsi="Arial"/>
                <w:b w:val="false"/>
                <w:color w:val="000000"/>
                <w:sz w:val="20"/>
              </w:rPr>
              <w:t>Email: legal@trincapinvestment.com</w:t>
            </w:r>
            <w:r>
              <w:rPr>
                <w:rFonts w:ascii="Times New Roman" w:hAnsi="Times New Roman"/>
                <w:color w:val="000000"/>
                <w:sz w:val="20"/>
              </w:rPr>
              <w:t xml:space="preserve"> </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6"/>
        </w:rPr>
        <w:t>[</w:t>
      </w:r>
      <w:r>
        <w:rPr>
          <w:rFonts w:ascii="Arial" w:hAnsi="Arial"/>
          <w:b/>
          <w:i/>
          <w:color w:val="000000"/>
          <w:sz w:val="16"/>
        </w:rPr>
        <w:t>Signature Page to Loan And Security Agreement</w:t>
      </w:r>
      <w:r>
        <w:rPr>
          <w:rFonts w:ascii="Arial" w:hAnsi="Arial"/>
          <w:b/>
          <w:color w:val="000000"/>
          <w:sz w:val="16"/>
        </w:rPr>
        <w:t>]</w:t>
      </w:r>
    </w:p>
    <w:p>
      <w:pPr>
        <w:pStyle w:val="TextBody"/>
        <w:bidi w:val="0"/>
        <w:jc w:val="left"/>
        <w:rPr>
          <w:rFonts w:ascii="Arial" w:hAnsi="Arial"/>
          <w:b w:val="false"/>
          <w:color w:val="000000"/>
          <w:sz w:val="16"/>
        </w:rPr>
      </w:pPr>
      <w:r>
        <w:rPr>
          <w:rFonts w:ascii="Arial" w:hAnsi="Arial"/>
          <w:b w:val="false"/>
          <w:color w:val="000000"/>
          <w:sz w:val="16"/>
        </w:rPr>
        <w:t>DMS 40285223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smallCaps/>
          <w:color w:val="000000"/>
          <w:sz w:val="20"/>
        </w:rPr>
      </w:pPr>
      <w:r>
        <w:rPr>
          <w:rFonts w:ascii="Arial" w:hAnsi="Arial"/>
          <w:b/>
          <w:smallCaps/>
          <w:color w:val="000000"/>
          <w:sz w:val="20"/>
        </w:rPr>
        <w:t>EXHIBIT A</w:t>
      </w:r>
    </w:p>
    <w:p>
      <w:pPr>
        <w:pStyle w:val="TextBody"/>
        <w:bidi w:val="0"/>
        <w:spacing w:before="0" w:after="240"/>
        <w:jc w:val="center"/>
        <w:rPr>
          <w:rFonts w:ascii="Arial" w:hAnsi="Arial"/>
          <w:b/>
          <w:smallCaps/>
          <w:color w:val="000000"/>
          <w:sz w:val="20"/>
        </w:rPr>
      </w:pPr>
      <w:r>
        <w:rPr>
          <w:rFonts w:ascii="Arial" w:hAnsi="Arial"/>
          <w:b/>
          <w:smallCaps/>
          <w:color w:val="000000"/>
          <w:sz w:val="20"/>
        </w:rPr>
        <w:t>FORM OF PROMISSORY NOTE</w:t>
      </w:r>
    </w:p>
    <w:p>
      <w:pPr>
        <w:pStyle w:val="TextBody"/>
        <w:bidi w:val="0"/>
        <w:spacing w:before="0" w:after="120"/>
        <w:jc w:val="left"/>
        <w:rPr/>
      </w:pPr>
      <w:r>
        <w:rPr/>
        <w:t> </w:t>
      </w:r>
    </w:p>
    <w:p>
      <w:pPr>
        <w:pStyle w:val="TextBody"/>
        <w:bidi w:val="0"/>
        <w:spacing w:before="0" w:after="120"/>
        <w:jc w:val="left"/>
        <w:rPr>
          <w:rFonts w:ascii="Arial" w:hAnsi="Arial"/>
          <w:b w:val="false"/>
          <w:color w:val="000000"/>
          <w:sz w:val="20"/>
        </w:rPr>
      </w:pPr>
      <w:r>
        <w:rPr>
          <w:rFonts w:ascii="Arial" w:hAnsi="Arial"/>
          <w:b w:val="false"/>
          <w:color w:val="000000"/>
          <w:sz w:val="20"/>
        </w:rPr>
        <w:t>$40,000,000.00 November 13, 2023</w:t>
      </w:r>
    </w:p>
    <w:p>
      <w:pPr>
        <w:pStyle w:val="TextBody"/>
        <w:bidi w:val="0"/>
        <w:spacing w:before="0" w:after="240"/>
        <w:jc w:val="both"/>
        <w:rPr>
          <w:rFonts w:ascii="Times New Roman" w:hAnsi="Times New Roman"/>
          <w:sz w:val="20"/>
        </w:rPr>
      </w:pPr>
      <w:r>
        <w:rPr>
          <w:rFonts w:ascii="Arial" w:hAnsi="Arial"/>
          <w:b w:val="false"/>
          <w:color w:val="000000"/>
          <w:sz w:val="20"/>
        </w:rPr>
        <w:t>FOR VALUE RECEIVED, TAYSHA GENE THERAPIES, INC.,a Delaware corporation</w:t>
      </w:r>
      <w:r>
        <w:rPr>
          <w:rFonts w:ascii="Times New Roman" w:hAnsi="Times New Roman"/>
          <w:color w:val="000000"/>
          <w:sz w:val="20"/>
        </w:rPr>
        <w:t xml:space="preserve"> </w:t>
      </w:r>
      <w:r>
        <w:rPr>
          <w:rFonts w:ascii="Arial" w:hAnsi="Arial"/>
          <w:b w:val="false"/>
          <w:color w:val="000000"/>
          <w:sz w:val="20"/>
        </w:rPr>
        <w:t>(the “</w:t>
      </w:r>
      <w:r>
        <w:rPr>
          <w:rFonts w:ascii="Arial" w:hAnsi="Arial"/>
          <w:b w:val="false"/>
          <w:color w:val="000000"/>
          <w:sz w:val="20"/>
          <w:u w:val="single"/>
        </w:rPr>
        <w:t>Maker</w:t>
      </w:r>
      <w:r>
        <w:rPr>
          <w:rFonts w:ascii="Times New Roman" w:hAnsi="Times New Roman"/>
          <w:color w:val="000000"/>
          <w:sz w:val="20"/>
        </w:rPr>
        <w:t>”</w:t>
      </w:r>
      <w:r>
        <w:rPr>
          <w:rFonts w:ascii="Arial" w:hAnsi="Arial"/>
          <w:b w:val="false"/>
          <w:color w:val="000000"/>
          <w:sz w:val="20"/>
        </w:rPr>
        <w:t>), having an office at 3000 Pegasus Park Dr., Suite 1430, Dallas, Texas 75247, hereby promises to pay to the order of TRINITY CAPITAL INC</w:t>
      </w:r>
      <w:r>
        <w:rPr>
          <w:rFonts w:ascii="Arial" w:hAnsi="Arial"/>
          <w:b/>
          <w:color w:val="000000"/>
          <w:sz w:val="20"/>
        </w:rPr>
        <w:t>.</w:t>
      </w:r>
      <w:r>
        <w:rPr>
          <w:rFonts w:ascii="Arial" w:hAnsi="Arial"/>
          <w:b w:val="false"/>
          <w:color w:val="000000"/>
          <w:sz w:val="20"/>
        </w:rPr>
        <w:t>, a Maryland corporation the “</w:t>
      </w:r>
      <w:r>
        <w:rPr>
          <w:rFonts w:ascii="Arial" w:hAnsi="Arial"/>
          <w:b w:val="false"/>
          <w:color w:val="000000"/>
          <w:sz w:val="20"/>
          <w:u w:val="single"/>
        </w:rPr>
        <w:t>Payee</w:t>
      </w:r>
      <w:r>
        <w:rPr>
          <w:rFonts w:ascii="Times New Roman" w:hAnsi="Times New Roman"/>
          <w:color w:val="000000"/>
          <w:sz w:val="20"/>
        </w:rPr>
        <w:t>”</w:t>
      </w:r>
      <w:r>
        <w:rPr>
          <w:rFonts w:ascii="Arial" w:hAnsi="Arial"/>
          <w:b w:val="false"/>
          <w:color w:val="000000"/>
          <w:sz w:val="20"/>
        </w:rPr>
        <w:t>), at 1 N 1</w:t>
      </w:r>
      <w:r>
        <w:rPr>
          <w:rFonts w:ascii="Arial" w:hAnsi="Arial"/>
          <w:b w:val="false"/>
          <w:color w:val="000000"/>
          <w:sz w:val="13"/>
        </w:rPr>
        <w:t>st</w:t>
      </w:r>
      <w:r>
        <w:rPr>
          <w:rFonts w:ascii="Times New Roman" w:hAnsi="Times New Roman"/>
          <w:color w:val="000000"/>
          <w:sz w:val="20"/>
        </w:rPr>
        <w:t xml:space="preserve"> </w:t>
      </w:r>
      <w:r>
        <w:rPr>
          <w:rFonts w:ascii="Arial" w:hAnsi="Arial"/>
          <w:b w:val="false"/>
          <w:color w:val="000000"/>
          <w:sz w:val="20"/>
        </w:rPr>
        <w:t>Street, Floor 3, Phoenix, AZ 85004, or at such other place as the holder may, from time to time, designate, the sum of Forty Million Dollars ($40,000,000.00) or such other principal amount as Payee has advanced to Maker, together with interest at a rate set forth in the Loan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b w:val="false"/>
          <w:color w:val="000000"/>
          <w:sz w:val="20"/>
        </w:rPr>
        <w:t>This Note is issued pursuant to a certain Loan and Security Agreement between Maker and Payee dated as of November 13, 2023 (as the same may be amended, amended and restated, supplemented or otherwise modified from time to time, the “</w:t>
      </w:r>
      <w:r>
        <w:rPr>
          <w:rFonts w:ascii="Arial" w:hAnsi="Arial"/>
          <w:b w:val="false"/>
          <w:color w:val="000000"/>
          <w:sz w:val="20"/>
          <w:u w:val="single"/>
        </w:rPr>
        <w:t>Loan Agreement</w:t>
      </w:r>
      <w:r>
        <w:rPr>
          <w:rFonts w:ascii="Times New Roman" w:hAnsi="Times New Roman"/>
          <w:color w:val="000000"/>
          <w:sz w:val="20"/>
        </w:rPr>
        <w:t>”</w:t>
      </w:r>
      <w:r>
        <w:rPr>
          <w:rFonts w:ascii="Arial" w:hAnsi="Arial"/>
          <w:b w:val="false"/>
          <w:color w:val="000000"/>
          <w:sz w:val="20"/>
        </w:rPr>
        <w:t>) and is subject to all of the terms thereof. All defined terms used herein shall have the meanings ascribed to them in the Loan Agreement.</w:t>
      </w:r>
    </w:p>
    <w:p>
      <w:pPr>
        <w:pStyle w:val="TextBody"/>
        <w:bidi w:val="0"/>
        <w:spacing w:before="0" w:after="240"/>
        <w:jc w:val="both"/>
        <w:rPr>
          <w:rFonts w:ascii="Arial" w:hAnsi="Arial"/>
          <w:b w:val="false"/>
          <w:color w:val="000000"/>
          <w:sz w:val="20"/>
        </w:rPr>
      </w:pPr>
      <w:r>
        <w:rPr>
          <w:rFonts w:ascii="Arial" w:hAnsi="Arial"/>
          <w:b w:val="false"/>
          <w:color w:val="000000"/>
          <w:sz w:val="20"/>
        </w:rPr>
        <w:t>This Note is secured by the Collateral described in the Loan Agreement. This Note is cross-defaulted with all other Notes issued by Maker pursuant to the Loan Agreement.</w:t>
      </w:r>
    </w:p>
    <w:p>
      <w:pPr>
        <w:pStyle w:val="TextBody"/>
        <w:bidi w:val="0"/>
        <w:spacing w:before="0" w:after="240"/>
        <w:jc w:val="both"/>
        <w:rPr>
          <w:rFonts w:ascii="Arial" w:hAnsi="Arial"/>
          <w:b w:val="false"/>
          <w:color w:val="000000"/>
          <w:sz w:val="20"/>
        </w:rPr>
      </w:pPr>
      <w:r>
        <w:rPr>
          <w:rFonts w:ascii="Arial" w:hAnsi="Arial"/>
          <w:b w:val="false"/>
          <w:color w:val="000000"/>
          <w:sz w:val="20"/>
        </w:rPr>
        <w:t>The Maker waives demand, presentment, protest and notice of any kind and consents to the extension of time of payments, the release, surrender or substitution of any and all security or guarantees for the obligations evidenced hereby or other indulgence with respect to this Note, all without notice.</w:t>
      </w:r>
    </w:p>
    <w:p>
      <w:pPr>
        <w:pStyle w:val="TextBody"/>
        <w:bidi w:val="0"/>
        <w:spacing w:before="0" w:after="240"/>
        <w:jc w:val="both"/>
        <w:rPr>
          <w:rFonts w:ascii="Arial" w:hAnsi="Arial"/>
          <w:b w:val="false"/>
          <w:color w:val="000000"/>
          <w:sz w:val="20"/>
        </w:rPr>
      </w:pPr>
      <w:r>
        <w:rPr>
          <w:rFonts w:ascii="Arial" w:hAnsi="Arial"/>
          <w:b w:val="false"/>
          <w:color w:val="000000"/>
          <w:sz w:val="20"/>
        </w:rPr>
        <w:t>This Note may not be changed, modified or terminated orally, except only by an agreement in writing, signed by the party to be charged. The Maker hereby authorizes the Payee to complete this Note and any particulars relating thereto according to the terms of the indebtedness evidenced hereby.</w:t>
      </w:r>
    </w:p>
    <w:p>
      <w:pPr>
        <w:pStyle w:val="TextBody"/>
        <w:bidi w:val="0"/>
        <w:spacing w:before="0" w:after="240"/>
        <w:jc w:val="both"/>
        <w:rPr>
          <w:rFonts w:ascii="Times New Roman" w:hAnsi="Times New Roman"/>
          <w:sz w:val="20"/>
        </w:rPr>
      </w:pPr>
      <w:r>
        <w:rPr>
          <w:rFonts w:ascii="Arial" w:hAnsi="Arial"/>
          <w:b w:val="false"/>
          <w:color w:val="000000"/>
          <w:sz w:val="20"/>
        </w:rPr>
        <w:t>This Note shall be governed by and construed in accordance with the laws of the State of California. The Maker hereby irrevocably consents to the jurisdiction of any state or federal court located in the State of California with respect to any action brought in respect of this Note.</w:t>
      </w:r>
      <w:r>
        <w:rPr>
          <w:rFonts w:ascii="Times New Roman" w:hAnsi="Times New Roman"/>
          <w:color w:val="000000"/>
          <w:sz w:val="20"/>
        </w:rPr>
        <w:t xml:space="preserve"> </w:t>
      </w:r>
    </w:p>
    <w:p>
      <w:pPr>
        <w:pStyle w:val="TextBody"/>
        <w:bidi w:val="0"/>
        <w:spacing w:before="0" w:after="240"/>
        <w:jc w:val="both"/>
        <w:rPr>
          <w:rFonts w:ascii="Arial" w:hAnsi="Arial"/>
          <w:b w:val="false"/>
          <w:color w:val="000000"/>
          <w:sz w:val="20"/>
        </w:rPr>
      </w:pPr>
      <w:r>
        <w:rPr>
          <w:rFonts w:ascii="Arial" w:hAnsi="Arial"/>
          <w:b w:val="false"/>
          <w:color w:val="000000"/>
          <w:sz w:val="20"/>
        </w:rPr>
        <w:t>Maker hereby WAIVES THE RIGHT TO A TRIAL BY JURY and all rights of setoff and to interpose permissive counterclaims and cross claims by any such actions. Maker further agrees to pay to holder the costs and expenses of enforcement and collection of this Note, including attorneys’ fees and expenses and court costs.</w:t>
      </w:r>
    </w:p>
    <w:p>
      <w:pPr>
        <w:pStyle w:val="TextBody"/>
        <w:bidi w:val="0"/>
        <w:spacing w:before="0" w:after="240"/>
        <w:jc w:val="both"/>
        <w:rPr>
          <w:rFonts w:ascii="Arial" w:hAnsi="Arial"/>
          <w:b w:val="false"/>
          <w:color w:val="000000"/>
          <w:sz w:val="20"/>
        </w:rPr>
      </w:pPr>
      <w:r>
        <w:rPr>
          <w:rFonts w:ascii="Arial" w:hAnsi="Arial"/>
          <w:b w:val="false"/>
          <w:color w:val="000000"/>
          <w:sz w:val="20"/>
        </w:rPr>
        <w:t>This Note shall be binding upon the successors, assigns and legal representatives of the Maker and inure to the benefit of the Payee, any holder and their successors, endorsees, assigns and legal representatives.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TAYSHA GENE THERAPIES, INC.</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By: </w:t>
      </w:r>
      <w:r>
        <w:rPr>
          <w:rFonts w:ascii="Arial" w:hAnsi="Arial"/>
          <w:b w:val="false"/>
          <w:color w:val="000000"/>
          <w:sz w:val="20"/>
          <w:u w:val="single"/>
        </w:rPr>
        <w:t>/s/ Kamran Alam</w:t>
      </w:r>
    </w:p>
    <w:p>
      <w:pPr>
        <w:pStyle w:val="TextBody"/>
        <w:bidi w:val="0"/>
        <w:jc w:val="left"/>
        <w:rPr>
          <w:rFonts w:ascii="Times New Roman" w:hAnsi="Times New Roman"/>
          <w:sz w:val="20"/>
        </w:rPr>
      </w:pPr>
      <w:r>
        <w:rPr>
          <w:rFonts w:ascii="Arial" w:hAnsi="Arial"/>
          <w:b w:val="false"/>
          <w:color w:val="000000"/>
          <w:sz w:val="20"/>
        </w:rPr>
        <w:t xml:space="preserve">Name: </w:t>
      </w:r>
      <w:r>
        <w:rPr>
          <w:rFonts w:ascii="Arial" w:hAnsi="Arial"/>
          <w:b w:val="false"/>
          <w:color w:val="000000"/>
          <w:sz w:val="20"/>
          <w:u w:val="single"/>
        </w:rPr>
        <w:t>Kamran Alam</w:t>
      </w:r>
    </w:p>
    <w:p>
      <w:pPr>
        <w:pStyle w:val="TextBody"/>
        <w:bidi w:val="0"/>
        <w:jc w:val="left"/>
        <w:rPr>
          <w:rFonts w:ascii="Times New Roman" w:hAnsi="Times New Roman"/>
          <w:sz w:val="20"/>
        </w:rPr>
      </w:pPr>
      <w:r>
        <w:rPr>
          <w:rFonts w:ascii="Arial" w:hAnsi="Arial"/>
          <w:b w:val="false"/>
          <w:color w:val="000000"/>
          <w:sz w:val="20"/>
        </w:rPr>
        <w:t xml:space="preserve">Its: </w:t>
      </w:r>
      <w:r>
        <w:rPr>
          <w:rFonts w:ascii="Arial" w:hAnsi="Arial"/>
          <w:b w:val="false"/>
          <w:color w:val="000000"/>
          <w:sz w:val="20"/>
          <w:u w:val="single"/>
        </w:rPr>
        <w:t>Chief Financial Officer</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smallCaps/>
          <w:color w:val="000000"/>
          <w:sz w:val="20"/>
        </w:rPr>
      </w:pPr>
      <w:r>
        <w:rPr>
          <w:rFonts w:ascii="Arial" w:hAnsi="Arial"/>
          <w:b/>
          <w:smallCaps/>
          <w:color w:val="000000"/>
          <w:sz w:val="20"/>
        </w:rPr>
        <w:t>EXHIBIT B</w:t>
      </w:r>
    </w:p>
    <w:p>
      <w:pPr>
        <w:pStyle w:val="TextBody"/>
        <w:bidi w:val="0"/>
        <w:spacing w:before="0" w:after="240"/>
        <w:jc w:val="center"/>
        <w:rPr>
          <w:rFonts w:ascii="Arial" w:hAnsi="Arial"/>
          <w:b/>
          <w:smallCaps/>
          <w:color w:val="000000"/>
          <w:sz w:val="20"/>
        </w:rPr>
      </w:pPr>
      <w:r>
        <w:rPr>
          <w:rFonts w:ascii="Arial" w:hAnsi="Arial"/>
          <w:b/>
          <w:smallCaps/>
          <w:color w:val="000000"/>
          <w:sz w:val="20"/>
        </w:rPr>
        <w:t>AMORTIZATION SCHEDULE</w:t>
      </w:r>
    </w:p>
    <w:p>
      <w:pPr>
        <w:pStyle w:val="TextBody"/>
        <w:bidi w:val="0"/>
        <w:jc w:val="center"/>
        <w:rPr>
          <w:rFonts w:ascii="Arial" w:hAnsi="Arial"/>
          <w:b w:val="false"/>
          <w:color w:val="000000"/>
          <w:sz w:val="20"/>
        </w:rPr>
      </w:pPr>
      <w:r>
        <w:rPr>
          <w:rFonts w:ascii="Arial" w:hAnsi="Arial"/>
          <w:b w:val="false"/>
          <w:color w:val="000000"/>
          <w:sz w:val="20"/>
        </w:rPr>
        <w:t>B-1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smallCaps/>
          <w:color w:val="000000"/>
          <w:sz w:val="20"/>
        </w:rPr>
      </w:pPr>
      <w:r>
        <w:rPr>
          <w:rFonts w:ascii="Arial" w:hAnsi="Arial"/>
          <w:b/>
          <w:smallCaps/>
          <w:color w:val="000000"/>
          <w:sz w:val="20"/>
        </w:rPr>
        <w:t>EXHIBIT C</w:t>
      </w:r>
    </w:p>
    <w:p>
      <w:pPr>
        <w:pStyle w:val="TextBody"/>
        <w:bidi w:val="0"/>
        <w:spacing w:before="0" w:after="240"/>
        <w:jc w:val="center"/>
        <w:rPr>
          <w:rFonts w:ascii="Times New Roman" w:hAnsi="Times New Roman"/>
          <w:sz w:val="20"/>
        </w:rPr>
      </w:pPr>
      <w:r>
        <w:rPr>
          <w:rFonts w:ascii="Arial" w:hAnsi="Arial"/>
          <w:b/>
          <w:smallCaps/>
          <w:color w:val="000000"/>
          <w:sz w:val="20"/>
        </w:rPr>
        <w:t>SECRETARY’S CERTIFICATE</w:t>
        <w:br/>
      </w:r>
      <w:r>
        <w:rPr>
          <w:rFonts w:ascii="Times New Roman" w:hAnsi="Times New Roman"/>
          <w:smallCaps/>
          <w:color w:val="000000"/>
          <w:sz w:val="20"/>
        </w:rPr>
        <w:t> </w:t>
      </w:r>
    </w:p>
    <w:tbl>
      <w:tblPr>
        <w:tblW w:w="8267" w:type="dxa"/>
        <w:jc w:val="left"/>
        <w:tblInd w:w="0" w:type="dxa"/>
        <w:tblLayout w:type="fixed"/>
        <w:tblCellMar>
          <w:top w:w="28" w:type="dxa"/>
          <w:left w:w="28" w:type="dxa"/>
          <w:bottom w:w="28" w:type="dxa"/>
          <w:right w:w="28" w:type="dxa"/>
        </w:tblCellMar>
      </w:tblPr>
      <w:tblGrid>
        <w:gridCol w:w="2581"/>
        <w:gridCol w:w="3256"/>
        <w:gridCol w:w="881"/>
        <w:gridCol w:w="1549"/>
      </w:tblGrid>
      <w:tr>
        <w:trPr/>
        <w:tc>
          <w:tcPr>
            <w:tcW w:w="258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smallCaps/>
                <w:color w:val="000000"/>
                <w:sz w:val="20"/>
              </w:rPr>
              <w:t>BORROWER</w:t>
            </w:r>
            <w:r>
              <w:rPr>
                <w:rFonts w:ascii="Arial" w:hAnsi="Arial"/>
                <w:b/>
                <w:color w:val="000000"/>
                <w:sz w:val="20"/>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TAYSHA GENE THERAPIES, INC.</w:t>
            </w:r>
            <w:r>
              <w:rPr>
                <w:rFonts w:ascii="Times New Roman" w:hAnsi="Times New Roman"/>
                <w:color w:val="000000"/>
                <w:sz w:val="20"/>
              </w:rPr>
              <w:t xml:space="preserve"> </w:t>
            </w:r>
          </w:p>
        </w:tc>
        <w:tc>
          <w:tcPr>
            <w:tcW w:w="243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smallCaps/>
                <w:color w:val="000000"/>
                <w:sz w:val="20"/>
              </w:rPr>
              <w:t>Date</w:t>
            </w:r>
            <w:r>
              <w:rPr>
                <w:rFonts w:ascii="Arial" w:hAnsi="Arial"/>
                <w:b w:val="false"/>
                <w:color w:val="000000"/>
                <w:sz w:val="20"/>
              </w:rPr>
              <w:t>: November 13, 2023</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Arial" w:hAnsi="Arial"/>
                <w:b/>
                <w:smallCaps/>
                <w:color w:val="000000"/>
                <w:sz w:val="20"/>
              </w:rPr>
            </w:pPr>
            <w:r>
              <w:rPr>
                <w:rFonts w:ascii="Arial" w:hAnsi="Arial"/>
                <w:b/>
                <w:smallCaps/>
                <w:color w:val="000000"/>
                <w:sz w:val="20"/>
              </w:rPr>
              <w:t>ADMINISTRATIVE AGENT:</w:t>
            </w:r>
          </w:p>
        </w:tc>
        <w:tc>
          <w:tcPr>
            <w:tcW w:w="4137" w:type="dxa"/>
            <w:gridSpan w:val="2"/>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Arial" w:hAnsi="Arial"/>
                <w:b w:val="false"/>
                <w:color w:val="000000"/>
                <w:sz w:val="20"/>
              </w:rPr>
            </w:pPr>
            <w:r>
              <w:rPr>
                <w:rFonts w:ascii="Arial" w:hAnsi="Arial"/>
                <w:b w:val="false"/>
                <w:color w:val="000000"/>
                <w:sz w:val="20"/>
              </w:rPr>
              <w:t>Trinity Capital Inc., as Administrative Agent</w:t>
            </w:r>
          </w:p>
        </w:tc>
        <w:tc>
          <w:tcPr>
            <w:tcW w:w="15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Pursuant to the Loan and Security Agreement, dated as of November 13, 2023, by and among Borrower the Lenders party thereto, and Trinity Capital Inc., as administrative agent and collateral agent for the Lenders (“Administrative Agent”) (the “Loan Agreement”, unless otherwise defined herein, terms defined in the Loan Agreement and used herein shall have the meanings given to them in the Loan Agreement), I hereby certify as follows, as of the date set forth above:</w:t>
      </w:r>
    </w:p>
    <w:p>
      <w:pPr>
        <w:pStyle w:val="TextBody"/>
        <w:bidi w:val="0"/>
        <w:spacing w:before="0" w:after="240"/>
        <w:jc w:val="both"/>
        <w:rPr>
          <w:rFonts w:ascii="Arial" w:hAnsi="Arial"/>
          <w:b w:val="false"/>
          <w:color w:val="000000"/>
          <w:sz w:val="20"/>
        </w:rPr>
      </w:pPr>
      <w:r>
        <w:rPr>
          <w:rFonts w:ascii="Arial" w:hAnsi="Arial"/>
          <w:b w:val="false"/>
          <w:color w:val="000000"/>
          <w:sz w:val="20"/>
        </w:rPr>
        <w:t>1. I am the Secretary or other Responsible Officer of Borrower. My title is as set forth below.</w:t>
      </w:r>
    </w:p>
    <w:p>
      <w:pPr>
        <w:pStyle w:val="TextBody"/>
        <w:bidi w:val="0"/>
        <w:spacing w:before="0" w:after="240"/>
        <w:jc w:val="both"/>
        <w:rPr>
          <w:rFonts w:ascii="Arial" w:hAnsi="Arial"/>
          <w:b w:val="false"/>
          <w:color w:val="000000"/>
          <w:sz w:val="20"/>
        </w:rPr>
      </w:pPr>
      <w:r>
        <w:rPr>
          <w:rFonts w:ascii="Arial" w:hAnsi="Arial"/>
          <w:b w:val="false"/>
          <w:color w:val="000000"/>
          <w:sz w:val="20"/>
        </w:rPr>
        <w:t>2. Borrower’s exact legal name is set forth above. Borrower is a corporation existing under the laws of the State of Delaware.</w:t>
      </w:r>
    </w:p>
    <w:p>
      <w:pPr>
        <w:pStyle w:val="TextBody"/>
        <w:bidi w:val="0"/>
        <w:spacing w:before="0" w:after="240"/>
        <w:jc w:val="both"/>
        <w:rPr>
          <w:rFonts w:ascii="Times New Roman" w:hAnsi="Times New Roman"/>
          <w:sz w:val="20"/>
        </w:rPr>
      </w:pPr>
      <w:r>
        <w:rPr>
          <w:rFonts w:ascii="Arial" w:hAnsi="Arial"/>
          <w:b w:val="false"/>
          <w:color w:val="000000"/>
          <w:sz w:val="20"/>
        </w:rPr>
        <w:t xml:space="preserve">3. Attached hereto as </w:t>
      </w:r>
      <w:r>
        <w:rPr>
          <w:rFonts w:ascii="Arial" w:hAnsi="Arial"/>
          <w:b w:val="false"/>
          <w:color w:val="000000"/>
          <w:sz w:val="20"/>
          <w:u w:val="single"/>
        </w:rPr>
        <w:t>Annex I</w:t>
      </w:r>
      <w:r>
        <w:rPr>
          <w:rFonts w:ascii="Times New Roman" w:hAnsi="Times New Roman"/>
          <w:color w:val="000000"/>
          <w:sz w:val="20"/>
        </w:rPr>
        <w:t xml:space="preserve"> </w:t>
      </w:r>
      <w:r>
        <w:rPr>
          <w:rFonts w:ascii="Arial" w:hAnsi="Arial"/>
          <w:b w:val="false"/>
          <w:color w:val="000000"/>
          <w:sz w:val="20"/>
        </w:rPr>
        <w:t xml:space="preserve">and </w:t>
      </w:r>
      <w:r>
        <w:rPr>
          <w:rFonts w:ascii="Arial" w:hAnsi="Arial"/>
          <w:b w:val="false"/>
          <w:color w:val="000000"/>
          <w:sz w:val="20"/>
          <w:u w:val="single"/>
        </w:rPr>
        <w:t>Annex II</w:t>
      </w:r>
      <w:r>
        <w:rPr>
          <w:rFonts w:ascii="Arial" w:hAnsi="Arial"/>
          <w:b w:val="false"/>
          <w:color w:val="000000"/>
          <w:sz w:val="20"/>
        </w:rPr>
        <w:t>, respectively, are true, correct and complete copies of (i) Borrower’s Articles of Incorporation (including amendments), as filed with the Secretary of State of the state in which Borrower is incorporated as set forth in paragraph 2 above; and (ii) Borrower’s Bylaws. Neither such Articles of Incorporation nor such Bylaws have been amended, annulled, rescinded, revoked or supplemented, and such Articles of Incorporation and such Bylaws remain in full force and effect as of the date 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b w:val="false"/>
          <w:color w:val="000000"/>
          <w:sz w:val="20"/>
        </w:rPr>
        <w:t xml:space="preserve">4. The resolutions attached hereto as </w:t>
      </w:r>
      <w:r>
        <w:rPr>
          <w:rFonts w:ascii="Arial" w:hAnsi="Arial"/>
          <w:b w:val="false"/>
          <w:color w:val="000000"/>
          <w:sz w:val="20"/>
          <w:u w:val="single"/>
        </w:rPr>
        <w:t xml:space="preserve">Annex III </w:t>
      </w:r>
      <w:r>
        <w:rPr>
          <w:rFonts w:ascii="Arial" w:hAnsi="Arial"/>
          <w:b w:val="false"/>
          <w:color w:val="000000"/>
          <w:sz w:val="20"/>
        </w:rPr>
        <w:t>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pStyle w:val="TextBody"/>
        <w:bidi w:val="0"/>
        <w:spacing w:before="0" w:after="240"/>
        <w:jc w:val="both"/>
        <w:rPr>
          <w:rFonts w:ascii="Arial" w:hAnsi="Arial"/>
          <w:b w:val="false"/>
          <w:color w:val="000000"/>
          <w:sz w:val="20"/>
        </w:rPr>
      </w:pPr>
      <w:r>
        <w:rPr>
          <w:rFonts w:ascii="Arial" w:hAnsi="Arial"/>
          <w:b w:val="false"/>
          <w:color w:val="000000"/>
          <w:sz w:val="20"/>
        </w:rPr>
        <w:t>5. Any one of the following officers or employees of Borrower, whose names, titles and signatures are below, may act on behalf of Borrower:</w:t>
      </w:r>
    </w:p>
    <w:tbl>
      <w:tblPr>
        <w:tblW w:w="5779" w:type="dxa"/>
        <w:jc w:val="left"/>
        <w:tblInd w:w="0" w:type="dxa"/>
        <w:tblLayout w:type="fixed"/>
        <w:tblCellMar>
          <w:top w:w="28" w:type="dxa"/>
          <w:left w:w="28" w:type="dxa"/>
          <w:bottom w:w="28" w:type="dxa"/>
          <w:right w:w="28" w:type="dxa"/>
        </w:tblCellMar>
      </w:tblPr>
      <w:tblGrid>
        <w:gridCol w:w="631"/>
        <w:gridCol w:w="481"/>
        <w:gridCol w:w="931"/>
        <w:gridCol w:w="3736"/>
      </w:tblGrid>
      <w:tr>
        <w:trPr/>
        <w:tc>
          <w:tcPr>
            <w:tcW w:w="6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40"/>
              <w:jc w:val="center"/>
              <w:rPr>
                <w:rFonts w:ascii="Arial" w:hAnsi="Arial"/>
                <w:b w:val="false"/>
                <w:color w:val="000000"/>
                <w:sz w:val="20"/>
                <w:u w:val="single"/>
              </w:rPr>
            </w:pPr>
            <w:r>
              <w:rPr>
                <w:rFonts w:ascii="Arial" w:hAnsi="Arial"/>
                <w:b w:val="false"/>
                <w:color w:val="000000"/>
                <w:sz w:val="20"/>
                <w:u w:val="single"/>
              </w:rPr>
              <w:t>Name</w:t>
            </w:r>
          </w:p>
        </w:tc>
        <w:tc>
          <w:tcPr>
            <w:tcW w:w="481" w:type="dxa"/>
            <w:tcBorders/>
            <w:tcMar>
              <w:top w:w="0" w:type="dxa"/>
              <w:left w:w="0" w:type="dxa"/>
              <w:bottom w:w="0" w:type="dxa"/>
              <w:right w:w="0" w:type="dxa"/>
            </w:tcMar>
            <w:vAlign w:val="center"/>
          </w:tcPr>
          <w:p>
            <w:pPr>
              <w:pStyle w:val="TableContents"/>
              <w:bidi w:val="0"/>
              <w:spacing w:before="0" w:after="240"/>
              <w:jc w:val="center"/>
              <w:rPr>
                <w:rFonts w:ascii="Arial" w:hAnsi="Arial"/>
                <w:b w:val="false"/>
                <w:color w:val="000000"/>
                <w:sz w:val="20"/>
                <w:u w:val="single"/>
              </w:rPr>
            </w:pPr>
            <w:r>
              <w:rPr>
                <w:rFonts w:ascii="Arial" w:hAnsi="Arial"/>
                <w:b w:val="false"/>
                <w:color w:val="000000"/>
                <w:sz w:val="20"/>
                <w:u w:val="single"/>
              </w:rPr>
              <w:t>Title</w:t>
            </w:r>
          </w:p>
        </w:tc>
        <w:tc>
          <w:tcPr>
            <w:tcW w:w="931" w:type="dxa"/>
            <w:tcBorders/>
            <w:tcMar>
              <w:top w:w="0" w:type="dxa"/>
              <w:left w:w="0" w:type="dxa"/>
              <w:bottom w:w="0" w:type="dxa"/>
              <w:right w:w="0" w:type="dxa"/>
            </w:tcMar>
            <w:vAlign w:val="center"/>
          </w:tcPr>
          <w:p>
            <w:pPr>
              <w:pStyle w:val="TableContents"/>
              <w:bidi w:val="0"/>
              <w:spacing w:before="0" w:after="240"/>
              <w:jc w:val="center"/>
              <w:rPr>
                <w:rFonts w:ascii="Arial" w:hAnsi="Arial"/>
                <w:b w:val="false"/>
                <w:color w:val="000000"/>
                <w:sz w:val="20"/>
                <w:u w:val="single"/>
              </w:rPr>
            </w:pPr>
            <w:r>
              <w:rPr>
                <w:rFonts w:ascii="Arial" w:hAnsi="Arial"/>
                <w:b w:val="false"/>
                <w:color w:val="000000"/>
                <w:sz w:val="20"/>
                <w:u w:val="single"/>
              </w:rPr>
              <w:t>Signature</w:t>
            </w:r>
          </w:p>
        </w:tc>
        <w:tc>
          <w:tcPr>
            <w:tcW w:w="373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Arial" w:hAnsi="Arial"/>
                <w:b w:val="false"/>
                <w:color w:val="000000"/>
                <w:sz w:val="20"/>
              </w:rPr>
              <w:t>Authorized to Add or Remove</w:t>
            </w:r>
            <w:r>
              <w:rPr>
                <w:rFonts w:ascii="Times New Roman" w:hAnsi="Times New Roman"/>
                <w:color w:val="000000"/>
                <w:sz w:val="20"/>
                <w:u w:val="single"/>
              </w:rPr>
              <w:t> </w:t>
            </w:r>
            <w:r>
              <w:rPr>
                <w:rFonts w:ascii="Arial" w:hAnsi="Arial"/>
                <w:b w:val="false"/>
                <w:color w:val="000000"/>
                <w:sz w:val="20"/>
                <w:u w:val="single"/>
              </w:rPr>
              <w:t>Signatories</w:t>
            </w:r>
          </w:p>
        </w:tc>
      </w:tr>
      <w:tr>
        <w:trPr/>
        <w:tc>
          <w:tcPr>
            <w:tcW w:w="631" w:type="dxa"/>
            <w:tcBorders/>
            <w:tcMar>
              <w:top w:w="0" w:type="dxa"/>
              <w:left w:w="0" w:type="dxa"/>
              <w:bottom w:w="0" w:type="dxa"/>
              <w:right w:w="0" w:type="dxa"/>
            </w:tcMar>
            <w:vAlign w:val="center"/>
          </w:tcPr>
          <w:p>
            <w:pPr>
              <w:pStyle w:val="TableContents"/>
              <w:bidi w:val="0"/>
              <w:spacing w:before="0" w:after="240"/>
              <w:jc w:val="center"/>
              <w:rPr/>
            </w:pPr>
            <w:r>
              <w:rPr/>
              <w:t> </w:t>
            </w:r>
          </w:p>
        </w:tc>
        <w:tc>
          <w:tcPr>
            <w:tcW w:w="481" w:type="dxa"/>
            <w:tcBorders/>
            <w:tcMar>
              <w:top w:w="0" w:type="dxa"/>
              <w:left w:w="0" w:type="dxa"/>
              <w:bottom w:w="0" w:type="dxa"/>
              <w:right w:w="0" w:type="dxa"/>
            </w:tcMar>
            <w:vAlign w:val="center"/>
          </w:tcPr>
          <w:p>
            <w:pPr>
              <w:pStyle w:val="TableContents"/>
              <w:bidi w:val="0"/>
              <w:spacing w:before="0" w:after="240"/>
              <w:jc w:val="center"/>
              <w:rPr/>
            </w:pPr>
            <w:r>
              <w:rPr/>
              <w:t> </w:t>
            </w:r>
          </w:p>
        </w:tc>
        <w:tc>
          <w:tcPr>
            <w:tcW w:w="931" w:type="dxa"/>
            <w:tcBorders/>
            <w:tcMar>
              <w:top w:w="0" w:type="dxa"/>
              <w:left w:w="0" w:type="dxa"/>
              <w:bottom w:w="0" w:type="dxa"/>
              <w:right w:w="0" w:type="dxa"/>
            </w:tcMar>
            <w:vAlign w:val="center"/>
          </w:tcPr>
          <w:p>
            <w:pPr>
              <w:pStyle w:val="TableContents"/>
              <w:bidi w:val="0"/>
              <w:spacing w:before="0" w:after="240"/>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631" w:type="dxa"/>
            <w:tcBorders/>
            <w:tcMar>
              <w:top w:w="0" w:type="dxa"/>
              <w:left w:w="0" w:type="dxa"/>
              <w:bottom w:w="0" w:type="dxa"/>
              <w:right w:w="0" w:type="dxa"/>
            </w:tcMar>
            <w:vAlign w:val="center"/>
          </w:tcPr>
          <w:p>
            <w:pPr>
              <w:pStyle w:val="TableContents"/>
              <w:bidi w:val="0"/>
              <w:spacing w:before="0" w:after="240"/>
              <w:jc w:val="center"/>
              <w:rPr/>
            </w:pPr>
            <w:r>
              <w:rPr/>
              <w:t> </w:t>
            </w:r>
          </w:p>
        </w:tc>
        <w:tc>
          <w:tcPr>
            <w:tcW w:w="481" w:type="dxa"/>
            <w:tcBorders/>
            <w:tcMar>
              <w:top w:w="0" w:type="dxa"/>
              <w:left w:w="0" w:type="dxa"/>
              <w:bottom w:w="0" w:type="dxa"/>
              <w:right w:w="0" w:type="dxa"/>
            </w:tcMar>
            <w:vAlign w:val="center"/>
          </w:tcPr>
          <w:p>
            <w:pPr>
              <w:pStyle w:val="TableContents"/>
              <w:bidi w:val="0"/>
              <w:spacing w:before="0" w:after="240"/>
              <w:jc w:val="center"/>
              <w:rPr/>
            </w:pPr>
            <w:r>
              <w:rPr/>
              <w:t> </w:t>
            </w:r>
          </w:p>
        </w:tc>
        <w:tc>
          <w:tcPr>
            <w:tcW w:w="931" w:type="dxa"/>
            <w:tcBorders/>
            <w:tcMar>
              <w:top w:w="0" w:type="dxa"/>
              <w:left w:w="0" w:type="dxa"/>
              <w:bottom w:w="0" w:type="dxa"/>
              <w:right w:w="0" w:type="dxa"/>
            </w:tcMar>
            <w:vAlign w:val="center"/>
          </w:tcPr>
          <w:p>
            <w:pPr>
              <w:pStyle w:val="TableContents"/>
              <w:bidi w:val="0"/>
              <w:spacing w:before="0" w:after="240"/>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631" w:type="dxa"/>
            <w:tcBorders/>
            <w:tcMar>
              <w:top w:w="0" w:type="dxa"/>
              <w:left w:w="0" w:type="dxa"/>
              <w:bottom w:w="0" w:type="dxa"/>
              <w:right w:w="0" w:type="dxa"/>
            </w:tcMar>
            <w:vAlign w:val="center"/>
          </w:tcPr>
          <w:p>
            <w:pPr>
              <w:pStyle w:val="TableContents"/>
              <w:bidi w:val="0"/>
              <w:spacing w:before="0" w:after="240"/>
              <w:jc w:val="center"/>
              <w:rPr/>
            </w:pPr>
            <w:r>
              <w:rPr/>
              <w:t> </w:t>
            </w:r>
          </w:p>
        </w:tc>
        <w:tc>
          <w:tcPr>
            <w:tcW w:w="481" w:type="dxa"/>
            <w:tcBorders/>
            <w:tcMar>
              <w:top w:w="0" w:type="dxa"/>
              <w:left w:w="0" w:type="dxa"/>
              <w:bottom w:w="0" w:type="dxa"/>
              <w:right w:w="0" w:type="dxa"/>
            </w:tcMar>
            <w:vAlign w:val="center"/>
          </w:tcPr>
          <w:p>
            <w:pPr>
              <w:pStyle w:val="TableContents"/>
              <w:bidi w:val="0"/>
              <w:spacing w:before="0" w:after="240"/>
              <w:jc w:val="center"/>
              <w:rPr/>
            </w:pPr>
            <w:r>
              <w:rPr/>
              <w:t> </w:t>
            </w:r>
          </w:p>
        </w:tc>
        <w:tc>
          <w:tcPr>
            <w:tcW w:w="931" w:type="dxa"/>
            <w:tcBorders/>
            <w:tcMar>
              <w:top w:w="0" w:type="dxa"/>
              <w:left w:w="0" w:type="dxa"/>
              <w:bottom w:w="0" w:type="dxa"/>
              <w:right w:w="0" w:type="dxa"/>
            </w:tcMar>
            <w:vAlign w:val="center"/>
          </w:tcPr>
          <w:p>
            <w:pPr>
              <w:pStyle w:val="TableContents"/>
              <w:bidi w:val="0"/>
              <w:spacing w:before="0" w:after="240"/>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631" w:type="dxa"/>
            <w:tcBorders/>
            <w:tcMar>
              <w:top w:w="0" w:type="dxa"/>
              <w:left w:w="0" w:type="dxa"/>
              <w:bottom w:w="0" w:type="dxa"/>
              <w:right w:w="0" w:type="dxa"/>
            </w:tcMar>
            <w:vAlign w:val="center"/>
          </w:tcPr>
          <w:p>
            <w:pPr>
              <w:pStyle w:val="TableContents"/>
              <w:bidi w:val="0"/>
              <w:spacing w:before="0" w:after="240"/>
              <w:jc w:val="center"/>
              <w:rPr/>
            </w:pPr>
            <w:r>
              <w:rPr/>
              <w:t> </w:t>
            </w:r>
          </w:p>
        </w:tc>
        <w:tc>
          <w:tcPr>
            <w:tcW w:w="481" w:type="dxa"/>
            <w:tcBorders/>
            <w:tcMar>
              <w:top w:w="0" w:type="dxa"/>
              <w:left w:w="0" w:type="dxa"/>
              <w:bottom w:w="0" w:type="dxa"/>
              <w:right w:w="0" w:type="dxa"/>
            </w:tcMar>
            <w:vAlign w:val="center"/>
          </w:tcPr>
          <w:p>
            <w:pPr>
              <w:pStyle w:val="TableContents"/>
              <w:bidi w:val="0"/>
              <w:spacing w:before="0" w:after="240"/>
              <w:jc w:val="center"/>
              <w:rPr/>
            </w:pPr>
            <w:r>
              <w:rPr/>
              <w:t> </w:t>
            </w:r>
          </w:p>
        </w:tc>
        <w:tc>
          <w:tcPr>
            <w:tcW w:w="931" w:type="dxa"/>
            <w:tcBorders/>
            <w:tcMar>
              <w:top w:w="0" w:type="dxa"/>
              <w:left w:w="0" w:type="dxa"/>
              <w:bottom w:w="0" w:type="dxa"/>
              <w:right w:w="0" w:type="dxa"/>
            </w:tcMar>
            <w:vAlign w:val="center"/>
          </w:tcPr>
          <w:p>
            <w:pPr>
              <w:pStyle w:val="TableContents"/>
              <w:bidi w:val="0"/>
              <w:spacing w:before="0" w:after="240"/>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w:t>
      </w:r>
      <w:r>
        <w:rPr>
          <w:rFonts w:ascii="Arial" w:hAnsi="Arial"/>
          <w:b/>
          <w:i/>
          <w:color w:val="000000"/>
          <w:sz w:val="20"/>
        </w:rPr>
        <w:t>Balance of Page Intentionally Left Blank</w:t>
      </w:r>
      <w:r>
        <w:rPr>
          <w:rFonts w:ascii="Arial" w:hAnsi="Arial"/>
          <w:b/>
          <w:color w:val="000000"/>
          <w:sz w:val="20"/>
        </w:rPr>
        <w:t>]</w:t>
      </w:r>
    </w:p>
    <w:p>
      <w:pPr>
        <w:pStyle w:val="TextBody"/>
        <w:bidi w:val="0"/>
        <w:jc w:val="center"/>
        <w:rPr>
          <w:rFonts w:ascii="Arial" w:hAnsi="Arial"/>
          <w:b w:val="false"/>
          <w:color w:val="000000"/>
          <w:sz w:val="20"/>
        </w:rPr>
      </w:pPr>
      <w:r>
        <w:rPr>
          <w:rFonts w:ascii="Arial" w:hAnsi="Arial"/>
          <w:b w:val="false"/>
          <w:color w:val="000000"/>
          <w:sz w:val="20"/>
        </w:rPr>
        <w:t>C-1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val="false"/>
          <w:color w:val="000000"/>
          <w:sz w:val="20"/>
        </w:rPr>
      </w:pPr>
      <w:r>
        <w:rPr>
          <w:rFonts w:ascii="Arial" w:hAnsi="Arial"/>
          <w:b w:val="false"/>
          <w:color w:val="000000"/>
          <w:sz w:val="20"/>
        </w:rPr>
        <w:t>IN WITNESS WHEREOF, the undersigned has executed and delivered this Secretary’s Certificate on behalf of TAYSHA GENE THERAPIES, INC. as of the date first set forth above.</w:t>
      </w:r>
    </w:p>
    <w:p>
      <w:pPr>
        <w:pStyle w:val="TextBody"/>
        <w:bidi w:val="0"/>
        <w:jc w:val="both"/>
        <w:rPr>
          <w:rFonts w:ascii="Arial" w:hAnsi="Arial"/>
          <w:b w:val="false"/>
          <w:color w:val="000000"/>
          <w:sz w:val="20"/>
        </w:rPr>
      </w:pPr>
      <w:r>
        <w:rPr>
          <w:rFonts w:ascii="Arial" w:hAnsi="Arial"/>
          <w:b w:val="false"/>
          <w:color w:val="000000"/>
          <w:sz w:val="20"/>
        </w:rPr>
        <w:t>By:_______________________________</w:t>
      </w:r>
    </w:p>
    <w:p>
      <w:pPr>
        <w:pStyle w:val="TextBody"/>
        <w:bidi w:val="0"/>
        <w:jc w:val="both"/>
        <w:rPr>
          <w:rFonts w:ascii="Times New Roman" w:hAnsi="Times New Roman"/>
          <w:sz w:val="20"/>
        </w:rPr>
      </w:pPr>
      <w:r>
        <w:rPr>
          <w:rFonts w:ascii="Arial" w:hAnsi="Arial"/>
          <w:b w:val="false"/>
          <w:color w:val="000000"/>
          <w:sz w:val="20"/>
        </w:rPr>
        <w:t>Name:</w:t>
      </w:r>
      <w:r>
        <w:rPr>
          <w:rFonts w:ascii="Times New Roman" w:hAnsi="Times New Roman"/>
          <w:color w:val="000000"/>
          <w:sz w:val="20"/>
          <w:u w:val="single"/>
        </w:rPr>
        <w:t xml:space="preserve"> </w:t>
      </w:r>
    </w:p>
    <w:p>
      <w:pPr>
        <w:pStyle w:val="TextBody"/>
        <w:bidi w:val="0"/>
        <w:jc w:val="both"/>
        <w:rPr>
          <w:rFonts w:ascii="Times New Roman" w:hAnsi="Times New Roman"/>
          <w:sz w:val="20"/>
        </w:rPr>
      </w:pPr>
      <w:r>
        <w:rPr>
          <w:rFonts w:ascii="Arial" w:hAnsi="Arial"/>
          <w:b w:val="false"/>
          <w:color w:val="000000"/>
          <w:sz w:val="20"/>
        </w:rPr>
        <w:t>Title:</w:t>
      </w:r>
      <w:r>
        <w:rPr>
          <w:rFonts w:ascii="Times New Roman" w:hAnsi="Times New Roman"/>
          <w:color w:val="000000"/>
          <w:sz w:val="20"/>
          <w:u w:val="single"/>
        </w:rPr>
        <w:t xml:space="preserve"> </w:t>
      </w:r>
    </w:p>
    <w:p>
      <w:pPr>
        <w:pStyle w:val="TextBody"/>
        <w:bidi w:val="0"/>
        <w:jc w:val="left"/>
        <w:rPr/>
      </w:pPr>
      <w:r>
        <w:rPr/>
        <w:t> </w:t>
      </w:r>
    </w:p>
    <w:p>
      <w:pPr>
        <w:pStyle w:val="TextBody"/>
        <w:bidi w:val="0"/>
        <w:spacing w:before="0" w:after="120"/>
        <w:jc w:val="left"/>
        <w:rPr>
          <w:rFonts w:ascii="Arial" w:hAnsi="Arial"/>
          <w:b w:val="false"/>
          <w:color w:val="000000"/>
          <w:sz w:val="20"/>
        </w:rPr>
      </w:pPr>
      <w:r>
        <w:rPr>
          <w:rFonts w:ascii="Arial" w:hAnsi="Arial"/>
          <w:b w:val="false"/>
          <w:color w:val="000000"/>
          <w:sz w:val="20"/>
        </w:rPr>
        <w:t xml:space="preserve">The undersigned, [___], [___] of TAYSHA GENE THERAPIES, INC., does hereby certify that [___] is the duly elected and presently incumbent [___] of TAYSHA GENE THERAPIES, INC., and that the statements and signatures in the foregoing Secretary’s Certificate are true and correct on the date hereof. </w:t>
      </w:r>
    </w:p>
    <w:p>
      <w:pPr>
        <w:pStyle w:val="TextBody"/>
        <w:bidi w:val="0"/>
        <w:spacing w:before="0" w:after="120"/>
        <w:jc w:val="left"/>
        <w:rPr/>
      </w:pPr>
      <w:r>
        <w:rPr/>
        <w:t> </w:t>
      </w:r>
    </w:p>
    <w:p>
      <w:pPr>
        <w:pStyle w:val="TextBody"/>
        <w:bidi w:val="0"/>
        <w:jc w:val="both"/>
        <w:rPr>
          <w:rFonts w:ascii="Arial" w:hAnsi="Arial"/>
          <w:b w:val="false"/>
          <w:color w:val="000000"/>
          <w:sz w:val="20"/>
        </w:rPr>
      </w:pPr>
      <w:r>
        <w:rPr>
          <w:rFonts w:ascii="Arial" w:hAnsi="Arial"/>
          <w:b w:val="false"/>
          <w:color w:val="000000"/>
          <w:sz w:val="20"/>
        </w:rPr>
        <w:t>By:_______________________________</w:t>
      </w:r>
    </w:p>
    <w:p>
      <w:pPr>
        <w:pStyle w:val="TextBody"/>
        <w:bidi w:val="0"/>
        <w:jc w:val="both"/>
        <w:rPr>
          <w:rFonts w:ascii="Times New Roman" w:hAnsi="Times New Roman"/>
          <w:sz w:val="20"/>
        </w:rPr>
      </w:pPr>
      <w:r>
        <w:rPr>
          <w:rFonts w:ascii="Arial" w:hAnsi="Arial"/>
          <w:b w:val="false"/>
          <w:color w:val="000000"/>
          <w:sz w:val="20"/>
        </w:rPr>
        <w:t>Name:</w:t>
      </w:r>
      <w:r>
        <w:rPr>
          <w:rFonts w:ascii="Times New Roman" w:hAnsi="Times New Roman"/>
          <w:color w:val="000000"/>
          <w:sz w:val="20"/>
          <w:u w:val="single"/>
        </w:rPr>
        <w:t xml:space="preserve"> </w:t>
      </w:r>
    </w:p>
    <w:p>
      <w:pPr>
        <w:pStyle w:val="TextBody"/>
        <w:bidi w:val="0"/>
        <w:jc w:val="both"/>
        <w:rPr>
          <w:rFonts w:ascii="Times New Roman" w:hAnsi="Times New Roman"/>
          <w:sz w:val="20"/>
        </w:rPr>
      </w:pPr>
      <w:r>
        <w:rPr>
          <w:rFonts w:ascii="Arial" w:hAnsi="Arial"/>
          <w:b w:val="false"/>
          <w:color w:val="000000"/>
          <w:sz w:val="20"/>
        </w:rPr>
        <w:t>Title:</w:t>
      </w:r>
      <w:r>
        <w:rPr>
          <w:rFonts w:ascii="Times New Roman" w:hAnsi="Times New Roman"/>
          <w:color w:val="000000"/>
          <w:sz w:val="20"/>
          <w:u w:val="single"/>
        </w:rPr>
        <w:t xml:space="preserve">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center"/>
        <w:rPr>
          <w:rFonts w:ascii="Arial" w:hAnsi="Arial"/>
          <w:b/>
          <w:color w:val="000000"/>
          <w:sz w:val="16"/>
        </w:rPr>
      </w:pPr>
      <w:r>
        <w:rPr>
          <w:rFonts w:ascii="Arial" w:hAnsi="Arial"/>
          <w:b/>
          <w:color w:val="000000"/>
          <w:sz w:val="16"/>
        </w:rPr>
        <w:t>[Signature Page to Secretary’s Certificate]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Arial" w:hAnsi="Arial"/>
          <w:b/>
          <w:smallCaps/>
          <w:color w:val="000000"/>
          <w:sz w:val="20"/>
        </w:rPr>
        <w:t>ANNEX I</w:t>
        <w:br/>
        <w:br/>
      </w:r>
      <w:r>
        <w:rPr>
          <w:rFonts w:ascii="Arial" w:hAnsi="Arial"/>
          <w:b/>
          <w:color w:val="000000"/>
          <w:sz w:val="20"/>
          <w:u w:val="single"/>
        </w:rPr>
        <w:t>Articles of Incorporation (including amendments)</w:t>
      </w:r>
    </w:p>
    <w:p>
      <w:pPr>
        <w:pStyle w:val="TextBody"/>
        <w:bidi w:val="0"/>
        <w:jc w:val="center"/>
        <w:rPr>
          <w:rFonts w:ascii="Arial" w:hAnsi="Arial"/>
          <w:b w:val="false"/>
          <w:color w:val="000000"/>
          <w:sz w:val="20"/>
        </w:rPr>
      </w:pPr>
      <w:r>
        <w:rPr>
          <w:rFonts w:ascii="Arial" w:hAnsi="Arial"/>
          <w:b w:val="false"/>
          <w:color w:val="000000"/>
          <w:sz w:val="20"/>
        </w:rPr>
        <w:t>[see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Arial" w:hAnsi="Arial"/>
          <w:b/>
          <w:smallCaps/>
          <w:color w:val="000000"/>
          <w:sz w:val="20"/>
        </w:rPr>
        <w:t>ANNEX II</w:t>
        <w:br/>
        <w:br/>
      </w:r>
      <w:r>
        <w:rPr>
          <w:rFonts w:ascii="Arial" w:hAnsi="Arial"/>
          <w:b/>
          <w:color w:val="000000"/>
          <w:sz w:val="20"/>
          <w:u w:val="single"/>
        </w:rPr>
        <w:t>Bylaws</w:t>
      </w:r>
    </w:p>
    <w:p>
      <w:pPr>
        <w:pStyle w:val="TextBody"/>
        <w:bidi w:val="0"/>
        <w:jc w:val="center"/>
        <w:rPr>
          <w:rFonts w:ascii="Arial" w:hAnsi="Arial"/>
          <w:b w:val="false"/>
          <w:color w:val="000000"/>
          <w:sz w:val="20"/>
        </w:rPr>
      </w:pPr>
      <w:r>
        <w:rPr>
          <w:rFonts w:ascii="Arial" w:hAnsi="Arial"/>
          <w:b w:val="false"/>
          <w:color w:val="000000"/>
          <w:sz w:val="20"/>
        </w:rPr>
        <w:t>[see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Arial" w:hAnsi="Arial"/>
          <w:b/>
          <w:smallCaps/>
          <w:color w:val="000000"/>
          <w:sz w:val="20"/>
        </w:rPr>
        <w:t>ANNEX III</w:t>
        <w:br/>
        <w:br/>
      </w:r>
      <w:r>
        <w:rPr>
          <w:rFonts w:ascii="Arial" w:hAnsi="Arial"/>
          <w:b/>
          <w:color w:val="000000"/>
          <w:sz w:val="20"/>
          <w:u w:val="single"/>
        </w:rPr>
        <w:t>Resolutions</w:t>
      </w:r>
    </w:p>
    <w:p>
      <w:pPr>
        <w:pStyle w:val="TextBody"/>
        <w:bidi w:val="0"/>
        <w:jc w:val="center"/>
        <w:rPr>
          <w:rFonts w:ascii="Arial" w:hAnsi="Arial"/>
          <w:b w:val="false"/>
          <w:color w:val="000000"/>
          <w:sz w:val="20"/>
        </w:rPr>
      </w:pPr>
      <w:r>
        <w:rPr>
          <w:rFonts w:ascii="Arial" w:hAnsi="Arial"/>
          <w:b w:val="false"/>
          <w:color w:val="000000"/>
          <w:sz w:val="20"/>
        </w:rPr>
        <w:t>[see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Arial" w:hAnsi="Arial"/>
          <w:b/>
          <w:smallCaps/>
          <w:color w:val="000000"/>
          <w:sz w:val="20"/>
        </w:rPr>
      </w:pPr>
      <w:r>
        <w:rPr>
          <w:rFonts w:ascii="Arial" w:hAnsi="Arial"/>
          <w:b/>
          <w:smallCaps/>
          <w:color w:val="000000"/>
          <w:sz w:val="20"/>
        </w:rPr>
        <w:t>EXHIBIT D</w:t>
      </w:r>
    </w:p>
    <w:p>
      <w:pPr>
        <w:pStyle w:val="TextBody"/>
        <w:bidi w:val="0"/>
        <w:spacing w:before="0" w:after="240"/>
        <w:jc w:val="center"/>
        <w:rPr>
          <w:rFonts w:ascii="Arial" w:hAnsi="Arial"/>
          <w:b/>
          <w:smallCaps/>
          <w:color w:val="000000"/>
          <w:sz w:val="20"/>
        </w:rPr>
      </w:pPr>
      <w:r>
        <w:rPr>
          <w:rFonts w:ascii="Arial" w:hAnsi="Arial"/>
          <w:b/>
          <w:smallCaps/>
          <w:color w:val="000000"/>
          <w:sz w:val="20"/>
        </w:rPr>
        <w:t>FORM OF COMPLIANCE CERTIFICATE</w:t>
      </w:r>
    </w:p>
    <w:p>
      <w:pPr>
        <w:pStyle w:val="TextBody"/>
        <w:bidi w:val="0"/>
        <w:jc w:val="left"/>
        <w:rPr/>
      </w:pPr>
      <w:r>
        <w:rPr/>
        <w:t> </w:t>
      </w:r>
    </w:p>
    <w:tbl>
      <w:tblPr>
        <w:tblW w:w="4697" w:type="dxa"/>
        <w:jc w:val="left"/>
        <w:tblInd w:w="0" w:type="dxa"/>
        <w:tblLayout w:type="fixed"/>
        <w:tblCellMar>
          <w:top w:w="28" w:type="dxa"/>
          <w:left w:w="28" w:type="dxa"/>
          <w:bottom w:w="28" w:type="dxa"/>
          <w:right w:w="28" w:type="dxa"/>
        </w:tblCellMar>
      </w:tblPr>
      <w:tblGrid>
        <w:gridCol w:w="751"/>
        <w:gridCol w:w="3946"/>
      </w:tblGrid>
      <w:tr>
        <w:trPr/>
        <w:tc>
          <w:tcPr>
            <w:tcW w:w="751"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40"/>
              <w:jc w:val="left"/>
              <w:rPr>
                <w:rFonts w:ascii="Arial" w:hAnsi="Arial"/>
                <w:b w:val="false"/>
                <w:color w:val="000000"/>
                <w:sz w:val="20"/>
              </w:rPr>
            </w:pPr>
            <w:r>
              <w:rPr>
                <w:rFonts w:ascii="Arial" w:hAnsi="Arial"/>
                <w:b w:val="false"/>
                <w:color w:val="000000"/>
                <w:sz w:val="20"/>
              </w:rPr>
              <w:t>TO:</w:t>
            </w:r>
          </w:p>
        </w:tc>
        <w:tc>
          <w:tcPr>
            <w:tcW w:w="3946" w:type="dxa"/>
            <w:tcBorders/>
            <w:tcMar>
              <w:top w:w="0" w:type="dxa"/>
              <w:left w:w="0" w:type="dxa"/>
              <w:bottom w:w="0" w:type="dxa"/>
              <w:right w:w="0" w:type="dxa"/>
            </w:tcMar>
            <w:vAlign w:val="center"/>
          </w:tcPr>
          <w:p>
            <w:pPr>
              <w:pStyle w:val="TableContents"/>
              <w:bidi w:val="0"/>
              <w:spacing w:before="0" w:after="240"/>
              <w:jc w:val="left"/>
              <w:rPr>
                <w:rFonts w:ascii="Arial" w:hAnsi="Arial"/>
                <w:b w:val="false"/>
                <w:color w:val="000000"/>
                <w:sz w:val="20"/>
              </w:rPr>
            </w:pPr>
            <w:r>
              <w:rPr>
                <w:rFonts w:ascii="Arial" w:hAnsi="Arial"/>
                <w:b w:val="false"/>
                <w:color w:val="000000"/>
                <w:sz w:val="20"/>
              </w:rPr>
              <w:t>Trinity Capital Inc., as Administrative Agent</w:t>
            </w:r>
          </w:p>
        </w:tc>
      </w:tr>
      <w:tr>
        <w:trPr/>
        <w:tc>
          <w:tcPr>
            <w:tcW w:w="751" w:type="dxa"/>
            <w:tcBorders/>
            <w:tcMar>
              <w:top w:w="0" w:type="dxa"/>
              <w:left w:w="0" w:type="dxa"/>
              <w:bottom w:w="0" w:type="dxa"/>
              <w:right w:w="0" w:type="dxa"/>
            </w:tcMar>
            <w:vAlign w:val="center"/>
          </w:tcPr>
          <w:p>
            <w:pPr>
              <w:pStyle w:val="TableContents"/>
              <w:bidi w:val="0"/>
              <w:spacing w:before="0" w:after="240"/>
              <w:jc w:val="left"/>
              <w:rPr>
                <w:rFonts w:ascii="Arial" w:hAnsi="Arial"/>
                <w:b w:val="false"/>
                <w:color w:val="000000"/>
                <w:sz w:val="20"/>
              </w:rPr>
            </w:pPr>
            <w:r>
              <w:rPr>
                <w:rFonts w:ascii="Arial" w:hAnsi="Arial"/>
                <w:b w:val="false"/>
                <w:color w:val="000000"/>
                <w:sz w:val="20"/>
              </w:rPr>
              <w:t>FROM:</w:t>
            </w:r>
          </w:p>
        </w:tc>
        <w:tc>
          <w:tcPr>
            <w:tcW w:w="394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Arial" w:hAnsi="Arial"/>
                <w:b w:val="false"/>
                <w:color w:val="000000"/>
                <w:sz w:val="20"/>
              </w:rPr>
              <w:t>TAYSHA GENE THERAPIES, INC.</w:t>
            </w:r>
            <w:r>
              <w:rPr>
                <w:rFonts w:ascii="Times New Roman" w:hAnsi="Times New Roman"/>
                <w:color w:val="000000"/>
                <w:sz w:val="20"/>
              </w:rPr>
              <w:t xml:space="preserve"> </w:t>
            </w:r>
          </w:p>
        </w:tc>
      </w:tr>
    </w:tbl>
    <w:p>
      <w:pPr>
        <w:pStyle w:val="TextBody"/>
        <w:bidi w:val="0"/>
        <w:spacing w:before="0" w:after="240"/>
        <w:jc w:val="both"/>
        <w:rPr>
          <w:rFonts w:ascii="Times New Roman" w:hAnsi="Times New Roman"/>
          <w:sz w:val="20"/>
        </w:rPr>
      </w:pPr>
      <w:r>
        <w:rPr>
          <w:rFonts w:ascii="Arial" w:hAnsi="Arial"/>
          <w:b w:val="false"/>
          <w:color w:val="000000"/>
          <w:sz w:val="20"/>
        </w:rPr>
        <w:t>The undersigned authorized officer (“</w:t>
      </w:r>
      <w:r>
        <w:rPr>
          <w:rFonts w:ascii="Arial" w:hAnsi="Arial"/>
          <w:b w:val="false"/>
          <w:color w:val="000000"/>
          <w:sz w:val="20"/>
          <w:u w:val="single"/>
        </w:rPr>
        <w:t>Officer</w:t>
      </w:r>
      <w:r>
        <w:rPr>
          <w:rFonts w:ascii="Times New Roman" w:hAnsi="Times New Roman"/>
          <w:color w:val="000000"/>
          <w:sz w:val="20"/>
        </w:rPr>
        <w:t>”</w:t>
      </w:r>
      <w:r>
        <w:rPr>
          <w:rFonts w:ascii="Arial" w:hAnsi="Arial"/>
          <w:b w:val="false"/>
          <w:color w:val="000000"/>
          <w:sz w:val="20"/>
        </w:rPr>
        <w:t>) of TAYSHA GENE THERAPIES, INC. (“</w:t>
      </w:r>
      <w:r>
        <w:rPr>
          <w:rFonts w:ascii="Arial" w:hAnsi="Arial"/>
          <w:b w:val="false"/>
          <w:color w:val="000000"/>
          <w:sz w:val="20"/>
          <w:u w:val="single"/>
        </w:rPr>
        <w:t>Borrower</w:t>
      </w:r>
      <w:r>
        <w:rPr>
          <w:rFonts w:ascii="Times New Roman" w:hAnsi="Times New Roman"/>
          <w:color w:val="000000"/>
          <w:sz w:val="20"/>
        </w:rPr>
        <w:t>”</w:t>
      </w:r>
      <w:r>
        <w:rPr>
          <w:rFonts w:ascii="Arial" w:hAnsi="Arial"/>
          <w:b w:val="false"/>
          <w:color w:val="000000"/>
          <w:sz w:val="20"/>
        </w:rPr>
        <w:t>), hereby certifies that in accordance with the terms and conditions of the Loan and Security Agreement dated as of November 13, 2023 , by and among Borrower, the Lenders party thereto, and Trinity Capital Inc., as administrative agent and collateral agent for the Lenders (“</w:t>
      </w:r>
      <w:r>
        <w:rPr>
          <w:rFonts w:ascii="Arial" w:hAnsi="Arial"/>
          <w:b w:val="false"/>
          <w:color w:val="000000"/>
          <w:sz w:val="20"/>
          <w:u w:val="single"/>
        </w:rPr>
        <w:t>Administrative Agent</w:t>
      </w:r>
      <w:r>
        <w:rPr>
          <w:rFonts w:ascii="Times New Roman" w:hAnsi="Times New Roman"/>
          <w:color w:val="000000"/>
          <w:sz w:val="20"/>
        </w:rPr>
        <w:t>”</w:t>
      </w:r>
      <w:r>
        <w:rPr>
          <w:rFonts w:ascii="Arial" w:hAnsi="Arial"/>
          <w:b w:val="false"/>
          <w:color w:val="000000"/>
          <w:sz w:val="20"/>
        </w:rPr>
        <w:t>) (the “</w:t>
      </w:r>
      <w:r>
        <w:rPr>
          <w:rFonts w:ascii="Arial" w:hAnsi="Arial"/>
          <w:b w:val="false"/>
          <w:color w:val="000000"/>
          <w:sz w:val="20"/>
          <w:u w:val="single"/>
        </w:rPr>
        <w:t>Loan Agreement</w:t>
      </w:r>
      <w:r>
        <w:rPr>
          <w:rFonts w:ascii="Arial" w:hAnsi="Arial"/>
          <w:b w:val="false"/>
          <w:color w:val="000000"/>
          <w:sz w:val="20"/>
        </w:rPr>
        <w:t>;” capitalized terms used but not otherwise defined herein shall have the meanings given them in the Loan Agreement),</w:t>
      </w:r>
    </w:p>
    <w:p>
      <w:pPr>
        <w:pStyle w:val="TextBody"/>
        <w:bidi w:val="0"/>
        <w:spacing w:before="0" w:after="240"/>
        <w:jc w:val="both"/>
        <w:rPr>
          <w:rFonts w:ascii="Arial" w:hAnsi="Arial"/>
          <w:b w:val="false"/>
          <w:color w:val="000000"/>
          <w:sz w:val="20"/>
        </w:rPr>
      </w:pPr>
      <w:r>
        <w:rPr>
          <w:rFonts w:ascii="Arial" w:hAnsi="Arial"/>
          <w:b w:val="false"/>
          <w:color w:val="000000"/>
          <w:sz w:val="20"/>
        </w:rPr>
        <w:t>(a) Borrower is in complete compliance for the period ending _______________ with all required covenants except as noted below;</w:t>
      </w:r>
    </w:p>
    <w:p>
      <w:pPr>
        <w:pStyle w:val="TextBody"/>
        <w:bidi w:val="0"/>
        <w:spacing w:before="0" w:after="240"/>
        <w:jc w:val="both"/>
        <w:rPr>
          <w:rFonts w:ascii="Arial" w:hAnsi="Arial"/>
          <w:b w:val="false"/>
          <w:color w:val="000000"/>
          <w:sz w:val="20"/>
        </w:rPr>
      </w:pPr>
      <w:r>
        <w:rPr>
          <w:rFonts w:ascii="Arial" w:hAnsi="Arial"/>
          <w:b w:val="false"/>
          <w:color w:val="000000"/>
          <w:sz w:val="20"/>
        </w:rPr>
        <w:t>(b) There are no Potential Events of Default or Events of Default, except as noted below;</w:t>
      </w:r>
    </w:p>
    <w:p>
      <w:pPr>
        <w:pStyle w:val="TextBody"/>
        <w:bidi w:val="0"/>
        <w:spacing w:before="0" w:after="240"/>
        <w:jc w:val="both"/>
        <w:rPr>
          <w:rFonts w:ascii="Arial" w:hAnsi="Arial"/>
          <w:b w:val="false"/>
          <w:color w:val="000000"/>
          <w:sz w:val="20"/>
        </w:rPr>
      </w:pPr>
      <w:r>
        <w:rPr>
          <w:rFonts w:ascii="Arial" w:hAnsi="Arial"/>
          <w:b w:val="false"/>
          <w:color w:val="000000"/>
          <w:sz w:val="20"/>
        </w:rPr>
        <w:t>(c) 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pStyle w:val="TextBody"/>
        <w:bidi w:val="0"/>
        <w:spacing w:before="0" w:after="240"/>
        <w:jc w:val="both"/>
        <w:rPr>
          <w:rFonts w:ascii="Arial" w:hAnsi="Arial"/>
          <w:b w:val="false"/>
          <w:color w:val="000000"/>
          <w:sz w:val="20"/>
        </w:rPr>
      </w:pPr>
      <w:r>
        <w:rPr>
          <w:rFonts w:ascii="Arial" w:hAnsi="Arial"/>
          <w:b w:val="false"/>
          <w:color w:val="000000"/>
          <w:sz w:val="20"/>
        </w:rPr>
        <w:t>(d) Borrower and each Subsidiary has filed all federal, state and other tax returns that are required to be filed and has paid all taxes shown thereon to be due, together with applicable interest and penalties, and all other taxes, fees or other charges imposed on it or any of its property by any governmental or regulatory authority in accordance with the terms of the Loan Agreement. No tax Liens have been filed, and, to the Knowledge of Borrower, no claim is being asserted, with respect to any such tax, fee or other charge.</w:t>
      </w:r>
    </w:p>
    <w:p>
      <w:pPr>
        <w:pStyle w:val="TextBody"/>
        <w:bidi w:val="0"/>
        <w:spacing w:before="0" w:after="240"/>
        <w:jc w:val="both"/>
        <w:rPr>
          <w:rFonts w:ascii="Arial" w:hAnsi="Arial"/>
          <w:b w:val="false"/>
          <w:color w:val="000000"/>
          <w:sz w:val="20"/>
        </w:rPr>
      </w:pPr>
      <w:r>
        <w:rPr>
          <w:rFonts w:ascii="Arial" w:hAnsi="Arial"/>
          <w:b w:val="false"/>
          <w:color w:val="000000"/>
          <w:sz w:val="20"/>
        </w:rPr>
        <w:t>(e) No Liens have been levied or claims made against Borrower or any of its Subsidiaries relating to unpaid employee payroll or benefits of which Borrower has not previously provided written notification to Administrative Agent.</w:t>
      </w:r>
    </w:p>
    <w:p>
      <w:pPr>
        <w:pStyle w:val="TextBody"/>
        <w:bidi w:val="0"/>
        <w:spacing w:before="0" w:after="240"/>
        <w:jc w:val="both"/>
        <w:rPr>
          <w:rFonts w:ascii="Times New Roman" w:hAnsi="Times New Roman"/>
          <w:sz w:val="20"/>
        </w:rPr>
      </w:pPr>
      <w:r>
        <w:rPr>
          <w:rFonts w:ascii="Arial" w:hAnsi="Arial"/>
          <w:b w:val="false"/>
          <w:color w:val="000000"/>
          <w:sz w:val="20"/>
        </w:rPr>
        <w:t>Attached are the required documents, if any, supporting our certification(s). The Officer, on behalf of Borrower, further certifies that the attached financial statements are prepared in accordance with GAAP applied on a consistent basis from one period to the next except as explained in an accompanying letter or footnotes and except, in the case of unaudited financial statements, for the absence of footnotes and subject to year</w:t>
        <w:noBreakHyphen/>
        <w:t>end audit adjustments as to the interim financial statements.</w:t>
      </w:r>
      <w:r>
        <w:rPr>
          <w:rFonts w:ascii="Times New Roman" w:hAnsi="Times New Roman"/>
          <w:color w:val="000000"/>
          <w:sz w:val="20"/>
        </w:rPr>
        <w:t xml:space="preserve"> </w:t>
      </w:r>
    </w:p>
    <w:p>
      <w:pPr>
        <w:pStyle w:val="TextBody"/>
        <w:bidi w:val="0"/>
        <w:spacing w:before="0" w:after="120"/>
        <w:jc w:val="left"/>
        <w:rPr>
          <w:rFonts w:ascii="Arial" w:hAnsi="Arial"/>
          <w:b/>
          <w:color w:val="000000"/>
          <w:sz w:val="20"/>
        </w:rPr>
      </w:pPr>
      <w:r>
        <w:rPr>
          <w:rFonts w:ascii="Arial" w:hAnsi="Arial"/>
          <w:b/>
          <w:color w:val="000000"/>
          <w:sz w:val="20"/>
        </w:rPr>
        <w:t>Please indicate compliance status since the last Compliance Certificate by circling Yes, No, or N/A under “Complies” column.</w:t>
      </w:r>
    </w:p>
    <w:p>
      <w:pPr>
        <w:pStyle w:val="TextBody"/>
        <w:bidi w:val="0"/>
        <w:spacing w:before="0" w:after="120"/>
        <w:jc w:val="left"/>
        <w:rPr/>
      </w:pPr>
      <w:r>
        <w:rPr/>
        <w:t> </w:t>
      </w:r>
    </w:p>
    <w:p>
      <w:pPr>
        <w:pStyle w:val="TextBody"/>
        <w:bidi w:val="0"/>
        <w:jc w:val="center"/>
        <w:rPr>
          <w:rFonts w:ascii="Arial" w:hAnsi="Arial"/>
          <w:b w:val="false"/>
          <w:color w:val="000000"/>
          <w:sz w:val="20"/>
        </w:rPr>
      </w:pPr>
      <w:r>
        <w:rPr>
          <w:rFonts w:ascii="Arial" w:hAnsi="Arial"/>
          <w:b w:val="false"/>
          <w:color w:val="000000"/>
          <w:sz w:val="20"/>
        </w:rPr>
        <w:t>D-1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
        <w:gridCol w:w="2499"/>
        <w:gridCol w:w="5506"/>
        <w:gridCol w:w="691"/>
        <w:gridCol w:w="451"/>
        <w:gridCol w:w="346"/>
        <w:gridCol w:w="444"/>
      </w:tblGrid>
      <w:tr>
        <w:trPr/>
        <w:tc>
          <w:tcPr>
            <w:tcW w:w="268"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499"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Reporting Covenant</w:t>
            </w:r>
          </w:p>
        </w:tc>
        <w:tc>
          <w:tcPr>
            <w:tcW w:w="55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Requirement</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Actual</w:t>
            </w:r>
          </w:p>
        </w:tc>
        <w:tc>
          <w:tcPr>
            <w:tcW w:w="1241"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Complies</w:t>
            </w:r>
          </w:p>
        </w:tc>
      </w:tr>
      <w:tr>
        <w:trPr/>
        <w:tc>
          <w:tcPr>
            <w:tcW w:w="26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1.</w:t>
            </w:r>
          </w:p>
        </w:tc>
        <w:tc>
          <w:tcPr>
            <w:tcW w:w="2499" w:type="dxa"/>
            <w:tcBorders/>
            <w:tcMar>
              <w:top w:w="0" w:type="dxa"/>
              <w:left w:w="0" w:type="dxa"/>
              <w:bottom w:w="0" w:type="dxa"/>
              <w:right w:w="0" w:type="dxa"/>
            </w:tcMar>
            <w:vAlign w:val="center"/>
          </w:tcPr>
          <w:p>
            <w:pPr>
              <w:pStyle w:val="TableContents"/>
              <w:bidi w:val="0"/>
              <w:spacing w:before="0" w:after="120"/>
              <w:jc w:val="left"/>
              <w:rPr>
                <w:rFonts w:ascii="Arial" w:hAnsi="Arial"/>
                <w:b w:val="false"/>
                <w:color w:val="000000"/>
                <w:sz w:val="20"/>
              </w:rPr>
            </w:pPr>
            <w:r>
              <w:rPr>
                <w:rFonts w:ascii="Arial" w:hAnsi="Arial"/>
                <w:b w:val="false"/>
                <w:color w:val="000000"/>
                <w:sz w:val="20"/>
              </w:rPr>
              <w:t>Quarterly financial statements</w:t>
            </w:r>
          </w:p>
        </w:tc>
        <w:tc>
          <w:tcPr>
            <w:tcW w:w="550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Quarterly within 45 days</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444"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N/A</w:t>
            </w:r>
          </w:p>
        </w:tc>
      </w:tr>
      <w:tr>
        <w:trPr/>
        <w:tc>
          <w:tcPr>
            <w:tcW w:w="26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w:t>
            </w:r>
          </w:p>
        </w:tc>
        <w:tc>
          <w:tcPr>
            <w:tcW w:w="2499" w:type="dxa"/>
            <w:tcBorders/>
            <w:tcMar>
              <w:top w:w="0" w:type="dxa"/>
              <w:left w:w="0" w:type="dxa"/>
              <w:bottom w:w="0" w:type="dxa"/>
              <w:right w:w="0" w:type="dxa"/>
            </w:tcMar>
            <w:vAlign w:val="center"/>
          </w:tcPr>
          <w:p>
            <w:pPr>
              <w:pStyle w:val="TableContents"/>
              <w:bidi w:val="0"/>
              <w:spacing w:before="0" w:after="120"/>
              <w:jc w:val="left"/>
              <w:rPr>
                <w:rFonts w:ascii="Arial" w:hAnsi="Arial"/>
                <w:b w:val="false"/>
                <w:color w:val="000000"/>
                <w:sz w:val="20"/>
              </w:rPr>
            </w:pPr>
            <w:r>
              <w:rPr>
                <w:rFonts w:ascii="Arial" w:hAnsi="Arial"/>
                <w:b w:val="false"/>
                <w:color w:val="000000"/>
                <w:sz w:val="20"/>
              </w:rPr>
              <w:t>Compliance Certificate</w:t>
            </w:r>
          </w:p>
        </w:tc>
        <w:tc>
          <w:tcPr>
            <w:tcW w:w="550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Quarterly within 45 days</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444"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N/A</w:t>
            </w:r>
          </w:p>
        </w:tc>
      </w:tr>
      <w:tr>
        <w:trPr/>
        <w:tc>
          <w:tcPr>
            <w:tcW w:w="26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w:t>
            </w:r>
          </w:p>
        </w:tc>
        <w:tc>
          <w:tcPr>
            <w:tcW w:w="2499" w:type="dxa"/>
            <w:tcBorders/>
            <w:tcMar>
              <w:top w:w="0" w:type="dxa"/>
              <w:left w:w="0" w:type="dxa"/>
              <w:bottom w:w="0" w:type="dxa"/>
              <w:right w:w="0" w:type="dxa"/>
            </w:tcMar>
            <w:vAlign w:val="center"/>
          </w:tcPr>
          <w:p>
            <w:pPr>
              <w:pStyle w:val="TableContents"/>
              <w:bidi w:val="0"/>
              <w:spacing w:before="0" w:after="120"/>
              <w:jc w:val="left"/>
              <w:rPr>
                <w:rFonts w:ascii="Arial" w:hAnsi="Arial"/>
                <w:b w:val="false"/>
                <w:color w:val="000000"/>
                <w:sz w:val="20"/>
              </w:rPr>
            </w:pPr>
            <w:r>
              <w:rPr>
                <w:rFonts w:ascii="Arial" w:hAnsi="Arial"/>
                <w:b w:val="false"/>
                <w:color w:val="000000"/>
                <w:sz w:val="20"/>
              </w:rPr>
              <w:t>Annual (CPA Audited) statements</w:t>
            </w:r>
          </w:p>
        </w:tc>
        <w:tc>
          <w:tcPr>
            <w:tcW w:w="550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Within 180 days after FYE</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444"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N/A</w:t>
            </w:r>
          </w:p>
        </w:tc>
      </w:tr>
      <w:tr>
        <w:trPr/>
        <w:tc>
          <w:tcPr>
            <w:tcW w:w="26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w:t>
            </w:r>
          </w:p>
        </w:tc>
        <w:tc>
          <w:tcPr>
            <w:tcW w:w="249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Arial" w:hAnsi="Arial"/>
                <w:b w:val="false"/>
                <w:color w:val="000000"/>
                <w:sz w:val="20"/>
              </w:rPr>
              <w:t>Annual Financial Projections</w:t>
            </w:r>
            <w:r>
              <w:rPr>
                <w:rFonts w:ascii="Times New Roman" w:hAnsi="Times New Roman"/>
                <w:color w:val="000000"/>
                <w:sz w:val="20"/>
              </w:rPr>
              <w:t xml:space="preserve"> </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Within 10 days of board of directors Approval but no later than 60 days after FYE</w:t>
            </w:r>
            <w:r>
              <w:rPr>
                <w:rFonts w:ascii="Times New Roman" w:hAnsi="Times New Roman"/>
                <w:color w:val="000000"/>
                <w:sz w:val="20"/>
              </w:rPr>
              <w:t xml:space="preserve">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444"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N/A</w:t>
            </w:r>
          </w:p>
        </w:tc>
      </w:tr>
      <w:tr>
        <w:trPr/>
        <w:tc>
          <w:tcPr>
            <w:tcW w:w="26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w:t>
            </w:r>
          </w:p>
        </w:tc>
        <w:tc>
          <w:tcPr>
            <w:tcW w:w="2499" w:type="dxa"/>
            <w:tcBorders/>
            <w:tcMar>
              <w:top w:w="0" w:type="dxa"/>
              <w:left w:w="0" w:type="dxa"/>
              <w:bottom w:w="0" w:type="dxa"/>
              <w:right w:w="0" w:type="dxa"/>
            </w:tcMar>
            <w:vAlign w:val="center"/>
          </w:tcPr>
          <w:p>
            <w:pPr>
              <w:pStyle w:val="TableContents"/>
              <w:bidi w:val="0"/>
              <w:spacing w:before="0" w:after="120"/>
              <w:jc w:val="left"/>
              <w:rPr>
                <w:rFonts w:ascii="Arial" w:hAnsi="Arial"/>
                <w:b w:val="false"/>
                <w:color w:val="000000"/>
                <w:sz w:val="20"/>
              </w:rPr>
            </w:pPr>
            <w:r>
              <w:rPr>
                <w:rFonts w:ascii="Arial" w:hAnsi="Arial"/>
                <w:b w:val="false"/>
                <w:color w:val="000000"/>
                <w:sz w:val="20"/>
              </w:rPr>
              <w:t>8</w:t>
              <w:noBreakHyphen/>
              <w:t>K, 10</w:t>
              <w:noBreakHyphen/>
              <w:t>K and 10</w:t>
              <w:noBreakHyphen/>
              <w:t>Q Filings</w:t>
            </w:r>
          </w:p>
        </w:tc>
        <w:tc>
          <w:tcPr>
            <w:tcW w:w="550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At time of filing</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444"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N/A</w:t>
            </w:r>
          </w:p>
        </w:tc>
      </w:tr>
      <w:tr>
        <w:trPr/>
        <w:tc>
          <w:tcPr>
            <w:tcW w:w="26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6.</w:t>
            </w:r>
          </w:p>
        </w:tc>
        <w:tc>
          <w:tcPr>
            <w:tcW w:w="2499" w:type="dxa"/>
            <w:tcBorders/>
            <w:tcMar>
              <w:top w:w="0" w:type="dxa"/>
              <w:left w:w="0" w:type="dxa"/>
              <w:bottom w:w="0" w:type="dxa"/>
              <w:right w:w="0" w:type="dxa"/>
            </w:tcMar>
            <w:vAlign w:val="center"/>
          </w:tcPr>
          <w:p>
            <w:pPr>
              <w:pStyle w:val="TableContents"/>
              <w:bidi w:val="0"/>
              <w:spacing w:before="0" w:after="120"/>
              <w:jc w:val="left"/>
              <w:rPr>
                <w:rFonts w:ascii="Arial" w:hAnsi="Arial"/>
                <w:b w:val="false"/>
                <w:color w:val="000000"/>
                <w:sz w:val="20"/>
              </w:rPr>
            </w:pPr>
            <w:r>
              <w:rPr>
                <w:rFonts w:ascii="Arial" w:hAnsi="Arial"/>
                <w:b w:val="false"/>
                <w:color w:val="000000"/>
                <w:sz w:val="20"/>
              </w:rPr>
              <w:t>IP Report</w:t>
            </w:r>
          </w:p>
        </w:tc>
        <w:tc>
          <w:tcPr>
            <w:tcW w:w="550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Concurrently with Compliance Certificate</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444"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N/A</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*To the extent the foregoing documents are included in materials otherwise filed with Securities and Exchange Commission, such documents shall be deemed to have been delivered on the date on which Borrower posts such documents, or provides a link thereto, on Borrower’s website.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u w:val="single"/>
        </w:rPr>
      </w:pPr>
      <w:r>
        <w:rPr>
          <w:rFonts w:ascii="Arial" w:hAnsi="Arial"/>
          <w:b/>
          <w:color w:val="000000"/>
          <w:sz w:val="20"/>
          <w:u w:val="single"/>
        </w:rPr>
        <w:t>Deposit and Securities Accounts</w:t>
      </w:r>
    </w:p>
    <w:p>
      <w:pPr>
        <w:pStyle w:val="TextBody"/>
        <w:bidi w:val="0"/>
        <w:jc w:val="left"/>
        <w:rPr>
          <w:rFonts w:ascii="Arial" w:hAnsi="Arial"/>
          <w:b/>
          <w:i/>
          <w:color w:val="000000"/>
          <w:sz w:val="20"/>
        </w:rPr>
      </w:pPr>
      <w:r>
        <w:rPr>
          <w:rFonts w:ascii="Arial" w:hAnsi="Arial"/>
          <w:b/>
          <w:i/>
          <w:color w:val="000000"/>
          <w:sz w:val="20"/>
        </w:rPr>
        <w:t>(Please list all accounts; attach separate sheet if additional space needed)</w:t>
      </w:r>
    </w:p>
    <w:p>
      <w:pPr>
        <w:pStyle w:val="TextBody"/>
        <w:bidi w:val="0"/>
        <w:jc w:val="left"/>
        <w:rPr/>
      </w:pPr>
      <w:r>
        <w:rPr/>
        <w:t> </w:t>
      </w:r>
    </w:p>
    <w:tbl>
      <w:tblPr>
        <w:tblW w:w="8673" w:type="dxa"/>
        <w:jc w:val="left"/>
        <w:tblInd w:w="0" w:type="dxa"/>
        <w:tblLayout w:type="fixed"/>
        <w:tblCellMar>
          <w:top w:w="28" w:type="dxa"/>
          <w:left w:w="28" w:type="dxa"/>
          <w:bottom w:w="28" w:type="dxa"/>
          <w:right w:w="28" w:type="dxa"/>
        </w:tblCellMar>
      </w:tblPr>
      <w:tblGrid>
        <w:gridCol w:w="286"/>
        <w:gridCol w:w="1636"/>
        <w:gridCol w:w="1666"/>
        <w:gridCol w:w="813"/>
        <w:gridCol w:w="627"/>
        <w:gridCol w:w="1952"/>
        <w:gridCol w:w="1693"/>
      </w:tblGrid>
      <w:tr>
        <w:trPr/>
        <w:tc>
          <w:tcPr>
            <w:tcW w:w="28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r>
      <w:tr>
        <w:trPr/>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Institution Name</w:t>
            </w:r>
          </w:p>
        </w:tc>
        <w:tc>
          <w:tcPr>
            <w:tcW w:w="16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Account Number</w:t>
            </w:r>
          </w:p>
        </w:tc>
        <w:tc>
          <w:tcPr>
            <w:tcW w:w="144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New Account?</w:t>
            </w:r>
          </w:p>
        </w:tc>
        <w:tc>
          <w:tcPr>
            <w:tcW w:w="3645"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Account Control Agreement in place?</w:t>
            </w:r>
          </w:p>
        </w:tc>
      </w:tr>
      <w:tr>
        <w:trPr/>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627"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195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1693"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r>
        <w:trPr/>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627"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195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1693"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r>
        <w:trPr/>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627"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195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1693"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r>
        <w:trPr/>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627"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c>
          <w:tcPr>
            <w:tcW w:w="195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1693"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bl>
    <w:p>
      <w:pPr>
        <w:pStyle w:val="TextBody"/>
        <w:bidi w:val="0"/>
        <w:jc w:val="left"/>
        <w:rPr/>
      </w:pPr>
      <w:r>
        <w:rPr/>
        <w:t> </w:t>
      </w:r>
    </w:p>
    <w:p>
      <w:pPr>
        <w:pStyle w:val="TextBody"/>
        <w:bidi w:val="0"/>
        <w:jc w:val="left"/>
        <w:rPr>
          <w:rFonts w:ascii="Arial" w:hAnsi="Arial"/>
          <w:b/>
          <w:color w:val="000000"/>
          <w:sz w:val="20"/>
          <w:u w:val="single"/>
        </w:rPr>
      </w:pPr>
      <w:r>
        <w:rPr>
          <w:rFonts w:ascii="Arial" w:hAnsi="Arial"/>
          <w:b/>
          <w:color w:val="000000"/>
          <w:sz w:val="20"/>
          <w:u w:val="single"/>
        </w:rPr>
        <w:t>Other Matters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
        <w:gridCol w:w="9099"/>
        <w:gridCol w:w="451"/>
        <w:gridCol w:w="392"/>
      </w:tblGrid>
      <w:tr>
        <w:trPr/>
        <w:tc>
          <w:tcPr>
            <w:tcW w:w="263" w:type="dxa"/>
            <w:tcBorders/>
            <w:vAlign w:val="center"/>
          </w:tcPr>
          <w:p>
            <w:pPr>
              <w:pStyle w:val="TableContents"/>
              <w:bidi w:val="0"/>
              <w:spacing w:before="0" w:after="283"/>
              <w:jc w:val="left"/>
              <w:rPr>
                <w:sz w:val="4"/>
                <w:szCs w:val="4"/>
              </w:rPr>
            </w:pPr>
            <w:r>
              <w:rPr>
                <w:sz w:val="4"/>
                <w:szCs w:val="4"/>
              </w:rPr>
            </w:r>
          </w:p>
        </w:tc>
        <w:tc>
          <w:tcPr>
            <w:tcW w:w="909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w:t>
            </w:r>
          </w:p>
        </w:tc>
        <w:tc>
          <w:tcPr>
            <w:tcW w:w="9099"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Have there been any changes in Key Persons since the last Compliance Certificate?</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9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r>
        <w:trPr/>
        <w:tc>
          <w:tcPr>
            <w:tcW w:w="2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w:t>
            </w:r>
          </w:p>
        </w:tc>
        <w:tc>
          <w:tcPr>
            <w:tcW w:w="9099"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Have there been any transfers/sales/dispositions/retirement of Collateral or IP prohibited by the Loan Agreement?</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9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r>
        <w:trPr/>
        <w:tc>
          <w:tcPr>
            <w:tcW w:w="2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w:t>
            </w:r>
          </w:p>
        </w:tc>
        <w:tc>
          <w:tcPr>
            <w:tcW w:w="9099"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Have there been any new or pending material claims or causes of action against Borrower?</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9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r>
        <w:trPr/>
        <w:tc>
          <w:tcPr>
            <w:tcW w:w="2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w:t>
            </w:r>
          </w:p>
        </w:tc>
        <w:tc>
          <w:tcPr>
            <w:tcW w:w="9099"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Has Borrower provided the Administrative Agent with all notices required to be delivered under Sections 3.2, 3.7, 3.8(c), 4.2 and 4.3 of the Loan Agreement?</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9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r>
        <w:trPr/>
        <w:tc>
          <w:tcPr>
            <w:tcW w:w="2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5.</w:t>
            </w:r>
          </w:p>
        </w:tc>
        <w:tc>
          <w:tcPr>
            <w:tcW w:w="9099"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Have there been any material updates to the contents of the Perfection Certificate last delivered? If yes, please explain.</w:t>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Yes</w:t>
            </w:r>
          </w:p>
        </w:tc>
        <w:tc>
          <w:tcPr>
            <w:tcW w:w="392"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No</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b w:val="false"/>
          <w:color w:val="000000"/>
          <w:sz w:val="20"/>
        </w:rPr>
      </w:pPr>
      <w:r>
        <w:rPr>
          <w:rFonts w:ascii="Arial" w:hAnsi="Arial"/>
          <w:b w:val="false"/>
          <w:color w:val="000000"/>
          <w:sz w:val="20"/>
        </w:rPr>
        <w:t>D-2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Arial" w:hAnsi="Arial"/>
          <w:b/>
          <w:color w:val="000000"/>
          <w:sz w:val="20"/>
          <w:u w:val="single"/>
        </w:rPr>
      </w:pPr>
      <w:r>
        <w:rPr>
          <w:rFonts w:ascii="Arial" w:hAnsi="Arial"/>
          <w:b/>
          <w:color w:val="000000"/>
          <w:sz w:val="20"/>
          <w:u w:val="single"/>
        </w:rPr>
        <w:t>Exceptions</w:t>
      </w:r>
    </w:p>
    <w:p>
      <w:pPr>
        <w:pStyle w:val="TextBody"/>
        <w:bidi w:val="0"/>
        <w:spacing w:before="0" w:after="120"/>
        <w:jc w:val="left"/>
        <w:rPr>
          <w:rFonts w:ascii="Arial" w:hAnsi="Arial"/>
          <w:b w:val="false"/>
          <w:color w:val="000000"/>
          <w:sz w:val="20"/>
        </w:rPr>
      </w:pPr>
      <w:r>
        <w:rPr>
          <w:rFonts w:ascii="Arial" w:hAnsi="Arial"/>
          <w:b w:val="false"/>
          <w:color w:val="000000"/>
          <w:sz w:val="20"/>
        </w:rPr>
        <w:t>Please explain any exceptions with respect to the certification above: (If no exceptions exist, state “No exceptions.” Attach separate sheet if additional space needed.)</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TAYSHA GENE THERAPIES,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 xml:space="preserve">By: </w:t>
      </w:r>
    </w:p>
    <w:p>
      <w:pPr>
        <w:pStyle w:val="TextBody"/>
        <w:bidi w:val="0"/>
        <w:jc w:val="left"/>
        <w:rPr>
          <w:rFonts w:ascii="Arial" w:hAnsi="Arial"/>
          <w:b w:val="false"/>
          <w:color w:val="000000"/>
          <w:sz w:val="20"/>
        </w:rPr>
      </w:pPr>
      <w:r>
        <w:rPr>
          <w:rFonts w:ascii="Arial" w:hAnsi="Arial"/>
          <w:b w:val="false"/>
          <w:color w:val="000000"/>
          <w:sz w:val="20"/>
        </w:rPr>
        <w:t>Name: Kamran Alam</w:t>
      </w:r>
    </w:p>
    <w:p>
      <w:pPr>
        <w:pStyle w:val="TextBody"/>
        <w:bidi w:val="0"/>
        <w:jc w:val="left"/>
        <w:rPr>
          <w:rFonts w:ascii="Times New Roman" w:hAnsi="Times New Roman"/>
          <w:sz w:val="20"/>
        </w:rPr>
      </w:pPr>
      <w:r>
        <w:rPr>
          <w:rFonts w:ascii="Arial" w:hAnsi="Arial"/>
          <w:b w:val="false"/>
          <w:color w:val="000000"/>
          <w:sz w:val="20"/>
        </w:rPr>
        <w:t xml:space="preserve">Title: </w:t>
      </w:r>
      <w:r>
        <w:rPr>
          <w:rFonts w:ascii="Arial" w:hAnsi="Arial"/>
          <w:b w:val="false"/>
          <w:color w:val="000000"/>
          <w:sz w:val="20"/>
          <w:u w:val="single"/>
        </w:rPr>
        <w:t>Chief Financial Officer</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Date:</w:t>
      </w:r>
      <w:r>
        <w:rPr>
          <w:rFonts w:ascii="Times New Roman" w:hAnsi="Times New Roman"/>
          <w:color w:val="000000"/>
          <w:sz w:val="20"/>
          <w:u w:val="single"/>
        </w:rPr>
        <w:t xml:space="preserve"> </w:t>
      </w:r>
    </w:p>
    <w:p>
      <w:pPr>
        <w:pStyle w:val="TextBody"/>
        <w:bidi w:val="0"/>
        <w:jc w:val="left"/>
        <w:rPr/>
      </w:pPr>
      <w:r>
        <w:rPr/>
        <w:t> </w:t>
      </w:r>
    </w:p>
    <w:tbl>
      <w:tblPr>
        <w:tblW w:w="3630" w:type="dxa"/>
        <w:jc w:val="left"/>
        <w:tblInd w:w="0" w:type="dxa"/>
        <w:tblLayout w:type="fixed"/>
        <w:tblCellMar>
          <w:top w:w="28" w:type="dxa"/>
          <w:left w:w="28" w:type="dxa"/>
          <w:bottom w:w="28" w:type="dxa"/>
          <w:right w:w="28" w:type="dxa"/>
        </w:tblCellMar>
      </w:tblPr>
      <w:tblGrid>
        <w:gridCol w:w="2410"/>
        <w:gridCol w:w="1220"/>
      </w:tblGrid>
      <w:tr>
        <w:trPr/>
        <w:tc>
          <w:tcPr>
            <w:tcW w:w="241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63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ADMINISTRATIVE AGENT USE ONLY</w:t>
            </w:r>
          </w:p>
        </w:tc>
      </w:tr>
      <w:tr>
        <w:trPr/>
        <w:tc>
          <w:tcPr>
            <w:tcW w:w="2410"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Received by:</w:t>
            </w:r>
            <w:r>
              <w:rPr>
                <w:rFonts w:ascii="Times New Roman" w:hAnsi="Times New Roman"/>
                <w:color w:val="000000"/>
                <w:sz w:val="20"/>
              </w:rPr>
              <w:t xml:space="preserve"> </w:t>
            </w:r>
          </w:p>
        </w:tc>
        <w:tc>
          <w:tcPr>
            <w:tcW w:w="12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Date:</w:t>
            </w:r>
            <w:r>
              <w:rPr>
                <w:rFonts w:ascii="Times New Roman" w:hAnsi="Times New Roman"/>
                <w:color w:val="000000"/>
                <w:sz w:val="20"/>
              </w:rPr>
              <w:t xml:space="preserve"> </w:t>
            </w:r>
          </w:p>
        </w:tc>
      </w:tr>
      <w:tr>
        <w:trPr/>
        <w:tc>
          <w:tcPr>
            <w:tcW w:w="2410"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Verified by:</w:t>
            </w:r>
            <w:r>
              <w:rPr>
                <w:rFonts w:ascii="Times New Roman" w:hAnsi="Times New Roman"/>
                <w:color w:val="000000"/>
                <w:sz w:val="20"/>
              </w:rPr>
              <w:t xml:space="preserve"> </w:t>
            </w:r>
          </w:p>
        </w:tc>
        <w:tc>
          <w:tcPr>
            <w:tcW w:w="12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Date:</w:t>
            </w:r>
            <w:r>
              <w:rPr>
                <w:rFonts w:ascii="Times New Roman" w:hAnsi="Times New Roman"/>
                <w:color w:val="000000"/>
                <w:sz w:val="20"/>
              </w:rPr>
              <w:t xml:space="preserve"> </w:t>
            </w:r>
          </w:p>
        </w:tc>
      </w:tr>
      <w:tr>
        <w:trPr/>
        <w:tc>
          <w:tcPr>
            <w:tcW w:w="2410"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Compliance Status: Yes No</w:t>
            </w:r>
          </w:p>
        </w:tc>
      </w:tr>
    </w:tbl>
    <w:p>
      <w:pPr>
        <w:pStyle w:val="TextBody"/>
        <w:bidi w:val="0"/>
        <w:jc w:val="left"/>
        <w:rPr/>
      </w:pPr>
      <w:r>
        <w:rPr/>
        <w:t> </w:t>
      </w:r>
    </w:p>
    <w:p>
      <w:pPr>
        <w:pStyle w:val="TextBody"/>
        <w:bidi w:val="0"/>
        <w:jc w:val="center"/>
        <w:rPr>
          <w:rFonts w:ascii="Arial" w:hAnsi="Arial"/>
          <w:b w:val="false"/>
          <w:color w:val="000000"/>
          <w:sz w:val="20"/>
        </w:rPr>
      </w:pPr>
      <w:r>
        <w:rPr>
          <w:rFonts w:ascii="Arial" w:hAnsi="Arial"/>
          <w:b w:val="false"/>
          <w:color w:val="000000"/>
          <w:sz w:val="20"/>
        </w:rPr>
        <w:t>D-3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Arial" w:hAnsi="Arial"/>
          <w:b/>
          <w:smallCaps/>
          <w:color w:val="000000"/>
          <w:sz w:val="20"/>
        </w:rPr>
        <w:t>EXHIBIT E</w:t>
        <w:br/>
        <w:br/>
      </w:r>
      <w:r>
        <w:rPr>
          <w:rFonts w:ascii="Arial" w:hAnsi="Arial"/>
          <w:b/>
          <w:color w:val="000000"/>
          <w:sz w:val="20"/>
        </w:rPr>
        <w:t>Loan Advance Request Form</w:t>
      </w:r>
    </w:p>
    <w:p>
      <w:pPr>
        <w:pStyle w:val="TextBody"/>
        <w:bidi w:val="0"/>
        <w:jc w:val="left"/>
        <w:rPr>
          <w:rFonts w:ascii="Arial" w:hAnsi="Arial"/>
          <w:b w:val="false"/>
          <w:color w:val="000000"/>
          <w:sz w:val="20"/>
        </w:rPr>
      </w:pPr>
      <w:r>
        <w:rPr>
          <w:rFonts w:ascii="Arial" w:hAnsi="Arial"/>
          <w:b w:val="false"/>
          <w:color w:val="000000"/>
          <w:sz w:val="20"/>
        </w:rPr>
        <w:t>Email To: Date: _____________________</w:t>
      </w:r>
    </w:p>
    <w:p>
      <w:pPr>
        <w:pStyle w:val="TextBody"/>
        <w:bidi w:val="0"/>
        <w:jc w:val="left"/>
        <w:rPr/>
      </w:pPr>
      <w:r>
        <w:rPr/>
        <w:t> </w:t>
      </w:r>
    </w:p>
    <w:p>
      <w:pPr>
        <w:pStyle w:val="TextBody"/>
        <w:pBdr>
          <w:top w:val="single" w:sz="6" w:space="1" w:color="000000"/>
          <w:left w:val="single" w:sz="6" w:space="1" w:color="000000"/>
          <w:right w:val="single" w:sz="6" w:space="1" w:color="000000"/>
        </w:pBdr>
        <w:bidi w:val="0"/>
        <w:jc w:val="left"/>
        <w:rPr>
          <w:rFonts w:ascii="Times New Roman" w:hAnsi="Times New Roman"/>
          <w:sz w:val="20"/>
        </w:rPr>
      </w:pPr>
      <w:r>
        <w:rPr>
          <w:rFonts w:ascii="Arial" w:hAnsi="Arial"/>
          <w:b/>
          <w:smallCaps/>
          <w:color w:val="000000"/>
          <w:sz w:val="20"/>
        </w:rPr>
        <w:t>LOAN PAYMENT</w:t>
      </w:r>
      <w:r>
        <w:rPr>
          <w:rFonts w:ascii="Arial" w:hAnsi="Arial"/>
          <w:b/>
          <w:color w:val="000000"/>
          <w:sz w:val="20"/>
        </w:rPr>
        <w:t>:</w:t>
      </w:r>
    </w:p>
    <w:p>
      <w:pPr>
        <w:pStyle w:val="TextBody"/>
        <w:pBdr>
          <w:left w:val="single" w:sz="6" w:space="1" w:color="000000"/>
          <w:right w:val="single" w:sz="6" w:space="1" w:color="000000"/>
        </w:pBdr>
        <w:bidi w:val="0"/>
        <w:jc w:val="center"/>
        <w:rPr>
          <w:rFonts w:ascii="Times New Roman" w:hAnsi="Times New Roman"/>
          <w:sz w:val="20"/>
        </w:rPr>
      </w:pPr>
      <w:r>
        <w:rPr>
          <w:rFonts w:ascii="Arial" w:hAnsi="Arial"/>
          <w:b w:val="false"/>
          <w:color w:val="000000"/>
          <w:sz w:val="20"/>
        </w:rPr>
        <w:t>TAYSHA GENE THERAPIES, INC.</w:t>
      </w:r>
      <w:r>
        <w:rPr>
          <w:rFonts w:ascii="Times New Roman" w:hAnsi="Times New Roman"/>
          <w:color w:val="000000"/>
          <w:sz w:val="20"/>
        </w:rPr>
        <w:t xml:space="preserve"> </w:t>
      </w:r>
    </w:p>
    <w:p>
      <w:pPr>
        <w:pStyle w:val="TextBody"/>
        <w:pBdr>
          <w:left w:val="single" w:sz="6" w:space="1" w:color="000000"/>
          <w:right w:val="single" w:sz="6" w:space="1" w:color="000000"/>
        </w:pBdr>
        <w:bidi w:val="0"/>
        <w:jc w:val="center"/>
        <w:rPr/>
      </w:pPr>
      <w:r>
        <w:rPr/>
        <w:t>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From Account #________________________________ To Account #______________________________</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(Deposit Account #) (Loan Account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Principal $____________________________________ and/or Interest $____________________________</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Times New Roman" w:hAnsi="Times New Roman"/>
          <w:sz w:val="20"/>
        </w:rPr>
      </w:pPr>
      <w:r>
        <w:rPr>
          <w:rFonts w:ascii="Arial" w:hAnsi="Arial"/>
          <w:b w:val="false"/>
          <w:color w:val="000000"/>
          <w:sz w:val="20"/>
        </w:rPr>
        <w:t>Authorized Signature:</w:t>
      </w:r>
      <w:r>
        <w:rPr>
          <w:rFonts w:ascii="Times New Roman" w:hAnsi="Times New Roman"/>
          <w:color w:val="000000"/>
          <w:sz w:val="20"/>
          <w:u w:val="single"/>
        </w:rPr>
        <w:t xml:space="preserve"> </w:t>
      </w:r>
      <w:r>
        <w:rPr>
          <w:rFonts w:ascii="Arial" w:hAnsi="Arial"/>
          <w:b w:val="false"/>
          <w:color w:val="000000"/>
          <w:sz w:val="20"/>
        </w:rPr>
        <w:t xml:space="preserve">Phone Number: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 xml:space="preserve">Print Name/Title: </w:t>
      </w:r>
    </w:p>
    <w:p>
      <w:pPr>
        <w:pStyle w:val="TextBody"/>
        <w:pBdr>
          <w:left w:val="single" w:sz="6" w:space="1" w:color="000000"/>
          <w:bottom w:val="single" w:sz="6" w:space="1" w:color="000000"/>
          <w:right w:val="single" w:sz="6" w:space="1" w:color="000000"/>
        </w:pBdr>
        <w:bidi w:val="0"/>
        <w:jc w:val="left"/>
        <w:rPr/>
      </w:pPr>
      <w:r>
        <w:rPr/>
        <w:t> </w:t>
      </w:r>
    </w:p>
    <w:p>
      <w:pPr>
        <w:pStyle w:val="TextBody"/>
        <w:bidi w:val="0"/>
        <w:jc w:val="left"/>
        <w:rPr/>
      </w:pPr>
      <w:r>
        <w:rPr/>
        <w:t> </w:t>
      </w:r>
    </w:p>
    <w:p>
      <w:pPr>
        <w:pStyle w:val="TextBody"/>
        <w:pBdr>
          <w:top w:val="single" w:sz="6" w:space="1" w:color="000000"/>
          <w:left w:val="single" w:sz="6" w:space="1" w:color="000000"/>
          <w:right w:val="single" w:sz="6" w:space="1" w:color="000000"/>
        </w:pBdr>
        <w:bidi w:val="0"/>
        <w:jc w:val="left"/>
        <w:rPr>
          <w:rFonts w:ascii="Arial" w:hAnsi="Arial"/>
          <w:b/>
          <w:smallCaps/>
          <w:color w:val="000000"/>
          <w:sz w:val="20"/>
        </w:rPr>
      </w:pPr>
      <w:r>
        <w:rPr>
          <w:rFonts w:ascii="Arial" w:hAnsi="Arial"/>
          <w:b/>
          <w:smallCaps/>
          <w:color w:val="000000"/>
          <w:sz w:val="20"/>
        </w:rPr>
        <w:t>LOAN ADVANCE:</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Times New Roman" w:hAnsi="Times New Roman"/>
          <w:sz w:val="20"/>
        </w:rPr>
      </w:pPr>
      <w:r>
        <w:rPr>
          <w:rFonts w:ascii="Arial" w:hAnsi="Arial"/>
          <w:b w:val="false"/>
          <w:color w:val="000000"/>
          <w:sz w:val="20"/>
        </w:rPr>
        <w:t xml:space="preserve">Complete </w:t>
      </w:r>
      <w:r>
        <w:rPr>
          <w:rFonts w:ascii="Arial" w:hAnsi="Arial"/>
          <w:b w:val="false"/>
          <w:i/>
          <w:color w:val="000000"/>
          <w:sz w:val="20"/>
        </w:rPr>
        <w:t>Outgoing Wire Request</w:t>
      </w:r>
      <w:r>
        <w:rPr>
          <w:rFonts w:ascii="Times New Roman" w:hAnsi="Times New Roman"/>
          <w:color w:val="000000"/>
          <w:sz w:val="20"/>
        </w:rPr>
        <w:t xml:space="preserve"> </w:t>
      </w:r>
      <w:r>
        <w:rPr>
          <w:rFonts w:ascii="Arial" w:hAnsi="Arial"/>
          <w:b w:val="false"/>
          <w:color w:val="000000"/>
          <w:sz w:val="20"/>
        </w:rPr>
        <w:t>section below if all or a portion of the funds from this loan advance are for an outgoing wire.</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From Account #________________________________ To Account #_______________________________</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(Loan Account #) (Deposit Account #)</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Times New Roman" w:hAnsi="Times New Roman"/>
          <w:sz w:val="20"/>
        </w:rPr>
      </w:pPr>
      <w:r>
        <w:rPr>
          <w:rFonts w:ascii="Arial" w:hAnsi="Arial"/>
          <w:b w:val="false"/>
          <w:color w:val="000000"/>
          <w:sz w:val="20"/>
        </w:rPr>
        <w:t>Amount of Advance $___________________________ to be paid in accordance with the amortization schedule delivered pursuant to Section 2.1 of the Loan and Security Agreement.</w:t>
      </w:r>
      <w:r>
        <w:rPr>
          <w:rFonts w:ascii="Times New Roman" w:hAnsi="Times New Roman"/>
          <w:color w:val="000000"/>
          <w:sz w:val="20"/>
        </w:rPr>
        <w:t xml:space="preserve"> </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Times New Roman" w:hAnsi="Times New Roman"/>
          <w:sz w:val="20"/>
        </w:rPr>
      </w:pPr>
      <w:r>
        <w:rPr>
          <w:rFonts w:ascii="Arial" w:hAnsi="Arial"/>
          <w:b w:val="false"/>
          <w:color w:val="000000"/>
          <w:sz w:val="20"/>
        </w:rPr>
        <w:t>Authorized Signature:</w:t>
      </w:r>
      <w:r>
        <w:rPr>
          <w:rFonts w:ascii="Times New Roman" w:hAnsi="Times New Roman"/>
          <w:color w:val="000000"/>
          <w:sz w:val="20"/>
          <w:u w:val="single"/>
        </w:rPr>
        <w:t xml:space="preserve"> </w:t>
      </w:r>
      <w:r>
        <w:rPr>
          <w:rFonts w:ascii="Arial" w:hAnsi="Arial"/>
          <w:b w:val="false"/>
          <w:color w:val="000000"/>
          <w:sz w:val="20"/>
        </w:rPr>
        <w:t xml:space="preserve">Phone Number: </w:t>
      </w:r>
    </w:p>
    <w:p>
      <w:pPr>
        <w:pStyle w:val="TextBody"/>
        <w:pBdr>
          <w:left w:val="single" w:sz="6" w:space="1" w:color="000000"/>
          <w:bottom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 xml:space="preserve">Print Name/Title: </w:t>
      </w:r>
    </w:p>
    <w:p>
      <w:pPr>
        <w:pStyle w:val="TextBody"/>
        <w:bidi w:val="0"/>
        <w:jc w:val="left"/>
        <w:rPr/>
      </w:pPr>
      <w:r>
        <w:rPr/>
        <w:t> </w:t>
      </w:r>
    </w:p>
    <w:p>
      <w:pPr>
        <w:pStyle w:val="TextBody"/>
        <w:pBdr>
          <w:top w:val="single" w:sz="6" w:space="1" w:color="000000"/>
          <w:left w:val="single" w:sz="6" w:space="1" w:color="000000"/>
          <w:right w:val="single" w:sz="6" w:space="1" w:color="000000"/>
        </w:pBdr>
        <w:bidi w:val="0"/>
        <w:jc w:val="left"/>
        <w:rPr>
          <w:rFonts w:ascii="Arial" w:hAnsi="Arial"/>
          <w:b/>
          <w:smallCaps/>
          <w:color w:val="000000"/>
          <w:sz w:val="20"/>
        </w:rPr>
      </w:pPr>
      <w:r>
        <w:rPr>
          <w:rFonts w:ascii="Arial" w:hAnsi="Arial"/>
          <w:b/>
          <w:smallCaps/>
          <w:color w:val="000000"/>
          <w:sz w:val="20"/>
        </w:rPr>
        <w:t>OUTGOING WIRE REQUEST:</w:t>
      </w:r>
    </w:p>
    <w:p>
      <w:pPr>
        <w:pStyle w:val="TextBody"/>
        <w:pBdr>
          <w:left w:val="single" w:sz="6" w:space="1" w:color="000000"/>
          <w:right w:val="single" w:sz="6" w:space="1" w:color="000000"/>
        </w:pBdr>
        <w:bidi w:val="0"/>
        <w:jc w:val="left"/>
        <w:rPr>
          <w:rFonts w:ascii="Arial" w:hAnsi="Arial"/>
          <w:b/>
          <w:color w:val="000000"/>
          <w:sz w:val="20"/>
        </w:rPr>
      </w:pPr>
      <w:r>
        <w:rPr>
          <w:rFonts w:ascii="Arial" w:hAnsi="Arial"/>
          <w:b/>
          <w:color w:val="000000"/>
          <w:sz w:val="20"/>
        </w:rPr>
        <w:t>Complete only if all or a portion of funds from the loan advance above is to be wired.</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Times New Roman" w:hAnsi="Times New Roman"/>
          <w:sz w:val="20"/>
        </w:rPr>
      </w:pPr>
      <w:r>
        <w:rPr>
          <w:rFonts w:ascii="Arial" w:hAnsi="Arial"/>
          <w:b w:val="false"/>
          <w:color w:val="000000"/>
          <w:sz w:val="20"/>
        </w:rPr>
        <w:t>Beneficiary Name: _____________________________ Amount of Wire: $</w:t>
      </w:r>
      <w:r>
        <w:rPr>
          <w:rFonts w:ascii="Times New Roman" w:hAnsi="Times New Roman"/>
          <w:color w:val="000000"/>
          <w:sz w:val="20"/>
          <w:u w:val="single"/>
        </w:rPr>
        <w:t xml:space="preserve">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 xml:space="preserve">Beneficiary Bank: ______________________________ Account Number: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 xml:space="preserve">City and State: </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 xml:space="preserve">Beneficiary Bank Transit (ABA) #: Beneficiary Bank Code (Swift, Sort, Chip, etc.): </w:t>
      </w:r>
    </w:p>
    <w:p>
      <w:pPr>
        <w:pStyle w:val="TextBody"/>
        <w:pBdr>
          <w:left w:val="single" w:sz="6" w:space="1" w:color="000000"/>
          <w:right w:val="single" w:sz="6" w:space="1" w:color="000000"/>
        </w:pBdr>
        <w:bidi w:val="0"/>
        <w:jc w:val="left"/>
        <w:rPr>
          <w:rFonts w:ascii="Arial" w:hAnsi="Arial"/>
          <w:b/>
          <w:color w:val="000000"/>
          <w:sz w:val="20"/>
        </w:rPr>
      </w:pPr>
      <w:r>
        <w:rPr>
          <w:rFonts w:ascii="Arial" w:hAnsi="Arial"/>
          <w:b/>
          <w:color w:val="000000"/>
          <w:sz w:val="20"/>
        </w:rPr>
        <w:t>(For International Wire Only)</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 xml:space="preserve">Intermediary Bank: Transit (ABA) #: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 xml:space="preserve">For Further Credit to: </w:t>
      </w:r>
    </w:p>
    <w:p>
      <w:pPr>
        <w:pStyle w:val="TextBody"/>
        <w:pBdr>
          <w:left w:val="single" w:sz="6" w:space="1" w:color="000000"/>
          <w:right w:val="single" w:sz="6" w:space="1" w:color="000000"/>
        </w:pBdr>
        <w:bidi w:val="0"/>
        <w:jc w:val="left"/>
        <w:rPr/>
      </w:pPr>
      <w:r>
        <w:rPr/>
        <w:t> </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 xml:space="preserve">Special Instruction: </w:t>
      </w:r>
    </w:p>
    <w:p>
      <w:pPr>
        <w:pStyle w:val="TextBody"/>
        <w:pBdr>
          <w:left w:val="single" w:sz="6" w:space="1" w:color="000000"/>
          <w:right w:val="single" w:sz="6" w:space="1" w:color="000000"/>
        </w:pBdr>
        <w:bidi w:val="0"/>
        <w:jc w:val="left"/>
        <w:rPr>
          <w:rFonts w:ascii="Arial" w:hAnsi="Arial"/>
          <w:b w:val="false"/>
          <w:i/>
          <w:color w:val="000000"/>
          <w:sz w:val="20"/>
        </w:rPr>
      </w:pPr>
      <w:r>
        <w:rPr>
          <w:rFonts w:ascii="Arial" w:hAnsi="Arial"/>
          <w:b w:val="false"/>
          <w:i/>
          <w:color w:val="000000"/>
          <w:sz w:val="20"/>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pStyle w:val="TextBody"/>
        <w:pBdr>
          <w:left w:val="single" w:sz="6" w:space="1" w:color="000000"/>
          <w:bottom w:val="single" w:sz="6" w:space="1" w:color="000000"/>
          <w:right w:val="single" w:sz="6" w:space="1" w:color="000000"/>
        </w:pBdr>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DOCPROPERTY iManageFooter \* MERGEFORMAT #294081348v2&lt;NAACTIVE&gt; - Trinity - Taysha Gene - Loan and Security Agreement [REDACTED]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6" w:space="1" w:color="000000"/>
          <w:left w:val="single" w:sz="6" w:space="1" w:color="000000"/>
          <w:right w:val="single" w:sz="6" w:space="1" w:color="000000"/>
        </w:pBdr>
        <w:bidi w:val="0"/>
        <w:jc w:val="left"/>
        <w:rPr>
          <w:rFonts w:ascii="Times New Roman" w:hAnsi="Times New Roman"/>
          <w:sz w:val="20"/>
        </w:rPr>
      </w:pPr>
      <w:r>
        <w:rPr>
          <w:rFonts w:ascii="Arial" w:hAnsi="Arial"/>
          <w:b w:val="false"/>
          <w:color w:val="000000"/>
          <w:sz w:val="20"/>
        </w:rPr>
        <w:t>Authorized Signature: _____________________ 2</w:t>
      </w:r>
      <w:r>
        <w:rPr>
          <w:rFonts w:ascii="Arial" w:hAnsi="Arial"/>
          <w:b w:val="false"/>
          <w:color w:val="000000"/>
          <w:sz w:val="13"/>
        </w:rPr>
        <w:t>nd</w:t>
      </w:r>
      <w:r>
        <w:rPr>
          <w:rFonts w:ascii="Times New Roman" w:hAnsi="Times New Roman"/>
          <w:color w:val="000000"/>
          <w:sz w:val="20"/>
        </w:rPr>
        <w:t xml:space="preserve"> </w:t>
      </w:r>
      <w:r>
        <w:rPr>
          <w:rFonts w:ascii="Arial" w:hAnsi="Arial"/>
          <w:b w:val="false"/>
          <w:color w:val="000000"/>
          <w:sz w:val="20"/>
        </w:rPr>
        <w:t>Signature (if required): ___________________________</w:t>
      </w:r>
    </w:p>
    <w:p>
      <w:pPr>
        <w:pStyle w:val="TextBody"/>
        <w:pBdr>
          <w:left w:val="single" w:sz="6" w:space="1" w:color="000000"/>
          <w:right w:val="single" w:sz="6" w:space="1" w:color="000000"/>
        </w:pBdr>
        <w:bidi w:val="0"/>
        <w:jc w:val="left"/>
        <w:rPr>
          <w:rFonts w:ascii="Arial" w:hAnsi="Arial"/>
          <w:b w:val="false"/>
          <w:color w:val="000000"/>
          <w:sz w:val="20"/>
        </w:rPr>
      </w:pPr>
      <w:r>
        <w:rPr>
          <w:rFonts w:ascii="Arial" w:hAnsi="Arial"/>
          <w:b w:val="false"/>
          <w:color w:val="000000"/>
          <w:sz w:val="20"/>
        </w:rPr>
        <w:t>Print Name/Title: _________________________ Print Name/Title: __________________________________</w:t>
      </w:r>
    </w:p>
    <w:p>
      <w:pPr>
        <w:pStyle w:val="TextBody"/>
        <w:pBdr>
          <w:left w:val="single" w:sz="6" w:space="1" w:color="000000"/>
          <w:bottom w:val="single" w:sz="6" w:space="1" w:color="000000"/>
          <w:right w:val="single" w:sz="6" w:space="1" w:color="000000"/>
        </w:pBdr>
        <w:bidi w:val="0"/>
        <w:jc w:val="left"/>
        <w:rPr>
          <w:rFonts w:ascii="Times New Roman" w:hAnsi="Times New Roman"/>
          <w:sz w:val="20"/>
        </w:rPr>
      </w:pPr>
      <w:r>
        <w:rPr>
          <w:rFonts w:ascii="Arial" w:hAnsi="Arial"/>
          <w:b w:val="false"/>
          <w:color w:val="000000"/>
          <w:sz w:val="20"/>
        </w:rPr>
        <w:t>Telephone #: Telephone #:</w:t>
      </w:r>
      <w:r>
        <w:rPr>
          <w:rFonts w:ascii="Times New Roman" w:hAnsi="Times New Roman"/>
          <w:color w:val="000000"/>
          <w:sz w:val="20"/>
          <w:u w:val="single"/>
        </w:rPr>
        <w:t xml:space="preserve"> </w:t>
      </w:r>
    </w:p>
    <w:p>
      <w:pPr>
        <w:pStyle w:val="TextBody"/>
        <w:bidi w:val="0"/>
        <w:jc w:val="left"/>
        <w:rPr>
          <w:rFonts w:ascii="Arial" w:hAnsi="Arial"/>
          <w:b w:val="false"/>
          <w:color w:val="000000"/>
          <w:sz w:val="20"/>
        </w:rPr>
      </w:pPr>
      <w:r>
        <w:rPr>
          <w:rFonts w:ascii="Arial" w:hAnsi="Arial"/>
          <w:b w:val="false"/>
          <w:color w:val="000000"/>
          <w:sz w:val="20"/>
        </w:rPr>
        <w:t>DOCPROPERTY iManageFooter \* MERGEFORMAT #294081348v2&lt;NAACTIVE&gt; - Trinity - Taysha Gene - Loan and Security Agreement [REDACTED]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sha-ex31_1.htm"/>
      <w:bookmarkStart w:id="24" w:name="kstsha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Sean Nolan,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Taysha Gene Therapies,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206"/>
        <w:gridCol w:w="109"/>
        <w:gridCol w:w="406"/>
        <w:gridCol w:w="25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sha-ex31_2.htm"/>
      <w:bookmarkStart w:id="26" w:name="kstsha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Kamran Alam,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Taysha Gene Therapies,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032" w:type="dxa"/>
        <w:jc w:val="left"/>
        <w:tblInd w:w="0" w:type="dxa"/>
        <w:tblLayout w:type="fixed"/>
        <w:tblCellMar>
          <w:top w:w="28" w:type="dxa"/>
          <w:left w:w="28" w:type="dxa"/>
          <w:bottom w:w="28" w:type="dxa"/>
          <w:right w:w="28" w:type="dxa"/>
        </w:tblCellMar>
      </w:tblPr>
      <w:tblGrid>
        <w:gridCol w:w="2206"/>
        <w:gridCol w:w="109"/>
        <w:gridCol w:w="406"/>
        <w:gridCol w:w="531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tsha-ex32_1.htm"/>
      <w:bookmarkStart w:id="28" w:name="kstsha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Quarterly Report on Form 10-Q for the period ended September 30, 2023,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206"/>
        <w:gridCol w:w="109"/>
        <w:gridCol w:w="406"/>
        <w:gridCol w:w="25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tsha-ex32_2.htm"/>
      <w:bookmarkStart w:id="30" w:name="kstshaex32_2"/>
      <w:bookmarkEnd w:id="29"/>
      <w:bookmarkEnd w:id="30"/>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Quarterly Report on Form 10-Q for the period ended September 30, 2023, to which this Certification is attached as Exhibit 32.2 (the “Periodic Report”) fully complies with the requirements of Section 13(a) or Section 15(d) of the Exchange Act;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8032" w:type="dxa"/>
        <w:jc w:val="left"/>
        <w:tblInd w:w="0" w:type="dxa"/>
        <w:tblLayout w:type="fixed"/>
        <w:tblCellMar>
          <w:top w:w="28" w:type="dxa"/>
          <w:left w:w="28" w:type="dxa"/>
          <w:bottom w:w="28" w:type="dxa"/>
          <w:right w:w="28" w:type="dxa"/>
        </w:tblCellMar>
      </w:tblPr>
      <w:tblGrid>
        <w:gridCol w:w="2206"/>
        <w:gridCol w:w="109"/>
        <w:gridCol w:w="406"/>
        <w:gridCol w:w="531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806310/000119312520257858/d78879dex31.htm" TargetMode="External"/><Relationship Id="rId14" Type="http://schemas.openxmlformats.org/officeDocument/2006/relationships/hyperlink" Target="https://www.sec.gov/Archives/edgar/data/1806310/000119312520247565/d938924dex34.htm" TargetMode="External"/><Relationship Id="rId15" Type="http://schemas.openxmlformats.org/officeDocument/2006/relationships/hyperlink" Target="https://www.sec.gov/Archives/edgar/data/1806310/000119312523211456/d497848dex41.htm" TargetMode="External"/><Relationship Id="rId16" Type="http://schemas.openxmlformats.org/officeDocument/2006/relationships/hyperlink" Target="https://www.sec.gov/Archives/edgar/data/1806310/000119312523211456/d497848dex10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69103</Words>
  <Characters>376119</Characters>
  <CharactersWithSpaces>445209</CharactersWithSpaces>
  <Paragraphs>6242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