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55"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December 31, 2025</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8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135"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color w:val="auto"/>
        </w:rPr>
        <w:t>Taysha Gene Therapies, Inc.</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Delaware</w:t>
      </w:r>
    </w:p>
    <w:p>
      <w:pPr>
        <w:spacing w:after="0" w:line="13"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6"/>
          <w:szCs w:val="16"/>
          <w:color w:val="auto"/>
        </w:rPr>
        <w:t>84-3199512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61" w:lineRule="exact"/>
        <w:rPr>
          <w:sz w:val="24"/>
          <w:szCs w:val="24"/>
          <w:color w:val="auto"/>
        </w:rPr>
      </w:pPr>
    </w:p>
    <w:p>
      <w:pPr>
        <w:sectPr>
          <w:pgSz w:w="11900" w:h="16838" w:orient="portrait"/>
          <w:cols w:equalWidth="0" w:num="2">
            <w:col w:w="7560" w:space="340"/>
            <w:col w:w="3340"/>
          </w:cols>
          <w:pgMar w:left="320" w:top="1133" w:right="339" w:bottom="1440" w:gutter="0" w:footer="0" w:header="0"/>
          <w:type w:val="continuous"/>
        </w:sectPr>
      </w:pPr>
    </w:p>
    <w:tbl>
      <w:tblPr>
        <w:tblLayout w:type="fixed"/>
        <w:tblInd w:w="1680" w:type="dxa"/>
        <w:tblCellMar>
          <w:top w:w="0" w:type="dxa"/>
          <w:left w:w="0" w:type="dxa"/>
          <w:bottom w:w="0" w:type="dxa"/>
          <w:right w:w="0" w:type="dxa"/>
        </w:tblCellMar>
      </w:tblPr>
      <w:tr>
        <w:trPr>
          <w:trHeight w:val="210"/>
        </w:trPr>
        <w:tc>
          <w:tcPr>
            <w:tcW w:w="4360" w:type="dxa"/>
            <w:vAlign w:val="bottom"/>
          </w:tcPr>
          <w:p>
            <w:pPr>
              <w:jc w:val="center"/>
              <w:ind w:right="2002"/>
              <w:spacing w:after="0"/>
              <w:rPr>
                <w:sz w:val="20"/>
                <w:szCs w:val="20"/>
                <w:color w:val="auto"/>
              </w:rPr>
            </w:pPr>
            <w:r>
              <w:rPr>
                <w:rFonts w:ascii="Times New Roman" w:cs="Times New Roman" w:eastAsia="Times New Roman" w:hAnsi="Times New Roman"/>
                <w:sz w:val="16"/>
                <w:szCs w:val="16"/>
                <w:color w:val="auto"/>
              </w:rPr>
              <w:t>3000 Pegasus Park Dr. Ste 1430</w:t>
            </w:r>
          </w:p>
        </w:tc>
        <w:tc>
          <w:tcPr>
            <w:tcW w:w="2700" w:type="dxa"/>
            <w:vAlign w:val="bottom"/>
          </w:tcPr>
          <w:p>
            <w:pPr>
              <w:spacing w:after="0"/>
              <w:rPr>
                <w:sz w:val="18"/>
                <w:szCs w:val="18"/>
                <w:color w:val="auto"/>
              </w:rPr>
            </w:pPr>
          </w:p>
        </w:tc>
      </w:tr>
      <w:tr>
        <w:trPr>
          <w:trHeight w:val="213"/>
        </w:trPr>
        <w:tc>
          <w:tcPr>
            <w:tcW w:w="4360" w:type="dxa"/>
            <w:vAlign w:val="bottom"/>
          </w:tcPr>
          <w:p>
            <w:pPr>
              <w:jc w:val="center"/>
              <w:ind w:right="2042"/>
              <w:spacing w:after="0"/>
              <w:rPr>
                <w:sz w:val="20"/>
                <w:szCs w:val="20"/>
                <w:color w:val="auto"/>
              </w:rPr>
            </w:pPr>
            <w:r>
              <w:rPr>
                <w:rFonts w:ascii="Times New Roman" w:cs="Times New Roman" w:eastAsia="Times New Roman" w:hAnsi="Times New Roman"/>
                <w:sz w:val="16"/>
                <w:szCs w:val="16"/>
                <w:color w:val="auto"/>
              </w:rPr>
              <w:t>Dallas, Texas</w:t>
            </w:r>
          </w:p>
        </w:tc>
        <w:tc>
          <w:tcPr>
            <w:tcW w:w="270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75247</w:t>
            </w:r>
          </w:p>
        </w:tc>
      </w:tr>
      <w:tr>
        <w:trPr>
          <w:trHeight w:val="188"/>
        </w:trPr>
        <w:tc>
          <w:tcPr>
            <w:tcW w:w="4360" w:type="dxa"/>
            <w:vAlign w:val="bottom"/>
          </w:tcPr>
          <w:p>
            <w:pPr>
              <w:jc w:val="center"/>
              <w:ind w:right="200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00" w:type="dxa"/>
            <w:vAlign w:val="bottom"/>
          </w:tcPr>
          <w:p>
            <w:pPr>
              <w:jc w:val="center"/>
              <w:ind w:left="200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(214) 612-0000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Trading</w:t>
            </w:r>
          </w:p>
        </w:tc>
        <w:tc>
          <w:tcPr>
            <w:tcW w:w="920" w:type="dxa"/>
            <w:vAlign w:val="bottom"/>
            <w:gridSpan w:val="2"/>
            <w:vMerge w:val="restart"/>
          </w:tcPr>
          <w:p>
            <w:pPr>
              <w:spacing w:after="0"/>
              <w:rPr>
                <w:sz w:val="18"/>
                <w:szCs w:val="18"/>
                <w:color w:val="auto"/>
              </w:rPr>
            </w:pPr>
          </w:p>
        </w:tc>
        <w:tc>
          <w:tcPr>
            <w:tcW w:w="6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3580" w:type="dxa"/>
            <w:vAlign w:val="bottom"/>
            <w:gridSpan w:val="2"/>
            <w:vMerge w:val="restart"/>
          </w:tcPr>
          <w:p>
            <w:pPr>
              <w:jc w:val="center"/>
              <w:ind w:right="8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color w:val="auto"/>
              </w:rPr>
              <w:t>Symbol(s)</w:t>
            </w:r>
          </w:p>
        </w:tc>
        <w:tc>
          <w:tcPr>
            <w:tcW w:w="3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gridSpan w:val="2"/>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gridSpan w:val="2"/>
          </w:tcPr>
          <w:p>
            <w:pPr>
              <w:jc w:val="center"/>
              <w:ind w:right="828"/>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49"/>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20" w:type="dxa"/>
            <w:vAlign w:val="bottom"/>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660" w:type="dxa"/>
            <w:vAlign w:val="bottom"/>
            <w:gridSpan w:val="6"/>
          </w:tcPr>
          <w:p>
            <w:pPr>
              <w:ind w:left="7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2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2960" w:type="dxa"/>
            <w:vAlign w:val="bottom"/>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4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the definitions of “large accelerated filer,” “accelerated filer,” “smaller reporting company,” and </w:t>
      </w:r>
      <w:r>
        <w:rPr>
          <w:rFonts w:ascii="Times New Roman" w:cs="Times New Roman" w:eastAsia="Times New Roman" w:hAnsi="Times New Roman"/>
          <w:sz w:val="16"/>
          <w:szCs w:val="16"/>
          <w:color w:val="auto"/>
        </w:rPr>
        <w:t>“emerging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5" w:lineRule="exact"/>
        <w:rPr>
          <w:sz w:val="24"/>
          <w:szCs w:val="24"/>
          <w:color w:val="auto"/>
        </w:rPr>
      </w:pPr>
    </w:p>
    <w:p>
      <w:pPr>
        <w:ind w:right="48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120" w:firstLine="749"/>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right="40" w:firstLine="216"/>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647"/>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ind w:left="760"/>
        <w:spacing w:after="0" w:line="161" w:lineRule="exact"/>
        <w:tabs>
          <w:tab w:leader="none" w:pos="7460" w:val="left"/>
          <w:tab w:leader="none" w:pos="80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June 30, 2025, the aggregate market value of the common stock of the registrant held by non-affiliates was: $544.8 million.</w:t>
      </w:r>
    </w:p>
    <w:p>
      <w:pPr>
        <w:spacing w:after="0" w:line="4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March 19, 2026, the registrant had 287,269,885 shares of common stock, $0.00001 par value per share, outstanding.</w:t>
      </w: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42" w:lineRule="exact"/>
        <w:rPr>
          <w:sz w:val="24"/>
          <w:szCs w:val="24"/>
          <w:color w:val="auto"/>
        </w:rPr>
      </w:pPr>
    </w:p>
    <w:p>
      <w:pPr>
        <w:ind w:right="120" w:firstLine="749"/>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2026 Annual Meeting of Stockholders are incorporated herein by reference in Part III of this Annual Report on Form 10-K. The Proxy Statement will be filed with the Securities and Exchange Commission within 120 days after the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2"/>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412"/>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420" w:type="dxa"/>
            <w:vAlign w:val="bottom"/>
          </w:tcPr>
          <w:p>
            <w:pPr>
              <w:spacing w:after="0"/>
              <w:rPr>
                <w:sz w:val="17"/>
                <w:szCs w:val="17"/>
                <w:color w:val="auto"/>
              </w:rPr>
            </w:pP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412"/>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20" w:type="dxa"/>
            <w:vAlign w:val="bottom"/>
          </w:tcPr>
          <w:p>
            <w:pPr>
              <w:spacing w:after="0"/>
              <w:rPr>
                <w:sz w:val="17"/>
                <w:szCs w:val="17"/>
                <w:color w:val="auto"/>
              </w:rPr>
            </w:pP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1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Annual Report on Form 10-K, or this Annual Report, contains forward-looking statements within the meaning of Section 27A of the Securities Act of 1933, as amended, and Section 21E of the Securities Exchange Act of 1934, as amended, or the Exchange Act, that involve substantial risks and uncertainties. The forward-looking statements are contained principally in Part I, Item 1. “Business,” Part I, Item 1A. “Risk Factors,” and Part II, Item 7. “Management’s Discussion and Analysis of Financial Condition and Results of Operations,” but are also contained elsewhere in this Annual Report.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expectations of the future, about which we cannot be certain. Forward-looking statements include statements about:</w:t>
      </w:r>
    </w:p>
    <w:p>
      <w:pPr>
        <w:spacing w:after="0" w:line="84" w:lineRule="exact"/>
        <w:rPr>
          <w:sz w:val="20"/>
          <w:szCs w:val="20"/>
          <w:color w:val="auto"/>
        </w:rPr>
      </w:pPr>
    </w:p>
    <w:p>
      <w:pPr>
        <w:jc w:val="both"/>
        <w:ind w:left="1140" w:right="220" w:hanging="383"/>
        <w:spacing w:after="0" w:line="266"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Investigational New Drug and Clinical Trial Agreement submissions, initiation of clinical trials and timing of expected clinical results for TSHA-102 for Rett syndrome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patients in trials;</w:t>
      </w:r>
    </w:p>
    <w:p>
      <w:pPr>
        <w:spacing w:after="0" w:line="117"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 and strategy, including the scalability and commercial viability of our manufacturing methods and processes;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TSHA-102 or any other current or future product candidate that we advance;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platform, including our next-generation technologies,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1140" w:right="5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litigation and our expectations regarding the outcome of lawsuits and other claims against us and any regulatory or legal proceedings;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recruit and retain key personnel;</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upon intellectual property licensed from third parties and our ability to obtain such licenses on commercially reasonable terms or at all;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position for our product candidates, and the scope of such protection;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terms of our term loan agreement;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revenue, expenses and needs for additional financing;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 w:name="page4"/>
    <w:bookmarkEnd w:id="3"/>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You should refer to “Item 1A. Risk Factors” in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Annual Report represent our views as of the date of this Annual Report. We anticipate that subsequent events and developments may cause our views to change. However, while we may elect to update these forward-looking statements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Annual Report.</w:t>
      </w:r>
    </w:p>
    <w:p>
      <w:pPr>
        <w:spacing w:after="0" w:line="188"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You should read this report and the documents that we reference in this report, completely and with the understanding that our actual future results may be materially different from what we expect. We qualify all of our forward-looking statements by these cautionary statements.</w:t>
      </w:r>
    </w:p>
    <w:p>
      <w:pPr>
        <w:spacing w:after="0" w:line="162" w:lineRule="exact"/>
        <w:rPr>
          <w:sz w:val="20"/>
          <w:szCs w:val="20"/>
          <w:color w:val="auto"/>
        </w:rPr>
      </w:pPr>
    </w:p>
    <w:p>
      <w:pPr>
        <w:jc w:val="both"/>
        <w:ind w:right="640" w:firstLine="749"/>
        <w:spacing w:after="0" w:line="236" w:lineRule="auto"/>
        <w:rPr>
          <w:sz w:val="20"/>
          <w:szCs w:val="20"/>
          <w:color w:val="auto"/>
        </w:rPr>
      </w:pPr>
      <w:r>
        <w:rPr>
          <w:rFonts w:ascii="Times New Roman" w:cs="Times New Roman" w:eastAsia="Times New Roman" w:hAnsi="Times New Roman"/>
          <w:sz w:val="18"/>
          <w:szCs w:val="18"/>
          <w:color w:val="auto"/>
        </w:rPr>
        <w:t xml:space="preserve">All brand names or trademarks appearing in this Annual Report are the property of their respective owners. Solely for convenience, the trademarks and trade names in this Annual Report are referred to without the symbols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but such references should not be construed as any indication that their respective owners will not assert, to the fullest extent under applicable law, their rights thereto.</w:t>
      </w:r>
    </w:p>
    <w:p>
      <w:pPr>
        <w:spacing w:after="0" w:line="199" w:lineRule="exact"/>
        <w:rPr>
          <w:sz w:val="20"/>
          <w:szCs w:val="20"/>
          <w:color w:val="auto"/>
        </w:rPr>
      </w:pPr>
    </w:p>
    <w:p>
      <w:pPr>
        <w:jc w:val="both"/>
        <w:ind w:right="62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report to “Taysha,” the “Company,” “we,” “us,” and “our” refer to Taysha Gene Therapies, Inc. together with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and ASPIRE clinical trials.</w:t>
      </w:r>
    </w:p>
    <w:p>
      <w:pPr>
        <w:spacing w:after="0" w:line="22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participants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participants aged 6 to 8 years were treated with TSHA-102 in this study, and enrollment for this trial is also complete.</w:t>
      </w:r>
    </w:p>
    <w:p>
      <w:pPr>
        <w:spacing w:after="0" w:line="198" w:lineRule="exact"/>
        <w:rPr>
          <w:sz w:val="20"/>
          <w:szCs w:val="20"/>
          <w:color w:val="auto"/>
        </w:rPr>
      </w:pPr>
    </w:p>
    <w:p>
      <w:pPr>
        <w:ind w:right="40" w:firstLine="749"/>
        <w:spacing w:after="0" w:line="232" w:lineRule="auto"/>
        <w:rPr>
          <w:sz w:val="20"/>
          <w:szCs w:val="20"/>
          <w:color w:val="auto"/>
        </w:rPr>
      </w:pPr>
      <w:r>
        <w:rPr>
          <w:rFonts w:ascii="Times New Roman" w:cs="Times New Roman" w:eastAsia="Times New Roman" w:hAnsi="Times New Roman"/>
          <w:sz w:val="18"/>
          <w:szCs w:val="18"/>
          <w:color w:val="auto"/>
        </w:rPr>
        <w:t>We have completed dosing of the 12 patients in Part A of both REVEAL trials, which includes eight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We reported positive clinical data in May 2025, demonstrating that the first 10 patients gained or regained one or more developmental milestone across communication, fine motor and gross motor function following TSHA-102 as of the May 19, 2025 data cutoff. Patients also showed improvements across multiple standardized Rett syndrome assessments. There have been no treatment-related serious adverse events or dose-limiting toxicities across the 12 participants treated with TSHA-102 as of the March 2026 data cutoff. An update on longer-term safety and efficacy data from the Part A REVEAL Phase 1/2 trials is expected in the second quarter of 2026.</w:t>
      </w:r>
    </w:p>
    <w:p>
      <w:pPr>
        <w:spacing w:after="0" w:line="19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TSHA-102 clinical development program is designed to support the potential future approval of TSHA-102 for a broad population of patients aged 2 years and older with Rett syndrome through an efficient and rigorously designed pathway. In close collaboration with the United States Food and Drug Administration, or FDA, we designed the TSHA-102 pivotal program so that efficacy data from the REVEAL pivotal trial in participants aged 6 to &lt;22 years who have reached developmental plateau can be used to represent patients aged 2 to &lt;6 years, while safety data in younger children are generated through the separate ASPIRE trial to support the potential for a broad label for TSHA-102.</w:t>
      </w:r>
    </w:p>
    <w:p>
      <w:pPr>
        <w:spacing w:after="0" w:line="18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REVEAL pivotal trial, also known as Part B, is a single-arm, open-label study evaluating the efficacy and safety of TSHA-102 in females with Rett syndrome, with each patient serving as their own control. Each participant will receive a single administration of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of TSHA-102 delivered by lumbar intrathecal injection. The study will enroll 15 females aged 6 to &lt;22 years in the developmental plateau population of Rett syndrome; these patients have an exceedingly low likelihood (0% to &lt;6.7%) of gaining new or regaining developmental milestones that were lost after a defined number of years, based on our analysis of the National Institutes of Health, or NIH, -funded International Rett Syndrome Foundation’s natural history study data. The primary endpoint will assess response rate, defined as the percentage of patients who gain or regain at least one developmental milestone from a list of 28 defined milestones across the core functional domains of communication, fine motor and gross motor, following administration of TSHA-102. 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w:t>
      </w:r>
    </w:p>
    <w:p>
      <w:pPr>
        <w:spacing w:after="0" w:line="19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finalized FDA alignment on the REVEAL pivotal trial protocol and statistical analysis plan, which includes a 6-month interim analysis that may serve as the basis for a biologics license application, or BLA, submission. Multiple patients have been dosed in the REVEAL pivotal trial, with the first patient dosed in the fourth quarter of 2025. Additional patient enrollment continues to advance across multiple clinical trial sites. There have been no treatment-related serious adverse events or dose-limiting toxicities across the participants treated with TSHA-102 in the REVEAL pivotal trial as of the March 2026 data cutoff. We expect to complete dosing of all patients in the REVEAL pivotal trial in the second quarter of 2026.</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ind w:right="20" w:firstLine="749"/>
        <w:spacing w:after="0" w:line="221" w:lineRule="exact"/>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we refer to as the ASPIRE trial, and the data for inclusion in the planned BLA submission to enable potential broad labeling of TSHA-102 for patients aged ≥2 years with Rett syndrome. ASPIRE will enroll three females aged 2 to &lt;4 years with Rett syndrome to evaluate the safety and preliminary efficacy of a single intrathecal administration of high dose TSHA-102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olds. A minimum of three months of ASPIRE safety data will be included in the planned BLA submission, while efficacy in the 2 to &lt;6-year-old population will be extrapolated from data collected in the REVEAL pivotal trial, to support the potential for a broad label for TSHA-102 in patients aged ≥2 years with Rett syndrome. We expect to complete dosing in the ASPIRE trial in the second quarter of 2026.</w:t>
      </w:r>
    </w:p>
    <w:p>
      <w:pPr>
        <w:spacing w:after="0" w:line="19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reached written alignment with the FDA on Chemistry, Manufacturing and Controls requirements to support a planned BLA submission for TSHA-102 following a Type C meeting. We further aligned with the FDA on our proposed comparability approach between TSHA-102 material derived from the clinical and final commercial manufacturing processes. The FDA agreed that this approach may support pooling data from the REVEAL Phase 1/2 trials with data from the ongoing REVEAL pivotal and ASPIRE trials for the planned BLA submission. The FDA also endorsed our proposed Process Performance Qualification, or PPQ, campaign strategy to support process validation for the BLA submission, including the stability data package, the potency assay strategy, and the execution of BLA-enabling PPQ lots using the commercial manufacturing process. We plan to initiate our PPQ campaign in the second quarter of 2026.</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 We also received Fast Track Designation from the FDA for TSHA-102 for the treatment of Rett syndrome. In February 2024, we received Innovative Licensing and Access Pathway, or ILAP, designation for TSHA-102 from the U.K. Medicines and Healthcare Products Regulatory Agency. The ILAP aims to facilitate patient access to novel treatments by accelerating time to market through opportunities for enhanced engagements with U.K. regulatory authorities and other stakeholders.</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April 2024, the FDA granted Regenerative Medicine Advanced Therapy, or RMAT, designation for TSHA-102 in Rett syndrome following the FDA’s review of available safety and efficacy data from the first three patients with Rett syndrome dosed with the low dose of TSHA-102 in Part A of the REVEAL Phase 1/2 Adolescent and Adult trial and the REVEAL Phase 1/2 Pediatric trial. In September 2025, the FDA granted Breakthrough Therapy designation to TSHA-102 following the FDA’s review of positive clinical evidence across the 12 patients treated with TSHA-102 in Part A of the REVEAL Phase 1/2 trials. The FDA grants Breakthrough Therapy designation to expedite the development and regulatory review of an investigational therapy intended to treat a serious condition. A drug is eligible for this designation if it demonstrates preliminary clinical evidence of substantial improvement over available treatments in one or more clinically significant endpoints.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57150</wp:posOffset>
            </wp:positionV>
            <wp:extent cx="6172200" cy="1139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TSHA-102 for Rett Syndrome</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TSHA-102 is a self-complementary intrathecally delivered AAV9 gene transfer therapy in clinical evaluation for Rett syndrome, a rare progressive neurodevelopmental disorder caused by mutations in the X-linked MECP2 gene encoding methyl CpG-binding protein 2, or MeCP2, which is essential for regulating neuronal and synaptic function in the brain. The disorder is characterized by loss of communication and hand function, slowing and/or regression of development, motor and respiratory impairment, seizures, intellectual disabilities and shortened life expectancy. Rett syndrome progression is divided into four key stages, beginning with early onset stagnation at 6 to 18 months of age followed by rapid regression, plateau and late motor deterioration. Rett syndrome primarily occurs in females and is one of the most common genetic causes of severe intellectual disability.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Designed as a one-time treatment, TSHA-102 aims to address the genetic root cause of the disease by delivering a functional form of MECP2 to cells in the CNS. The vector is delivered directly to the cerebrospinal fluid via intrathecal administration, which facilitates optimal biodistribution and cell transduction within key regions of the CNS. Because of the risks associated with both under- and over-expression of MeCP2, we have combined high-throughput microRNA, or miRNA, profiling and genome mining to create miRNA-Responsive Auto-Regulatory Element, or miRARE, our novel miRNA target panel. The miRARE element includes binding sites for endogenous miRNA, which are responsive to MeCP2 levels to prevent overexpression. By utilizing the miRARE technology, TSHA-102 is designed to mediate levels of MeCP2 in the CNS on a cell-by-cell basis to address risks associated with under- and over-expression. By increasing MECP2 levels in MECP2 deficient cells and maintaining healthy levels of MECP2 output of healthy cells, TSHA-102 has demonstrated the ability to produce and maintain safe transgene expression levels in the CNS.</w:t>
      </w:r>
    </w:p>
    <w:p>
      <w:pPr>
        <w:spacing w:after="0" w:line="19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Currently, there are no approved disease-modifying therapies that treat the genetic root cause of Rett syndrome, and there is a significant unmet medical need. The estimated addressable patient population with typical Rett syndrome caused by a pathogenic/likely pathogenic MECP2 mutation is between 15,000 and 20,000 patients in the United States, European Union and United Kingdom. Within the U.S. specifically, patient estimates range from 6,000 to 9,000 based on claims data and epidemiology data. Completed U.S. market research demonstrates strong clinician and caregiver demand and anticipated broad adoption of TSHA-102 across pediatric, adolescent and adult patients with Rett syndrome. The research also indicates a clear preference for intrathecal administration, which is viewed as familiar, accessible and scalable, enabling the potential to safely and efficiently treat patients across institutions.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Natural History Study</w:t>
      </w:r>
    </w:p>
    <w:p>
      <w:pPr>
        <w:spacing w:after="0" w:line="11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National Health Service, or NHS, dataset from the International Rett Syndrome Foundation, or IRSF, contains data from approximately 1,100 females with confirmed Rett syndrome diagnosis and has up to 14 years of follow-up data. The NHS captures longitudinal data examining the gain, loss, and regain of developmental milestones across core functional domains of Rett syndrome: communication, fine motor function and gross motor function. According to independent third-party caregiver research, these functional skills and activities of daily living are highly important to caregivers of girls with Rett syndrome.</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leveraged the NHS dataset cohort that also met our REVEAL trial criteria to develop age- and time-based cumulative incidence curves that demonstrate the incidence of gaining a new milestone or regaining a milestone that was previously lost. The cumulative incidence models demonstrated distinct age-and time-based trends in developmental milestone acquisition that strengthened our understanding of the longitudinal disease progression in Rett syndrome, substantiated the disease-modifying potential of TSHA-102 and informed our discussions with the FDA on the proposed pivotal trial design for TSHA-102.</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NHS cumulative incidence models demonstrated that patients of six years of age or greater have reached a developmental plateau, with an exceedingly low (ranging from 0% to &lt;6.7%) likelihood of gaining new developmental milestones and regaining developmental milestones that were lost after a defined number of years. We leveraged these findings to establish the developmental plateau population of patients who are six or more years of age.</w:t>
      </w:r>
    </w:p>
    <w:p>
      <w:pPr>
        <w:spacing w:after="0" w:line="180" w:lineRule="exact"/>
        <w:rPr>
          <w:sz w:val="20"/>
          <w:szCs w:val="20"/>
          <w:color w:val="auto"/>
        </w:rPr>
      </w:pPr>
    </w:p>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These developmental milestone models based on NHS data informed our discussion with the FDA on our proposed pivotal trial design for TSHA-102. We believe the NHS models provide a data-driven, objective approach to assessing clinically meaningful functional gains in a single-arm trial.</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Phase 1/2 REVEAL Clinical Trials</w:t>
      </w:r>
    </w:p>
    <w:p>
      <w:pPr>
        <w:spacing w:after="0" w:line="11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have two ongoing Phase 1/2 clinical trials for TSHA-102: an adolescent/adult study in the United States and Canada and a pediatric study in the United States and Canada.</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REVEAL Phase 1/2 trials are first-in-human, open-label, randomized, dose-escalation and dose-expansion studies evaluating the safety and preliminary efficacy of TSHA-102 in pediatric, adolescent and adult females with Rett syndrome. The maximum tolerated dose, or MTD, or maximum administered dose, or MAD, established in Part A will be administered during dose expansion in Part B, which is the pivotal phase of the trials. Data from Part A is being assessed by regulatory agencies and the Independent Data Monitoring Committee, or IDMC, to determine key elements of Part B of the study, including efficacy endpoints, study duration and the MTD or MAD.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Efficacy endpoints for each trial include patient assessments performed by clinicians, including the use of the Clinical Global Impressions Scale</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Improvement, or CGI-I, the Clinical Global Impressions Scale – Severity, or CGI-S, Rett Syndrome Hand Function Scale, or RSHFS, and Revised Motor Behavior Assessment, or R-MBA. Additional efficacy endpoints also include patient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assessments by caregivers using Parental Global Impressions Improvement, or PGI-I, Seizure Diaries and other clinical assessment scales.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Update and Pivotal Part B Trial Design</w:t>
      </w:r>
    </w:p>
    <w:p>
      <w:pPr>
        <w:spacing w:after="0" w:line="11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TSHA-102 clinical development program is designed to support the potential future approval for a broad population of patients aged two years and older with Rett syndrome through an efficient and rigorously designed pathway. In close collaboration with the FDA, we designed the TSHA-102 pivotal program so that efficacy data from the REVEAL Pivotal trial in participants aged 6 to &lt;22 years who have reached developmental plateau can be used to represent patients aged 2 to &lt;6 years, while safety data in younger children are generated through the separate ASPIRE trial to support a potentially broad label for TSHA-102.</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May 28, 2025, we announced that we obtained written alignment from the FDA on key elements of our pivotal Part B REVEAL clinical trial design, following formal discussions enabled by the regenerative medicine advanced therapy, or RMAT, mechanism. Per guidance from the FDA, we submitted our investigational new drug application, or IND, amendment to the FDA and clinical trial application, or CTA, amendment to Health Canada in the second quarter of 2025. Taysha commenced site activation activities for the REVEAL pivotal trial, following receipt of a No Objection Letter from Health Canada and feedback from the FDA. In October 2025, we announced that we finalized alignment with the FDA on the REVEAL pivotal trial protocol and Statistical Analysis Plan, or SAP, that are intended to support the planned BLA submission for TSHA-102, following the resolution of remaining clinical and statistical queries. Previously aligned-upon key design elements remain unchanged, including a 6-month interim analysis that may serve as the basis for the BLA submission, which was enabled by the rigorous, objective evaluation criteria used to evaluate developmental milestone achievement in Part A of the REVEAL Phase 1/2 trials, and the 83% response rate seen at six months post-treatment following high dose TSHA-102 (5 out of 6 patients; May 2025 data cutoff) that deepened over time. We believe the 6-month interim analysis has the potential to expedite our BLA submission for TSHA-102 by at least two full quarters.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REVEAL pivotal trial is a single-arm, open-label trial that will enroll 15 females aged 6 to &lt;22 years who are in the developmental plateau population of Rett syndrome. Each patient will serve as their own control, and the primary endpoint will assess response rate, defined as the percentage of patients who gain or regain at least one developmental milestone from a list of 28 defined milestones across the core functional domains of communication, fine motor and gross motor, following TSHA-102. A response rate of 33% (5 out of 15 patients) is the minimum threshold for success sufficient to reject the null hypothesis. Based on our natural history data analysis, the null hypothesis is that one out of 15 patients aged ≥ 6 years may gain/regain one of the 28 natural history defined developmental milestone without treatment, corresponding to a response rate of 6.7%.</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Standardized milestone assessments will be administered and captured on video at pre- and post-treatment timepoints. Video-evidenced determination of milestone gain/regain will be determined by independent, blinded central raters based on prespecified definitions of achievement for each milestone. The following 28 developmental milestones are being evaluated in the REVEAL pivotal Part B trial as part of the primary endpoint. These 28 developmental milestones from the NHS dataset were selected based on our caregiver research that demonstrated these milestones would reflect meaningful functional gains and are closely linked to activities of daily living, and based on our cumulative incidence models of the NHS data that demonstrated these milestones have a 0% to &lt;6.7% likelihood of being achieved in the untreated population of females with Rett syndrome aged six years and older. The 28 developmental milestones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-5080</wp:posOffset>
            </wp:positionV>
            <wp:extent cx="5186045" cy="2168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 w:name="page9"/>
    <w:bookmarkEnd w:id="8"/>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Key secondary endpoints in the REVEAL pivotal trial include the average number of total developmental milestones gained or regained per patient following TSHA-102, as well as clinician-assessed outcome measures, including the R-MBA and CGI-I. Multiple patients have been dosed in the REVEAL pivotal trial, with the first patient dosed in the fourth quarter of 2025. Additional patient enrollment continues to advance across multiple clinical trial sites. We expect to complete dosing of all patients in the REVEAL pivotal trial in the second quarter of 2026.</w:t>
      </w:r>
    </w:p>
    <w:p>
      <w:pPr>
        <w:spacing w:after="0" w:line="180"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On May 28, 2025, we announced that we obtained written alignment from the FDA on an extrapolation approach in a separate safety-focused study, the ASPIRE trial, which is underway, in addition to the REVEAL pivotal trial. Following a Type D meeting with the FDA, we announced on January 6, 2026, that we confirmed prior alignment and obtained further written alignment with the FDA on the ASPIRE trial and the data for inclusion in the planned BLA submission to enable broad labeling of TSHA-102 for patients aged ≥2 years with Rett syndrome. ASPIRE will enroll three females aged 2 to &lt;4 years with Rett syndrome to evaluate the safety and preliminary efficacy of a single IT administration of high dose TSHA-102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olds. A minimum of three months of ASPIRE safety data will be included in the planned BLA submission, while efficacy in the 2 to &lt;6-year-old population will be extrapolated from data collected in the REVEAL pivotal trial, to support a potential broad label for TSHA-102 in patients aged ≥2 years with Rett syndrome. We expect to complete dosing of all patients in the ASPIRE trial in the second quarter of 2026.</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 from Part A of Ongoing REVEAL Phase 1/2 Adolescent/Adult and Pediatric Trials from May 2025 Data Cutoff</w:t>
      </w:r>
    </w:p>
    <w:p>
      <w:pPr>
        <w:spacing w:after="0" w:line="11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The clinical trial efficacy data is based on the May 19, 2025, data cutoff, and included a total of 10 females with Rett syndrome (high dose, N=6; low dose, N=4) aged 6-21 years at dosing. and treated with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or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of TSHA-102. In both clinical trials, 100% of the pediatric, adolescent and adult patients gained or regained one or more defined developmental milestones across the core functional domains of communication, fine motor function, and gross motor function post-TSHA-102 administration, which had an approximately 0% likelihood of being achieved without treatment based on natural history data. The developmental milestone gains and regains were determined by multiple independent, central raters, who evaluated functional skills through video evidence at baseline and post-treatment against predefined binary criteria. An update on longer-term safety and efficacy data from the Part A REVEAL Phase 1/2 trials is expected in the second quarter of 2026.</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Milestones achieved post TSHA-102 treatment for all 10 patients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85725</wp:posOffset>
            </wp:positionV>
            <wp:extent cx="5288915" cy="1954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889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 total of 22 developmental milestones were achieved across the 10 patients. Developmental milestones were achieved early post-TSHA-102 administration, with new gains/regains demonstrated over time. The high dose cohort achieved a 100% responder rate 25% faster than the low dose cohort, supporting the accelerated functional benefit observed with the high dose.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 w:name="page10"/>
    <w:bookmarkEnd w:id="9"/>
    <w:p>
      <w:pPr>
        <w:ind w:left="760"/>
        <w:spacing w:after="0"/>
        <w:rPr>
          <w:sz w:val="20"/>
          <w:szCs w:val="20"/>
          <w:color w:val="auto"/>
        </w:rPr>
      </w:pPr>
      <w:r>
        <w:rPr>
          <w:rFonts w:ascii="Times New Roman" w:cs="Times New Roman" w:eastAsia="Times New Roman" w:hAnsi="Times New Roman"/>
          <w:sz w:val="18"/>
          <w:szCs w:val="18"/>
          <w:color w:val="auto"/>
        </w:rPr>
        <w:t>The developmental milestones that were gained or regained in the REVEAL trials across the core functional domains of Rett syndrome post-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TSHA-102 treatment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117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October 2025, we announced results from a new supplemental data analysis that provide supportive evidence of additional functional gains in skills and improvements across core disease characteristics outside of the 28 natural history defined developmental milestones that further reinforce TSHA-102’s consistent, multi-domain impact on activities of daily living. The supplemental data analysis was based on additional skills and improvements achieved in core disease characteristics outside of the natural history defined developmental milestones that were derived from structured efficacy scales assessed in Part A that are validated in Rett syndrome. The scales include the Adapted Mullen Scales of Early Learning, or MSEL-A, evaluating defined communication skills (N=5 patients with available data), the R-MBA, evaluating specific Rett syndrome disease characteristics (N=10 patients with available data), and the Observer-Reported Communication Ability, or ORCA, evaluating communication skills (N=5 patients with available data). Findings demonstrated that in addition to the developmental milestones achieved across the treatment cohort in Part A, all patients gained multiple additional functional skills and improvements across the domains of communication, fine motor, gross motor and autonomic function post administration of TSHA-102. Based on the May 2025 data cutoff, a total of 165 additional skills and improvements were achieved across the 10 patients, further supporting the potential broad and consistent therapeutic impact of TSHA-102 on functional abilities and activities of daily living that are important to caregivers and clinicians.</w:t>
      </w:r>
    </w:p>
    <w:p>
      <w:pPr>
        <w:spacing w:after="0" w:line="19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skills and improvements achieved across cored disease characteristics outside of the natural history defined developmental milestones is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114300</wp:posOffset>
            </wp:positionV>
            <wp:extent cx="5743575" cy="2459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3575"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Examples of multi-domain foundational gains and improvements demonstrated post-TSHA-102 impacting activities of daily living, based on developmental milestones and additional skills/improvements achieved are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114300</wp:posOffset>
            </wp:positionV>
            <wp:extent cx="5837555" cy="1688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755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high dose cohort consistently outperformed the low dose cohort in Part A of the REVEAL trials across multiple outcome measures. Specifically, improvements were observed across multiple clinician-assessed outcome measures, including R-MBA and CGI-I, which corroborated the developmental milestone gains/regains demonstrated post-TSHA-102 administration.</w:t>
      </w:r>
    </w:p>
    <w:p>
      <w:pPr>
        <w:spacing w:after="0" w:line="176" w:lineRule="exact"/>
        <w:rPr>
          <w:sz w:val="20"/>
          <w:szCs w:val="20"/>
          <w:color w:val="auto"/>
        </w:rPr>
      </w:pPr>
    </w:p>
    <w:p>
      <w:pPr>
        <w:jc w:val="both"/>
        <w:ind w:firstLine="749"/>
        <w:spacing w:after="0" w:line="312" w:lineRule="auto"/>
        <w:rPr>
          <w:sz w:val="20"/>
          <w:szCs w:val="20"/>
          <w:color w:val="auto"/>
        </w:rPr>
      </w:pPr>
      <w:r>
        <w:rPr>
          <w:rFonts w:ascii="Times New Roman" w:cs="Times New Roman" w:eastAsia="Times New Roman" w:hAnsi="Times New Roman"/>
          <w:sz w:val="17"/>
          <w:szCs w:val="17"/>
          <w:color w:val="auto"/>
        </w:rPr>
        <w:t>Patients demonstrated a statistically significant mean R-MBA score improvement post-TSHA-102 administration compared to natural history data at both six- and 12-months post-treatment. The improvement in R-MBA score at six- and 12-months post-treatment is depicted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31750</wp:posOffset>
            </wp:positionV>
            <wp:extent cx="5726430" cy="1988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2643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R-MBA mean score change post-TSHA-102 is relative to baseline; lower score=improvement from baseline</w:t>
      </w:r>
    </w:p>
    <w:p>
      <w:pPr>
        <w:spacing w:after="0" w:line="208"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TSHA-102 also demonstrated early global improvement, with dose-dependent effects deepening over time, in CGI-I. The high dose cohort consistently outperformed the low dose cohort in CGI-I at the comparable time points of three months, six months and nine months post-treatment. The CGI-I score improvement for both cohorts are summarized in the below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6172200" cy="1405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1" w:right="579" w:bottom="1440" w:gutter="0" w:footer="0" w:header="0"/>
        </w:sectPr>
      </w:pPr>
    </w:p>
    <w:bookmarkStart w:id="11" w:name="page12"/>
    <w:bookmarkEnd w:id="11"/>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high dose cohort continually outperformed the low dose cohort across key outcome measures six months post-treatment, with dose-dependent effects deepening over time at nine months or greater post-treatment. A summary of the dose-dependent effects is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45720</wp:posOffset>
            </wp:positionV>
            <wp:extent cx="5186045" cy="2220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8604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R-MBA mean score change post-TSHA-102 is relative to baseline; lower score=improvement from baseline</w:t>
      </w:r>
    </w:p>
    <w:p>
      <w:pPr>
        <w:spacing w:after="0" w:line="20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both the high dose and low dose cohorts of the TSHA-102 REVEAL clinical trials, TSHA-102 was generally well tolerated with no treatment-related serious adverse events, or SAEs, or dose limiting toxicities, or DLTs, as of the March 2026 data cutoff for 12 patients aged 6-21 years (high dose, N=8; low dose, N=4).</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Detailed safety data from the May 19, 2025 data cutoff for 12 patients aged 6-21 years (high dose, N=8; low dose, N=4) are detailed below. The treatment-emergent adverse events, or AEs, related to TSHA-102 were mild to moderate in severity. In addition, seizures have generally been well controlled following TSHA-102 administration. The number of adverse events across 12 pediatric, adolescent and adult patients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125730</wp:posOffset>
            </wp:positionV>
            <wp:extent cx="5837555" cy="2057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3755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ind w:right="600" w:firstLine="849"/>
        <w:spacing w:after="0" w:line="282" w:lineRule="auto"/>
        <w:rPr>
          <w:sz w:val="20"/>
          <w:szCs w:val="20"/>
          <w:color w:val="auto"/>
        </w:rPr>
      </w:pPr>
      <w:r>
        <w:rPr>
          <w:rFonts w:ascii="Times New Roman" w:cs="Times New Roman" w:eastAsia="Times New Roman" w:hAnsi="Times New Roman"/>
          <w:sz w:val="18"/>
          <w:szCs w:val="18"/>
          <w:color w:val="auto"/>
        </w:rPr>
        <w:t>We have a pipeline of early-stage gene therapy programs targeting CNS diseases that we may progress in the future or advance through potential partnerships.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TSHA-113 for Tauopathies</w:t>
      </w:r>
    </w:p>
    <w:p>
      <w:pPr>
        <w:spacing w:after="0" w:line="119"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developing TSHA-113 for the treatment of tauopathies. Tauopathies comprise a large subset of neurodegenerative diseases involving the aggregation of microtubule associated protein tau, or MAPT, protein into neurofibrillary or gliofibrillary tangles in the human brain. These include MAPT-associated frontotemporal dementia, or FTD, progressive supranuclear palsy, or PSP, corticobasal degeneration, or CD, and Alzheimer’s disease. There are an estimated 11,000 patients in United States and Europe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right="360"/>
        <w:spacing w:after="0" w:line="282" w:lineRule="auto"/>
        <w:rPr>
          <w:sz w:val="20"/>
          <w:szCs w:val="20"/>
          <w:color w:val="auto"/>
        </w:rPr>
      </w:pPr>
      <w:r>
        <w:rPr>
          <w:rFonts w:ascii="Times New Roman" w:cs="Times New Roman" w:eastAsia="Times New Roman" w:hAnsi="Times New Roman"/>
          <w:sz w:val="18"/>
          <w:szCs w:val="18"/>
          <w:color w:val="auto"/>
        </w:rPr>
        <w:t>affected by MAPT mediated FTD and 2,000 to 2,500 are affected with MAPT-mediated PSP and CD</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and Alzheimer’s disease affects an estimated 6.2 million Americans and 7.8 million Europeans.</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Intrathecal delivery of an antisense oligonucleotide, or ASO, targeting Tau mRNA by Biogen/Ionis in a Phase 1 study demonstrated durable, robust, time and dose dependent lowering of tau protein and phospho-tau in cerebrospinal fluid of Alzheimer’s disease patients. Buoyed by these results, in August 2022, Biogen started a Phase 2 trial in people with mild cognitive impairment or mild dementia due to Alzheimer’s disease. This ASO target validation paved the way for other approaches targeting intercellular tau mRNA (reduce tau protein production), for treating Tauopathies.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Unlike an ASO treatment, which would require repeat lifelong administration, we are developing a one-time treatment for Tauopathies. TSHA-113 is an AAV9 capsid that packages a tau-specific miRNA and is delivered in the cerebrospinal fluid for the treatment of tauopathies. This miRNA targets all six isoforms of tau mRNA.</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tested the efficacy of TSHA-113 in PS19 mice, a validated mouse model for tauopathies. These mice express human MAPT, and they exhibit significant tau pathology, neurodegeneration, loss of body weight and progressive hind-limb paralysis around nine to 12 months of age. We tested the efficacy of our treatment by delivering TSHA-113 to PS19 mice at three months, six months and nine months of age via intracisterna magna injection. We found that the tau mRNA and protein levels were significantly reduced by TSHA-113 treatment. Consistently, the tau seeding assay showed reduced levels of pathological tau in brains from PS19 mice treated with TSHA-113. In addition, TSHA-113 treatment was able to rescue the survival rate, loss in body weight, and the hind limb clasping phenotype in the PS19 mice when treated at three months, six months and nine months of age. Taken together, these results demonstrate that a one-time, vectorized delivery of a tau-specific miRNA is a promising approach for treatment for tauopathies. Ongoing and future work is focused on optimal dose determination for IND-enabling studies.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TSHA-114 for Fragile X Syndrome</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are developing TSHA-114 for the treatment of Fragile X syndrome, the most common single gene cause of autism and cognitive impairment, affecting about one in 6,000 individuals worldwide. Fragile X syndrome is diagnosed around three years of age and characterized by anxiety, aggression, hyperactivity, attention deficits and sleep and communication disruption.</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Fragile X syndrome is caused by a pathological expansion of a CGG triplet repeat in the 5’ untranslated region of the FMR1 gene. Expansion of the triplet above the normal 5–55 repeats to 200 or more causes hypermethylation of the gene promoter, and shutdown of transcription and translation of the encoded protein, fragile X mental retardation protein, or FMRP. The expanded repeat also induces formation of RNA:DNA heteroduplexes that induces epigenetic gene silencing. Although most patients with Fragile X syndrome do not express FMRP, some individuals with the full mutation produce low amounts of the protein (less than 10% of normal levels). FMRP expression in unaffected persons varies greatly from person to person. Current pharmacotherapeutic treatments for Fragile X syndrome are solely directed towards symptom relief.</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conducted proof of concept studies in animal models of Fragile X (Fmr1 KO) with TSHA-114. No significant adverse effects were observed in behavioral, serological or pathohistological markers up to 12 months after intrathecal administration of TSHA-114 in wild-type mice. TSHA-114-treated Fmr1 KO mice showed widespread FMRP expression throughout the brain post administration and robust suppression of audiogenic seizures and normalization of fear conditioning behavior. In addition, assessment of circadian locomotor activity revealed restoration of hyperactivity and sleep. Assessment of transgene expression and behavioral responses in individual mice demonstrated correlations between the level of FMRP expression and potential drug efficacy.</w:t>
      </w:r>
    </w:p>
    <w:p>
      <w:pPr>
        <w:spacing w:after="0" w:line="18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results from the study support continued development. Ongoing and future work is focused on optimal dose and route of administration determination for IND-enabling studies.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an estimated 75,000 patients with Fragile X syndrome in the United States and Europe.</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TSHA-106 for Angelman syndrome</w:t>
      </w:r>
    </w:p>
    <w:p>
      <w:pPr>
        <w:spacing w:after="0" w:line="119" w:lineRule="exact"/>
        <w:rPr>
          <w:sz w:val="20"/>
          <w:szCs w:val="20"/>
          <w:color w:val="auto"/>
        </w:rPr>
      </w:pPr>
    </w:p>
    <w:p>
      <w:pPr>
        <w:ind w:right="380" w:firstLine="849"/>
        <w:spacing w:after="0" w:line="282" w:lineRule="auto"/>
        <w:rPr>
          <w:sz w:val="20"/>
          <w:szCs w:val="20"/>
          <w:color w:val="auto"/>
        </w:rPr>
      </w:pPr>
      <w:r>
        <w:rPr>
          <w:rFonts w:ascii="Times New Roman" w:cs="Times New Roman" w:eastAsia="Times New Roman" w:hAnsi="Times New Roman"/>
          <w:sz w:val="18"/>
          <w:szCs w:val="18"/>
          <w:color w:val="auto"/>
        </w:rPr>
        <w:t>We were previously developing TSHA-106 for the treatment of Angelman syndrome, a neurodevelopmental disorder caused by a maternal deficiency of the UBE3A gene. In 2025, we discontinued the evaluation of TSHA-106.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we transferred rights to specific indications back to UT Southwestern.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Therapeutics Inc., or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of $1.0 million in connection with the Abeona Rett Agreement. In May 2023, we dosed the first patient with TSHA-102 in the Phase 1/2 REVEAL trial evaluating the safety and preliminary efficacy of TSHA-102 in adult patients with Rett syndrome and therefore triggered a milestone payment of $3.5 million in connection with the Abeona Rett Agreement. In December 2025, we dosed the first patient with TSHA-102 in the Phase 1/2 Part B REVEAL pivotal trial and therefore triggered a milestone payment of $3.0 million in connection with the Abeona Rett Agreement. This pivotal milestone fee was paid in January 2026. We recorded $3.0 million within research and development expenses in the consolidated statements of operations for the year ended December 31, 2025. No other milestone payments were made or triggered in connection with this agreement during the year ended December 31, 2025.</w:t>
      </w:r>
    </w:p>
    <w:p>
      <w:pPr>
        <w:spacing w:after="0" w:line="192"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 In February 2026, the Abeona CLN1 Agreement was mutually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Audentes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 Astellas Gene Therapy), or Astellas. In October 2025, the Option Agreement expired without Astellas exercising the GAN Option or Rett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expiration of the Option Agreement, we regained full and unencumbered global rights to TSHA-102.</w:t>
      </w:r>
    </w:p>
    <w:p>
      <w:pPr>
        <w:spacing w:after="0" w:line="2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w:t>
      </w:r>
    </w:p>
    <w:p>
      <w:pPr>
        <w:spacing w:after="0" w:line="187"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 xml:space="preserve">Under the Option Agreement, we also granted to Astellas an exclusive option to obtain an exclusive, worldwide, royalty and milestone- bearing right and license (A) to Exploit any Rett Product (as defined below), and (B) under any intellectual property rights controlled by us or any of our affiliates with respect to such Exploitation, or the Rett Option, and together with the GAN Option, each, an Option. Subject to certain extensions, the Rett Option was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from the Effective Date through a specified period of time following Astellas’ receipt of (1) certain clinical data from the female pediatric trial and (2) certain specified data with respect to TSHA-102, or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for example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also intend to seek patent protection or rely upon trade secret rights to protect other technologies that may be used to discover and validate targets, and that may be used to manufacture and develop novel gene therapy products. We are a party to license agreements that give us rights to use specific technologies in our gene therapy products and in manufacturing our products. Additional regulatory protection may also be afforded through data exclusivity, market exclusivity and patent term extensions where available.</w:t>
      </w:r>
    </w:p>
    <w:p>
      <w:pPr>
        <w:spacing w:after="0" w:line="192" w:lineRule="exact"/>
        <w:rPr>
          <w:sz w:val="20"/>
          <w:szCs w:val="20"/>
          <w:color w:val="auto"/>
        </w:rPr>
      </w:pPr>
    </w:p>
    <w:p>
      <w:pPr>
        <w:ind w:right="420" w:firstLine="849"/>
        <w:spacing w:after="0" w:line="261" w:lineRule="auto"/>
        <w:rPr>
          <w:sz w:val="20"/>
          <w:szCs w:val="20"/>
          <w:color w:val="auto"/>
        </w:rPr>
      </w:pPr>
      <w:r>
        <w:rPr>
          <w:rFonts w:ascii="Times New Roman" w:cs="Times New Roman" w:eastAsia="Times New Roman" w:hAnsi="Times New Roman"/>
          <w:sz w:val="18"/>
          <w:szCs w:val="18"/>
          <w:color w:val="auto"/>
        </w:rPr>
        <w:t>As of January 22, 2026, we in-license six U.S. patents, 13 foreign patents, 33 pending foreign patent applications and nine pending United States utility patent applications. We also own two pending U.S. patent applications. Our policy is to file patent applications to protect technology, inventions and improvements to inventions that may be commercially important to the development of our business. Patent applications and patents directed to specific product candidates are summarized below:</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w:t>
      </w:r>
    </w:p>
    <w:p>
      <w:pPr>
        <w:spacing w:after="0" w:line="11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four pending patent applications worldwide directed to a minigene encoding MECP2 packaged into an AAV vector, and methods of using that vector to treat Rett syndrome. Any patents based on these applications, if issued, are expected to expire in 2040, without taking into account any possible patent term adjustment, regulatory extensions, or terminal disclaimers, and assuming payment of all annuity and/or maintenance fees. We also in-license from The Board of Regents of The University of Texas System two issued U.S. patents and one issued foreign patent with claims to an AAV vector comprising a MecP2 transgene and a regulatory region, as well as methods of using the same to treat Rett Syndrome. The issued U.S. Patents will expire in 2040 and 2041, assuming all maintenance fees are timely paid.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Abeona Rett Agreement, we also sub-license from the University of Edinburgh and the University of Glasgow 10 pending patent applications worldwide directed to MECP2 expression cassettes for gene therapy. Any patents based on these applications, if issued, are expected to expire in 2038, without taking into account any possible patent term adjustment, regulatory extensions, or terminal disclaimers, and assuming payment of all annuity and/or maintenance fees. Under the Abeona Rett Agreement, we also sub-license from the University of Edinburgh and the University of Glasgow two Japanese patents, one Australian patent, one Korean patent and one U.S. patent, each with claims to a MECP2 expression cassette and vector comprising the same, as well as their use for treating Rett Syndrome. The Japanese, Australian and Korean patents will expire in 2038 assuming all maintenance fees are timely paid. The U.S. patent expires on October 11, 2040, assuming all maintenance fees are timely paid.</w:t>
      </w:r>
    </w:p>
    <w:p>
      <w:pPr>
        <w:spacing w:after="0" w:line="189" w:lineRule="exact"/>
        <w:rPr>
          <w:sz w:val="20"/>
          <w:szCs w:val="20"/>
          <w:color w:val="auto"/>
        </w:rPr>
      </w:pPr>
    </w:p>
    <w:p>
      <w:pPr>
        <w:ind w:firstLine="849"/>
        <w:spacing w:after="0" w:line="255" w:lineRule="auto"/>
        <w:rPr>
          <w:sz w:val="20"/>
          <w:szCs w:val="20"/>
          <w:color w:val="auto"/>
        </w:rPr>
      </w:pPr>
      <w:r>
        <w:rPr>
          <w:rFonts w:ascii="Times New Roman" w:cs="Times New Roman" w:eastAsia="Times New Roman" w:hAnsi="Times New Roman"/>
          <w:sz w:val="18"/>
          <w:szCs w:val="18"/>
          <w:color w:val="auto"/>
        </w:rPr>
        <w:t>Under the Abeona Rett Agreement, we also sub-license from the University of North Carolina at Chapel Hill 9 pending patent applications worldwide directed to feedback-enabled synthetic genes that inhibit MECP2 expression and use of these synthetic genes for treating Rett Syndrome. Any patents based on these applications, if issued, are expected to expire in 2039, without taking into account any possible patent term adjustment, regulatory extensions, or terminal disclaimers, and assuming payment of all annuity and/or maintenance fees. Under the Abeona Rett Agreement, we also sub-license from the University of North Carolina at Chapel Hill one Chinese patent, one Japanese patent and one U.S. patent with claims to feedback-enabled synthetic genes that inhibit MECP2 expression and use of these synthetic genes for treating Rett Syndrome. The foreign patents will expire in 2039 and the U.S. patent will expire in 2042, assuming payment of all annuity and/or maintenance fees.</w:t>
      </w:r>
    </w:p>
    <w:p>
      <w:pPr>
        <w:spacing w:after="0" w:line="189" w:lineRule="exact"/>
        <w:rPr>
          <w:sz w:val="20"/>
          <w:szCs w:val="20"/>
          <w:color w:val="auto"/>
        </w:rPr>
      </w:pPr>
    </w:p>
    <w:p>
      <w:pPr>
        <w:ind w:right="300" w:firstLine="849"/>
        <w:spacing w:after="0" w:line="266" w:lineRule="auto"/>
        <w:rPr>
          <w:sz w:val="20"/>
          <w:szCs w:val="20"/>
          <w:color w:val="auto"/>
        </w:rPr>
      </w:pPr>
      <w:r>
        <w:rPr>
          <w:rFonts w:ascii="Times New Roman" w:cs="Times New Roman" w:eastAsia="Times New Roman" w:hAnsi="Times New Roman"/>
          <w:sz w:val="18"/>
          <w:szCs w:val="18"/>
          <w:color w:val="auto"/>
        </w:rPr>
        <w:t>We also own two pending U.S. provisional patent applications directed to methods of assessing the severity of Rett Syndrome. Any patents based on these applications, if issued, are expected to expire in 2046, without taking into account any possible patent term adjustment, regulatory extensions, or terminal disclaimers, and assuming payment of all annuity and/or maintenance fees.</w:t>
      </w:r>
    </w:p>
    <w:p>
      <w:pPr>
        <w:spacing w:after="0" w:line="17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i w:val="1"/>
          <w:iCs w:val="1"/>
          <w:color w:val="auto"/>
        </w:rPr>
        <w:t>TSHA-113</w:t>
      </w:r>
    </w:p>
    <w:p>
      <w:pPr>
        <w:spacing w:after="0" w:line="11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in-license from The Board of Regents of The University of Texas System five pending patent applications worldwide directed to RNA interference (RNAi) constructs targeting MAPT and methods of using these constructs for the treatment of Tauopathies. Any patents based on these applications, if issued, are expected to expire in 2042, without taking into account any possible patent term adjustment, regulatory extensions, or terminal disclaimers, and assuming payment of all annuity and/or maintenance fees.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Fragile X Syndrome</w:t>
      </w:r>
    </w:p>
    <w:p>
      <w:pPr>
        <w:spacing w:after="0" w:line="119" w:lineRule="exact"/>
        <w:rPr>
          <w:sz w:val="20"/>
          <w:szCs w:val="20"/>
          <w:color w:val="auto"/>
        </w:rPr>
      </w:pPr>
    </w:p>
    <w:p>
      <w:pPr>
        <w:ind w:right="20" w:firstLine="749"/>
        <w:spacing w:after="0" w:line="281" w:lineRule="auto"/>
        <w:rPr>
          <w:sz w:val="20"/>
          <w:szCs w:val="20"/>
          <w:color w:val="auto"/>
        </w:rPr>
      </w:pPr>
      <w:r>
        <w:rPr>
          <w:rFonts w:ascii="Times New Roman" w:cs="Times New Roman" w:eastAsia="Times New Roman" w:hAnsi="Times New Roman"/>
          <w:sz w:val="17"/>
          <w:szCs w:val="17"/>
          <w:color w:val="auto"/>
        </w:rPr>
        <w:t>We in-license from The Board of Regents of The University of Texas System and the University of Toronto three pending patent application worldwide directed to FMR1-encoding transgene packaged in an AAV vector and methods of using that vector to treat disorders associated with aberrant FMR1 expression (such as Fragile X Syndrome). Any patents based on these applications, if issued, are expected to expire in 2043, without taking into account any possible patent term adjustment, regulatory extensions, or terminal disclaimers, and assuming payment of all annuity and/or maintenance fees.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U.S. Food and Drug Administration, or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Biological products are subject to regulation under the Food, Drug, and Cosmetic Act, or FDCA, and the Public Health Service Act, or PHSA,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Biologics Regulation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process required by the FDA before biological product candidates may be marketed in the United States generally involves the following:</w:t>
      </w:r>
    </w:p>
    <w:p>
      <w:pPr>
        <w:spacing w:after="0" w:line="117" w:lineRule="exact"/>
        <w:rPr>
          <w:sz w:val="20"/>
          <w:szCs w:val="20"/>
          <w:color w:val="auto"/>
        </w:rPr>
      </w:pPr>
    </w:p>
    <w:p>
      <w:pPr>
        <w:ind w:left="1140" w:right="120" w:hanging="383"/>
        <w:spacing w:after="0" w:line="282"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and animal studies performed in accordance with applicable regulations, including the good laboratory practice, or GLP, regulations;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6" w:name="page17"/>
    <w:bookmarkEnd w:id="16"/>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biological product candidate for its intended purpose;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 requirements, or cGMPs, and to assure that the facilities, methods and controls are adequate to preserve the biological product’s continued safety, purity and potency, and of selected clinical investigation sites to assess compliance with the FDA’s good clinical practices, or GCPs;</w:t>
      </w:r>
    </w:p>
    <w:p>
      <w:pPr>
        <w:spacing w:after="0" w:line="7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11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a BLA to permit commercial marketing of the product for particular indications for use in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8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NIH Guidelines.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92"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firstLine="749"/>
        <w:spacing w:after="0" w:line="282" w:lineRule="auto"/>
        <w:rPr>
          <w:sz w:val="20"/>
          <w:szCs w:val="20"/>
          <w:color w:val="auto"/>
        </w:rPr>
      </w:pPr>
      <w:r>
        <w:rPr>
          <w:rFonts w:ascii="Times New Roman" w:cs="Times New Roman" w:eastAsia="Times New Roman" w:hAnsi="Times New Roman"/>
          <w:sz w:val="18"/>
          <w:szCs w:val="18"/>
          <w:color w:val="auto"/>
        </w:rPr>
        <w:t>For purposes of BLA approval of a product candidate, human clinical trials are typically conducted in three sequential phases that may overlap or be combined:</w:t>
      </w:r>
    </w:p>
    <w:p>
      <w:pPr>
        <w:spacing w:after="0" w:line="54" w:lineRule="exact"/>
        <w:rPr>
          <w:sz w:val="20"/>
          <w:szCs w:val="20"/>
          <w:color w:val="auto"/>
        </w:rPr>
      </w:pPr>
    </w:p>
    <w:p>
      <w:pPr>
        <w:ind w:left="1140" w:right="200" w:hanging="383"/>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For gene therapies, the investigational product is initially introduced into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6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to evaluate the preliminary efficacy, optimal dosages and dosing schedule and to identify possible adverse side effects and safety risks.</w:t>
      </w:r>
    </w:p>
    <w:p>
      <w:pPr>
        <w:spacing w:after="0" w:line="53"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w:t>
      </w:r>
    </w:p>
    <w:p>
      <w:pPr>
        <w:spacing w:after="0" w:line="121"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 The FDA has sixty days from the applicant’s submission of a BLA to either issue a refusal to file letter or accept the BLA for filing, indicating that it is sufficiently complete to permit substantive review.</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Once a BLA has been accepted for filing,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for its intended use, and whether the facility in which it is manufactured, processed, packed or held meets standards designed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manufactured,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The FDA may delay or refuse approval of a BLA if applicable regulatory criteria are not satisfied, require additional testing or information and/or require post-marketing testing and surveillance to monitor safety or efficacy of a product.</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 regenerative medicine advanced therapy, or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studies, patient registries, or other sources of real-world evidence, such as electronic health records; the collection of larger confirmatory data sets; or post-approval monitoring of all patients treated with such therapy prior to its approval.</w:t>
      </w:r>
    </w:p>
    <w:p>
      <w:pPr>
        <w:spacing w:after="0" w:line="194"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including a product with a fast track designation and/or breakthrough therapy designation, may be eligible for other types of FDA programs intended to expedite the FDA review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9" w:name="page20"/>
    <w:bookmarkEnd w:id="1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Fast track designation, breakthrough therapy designation, RMAT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than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holder of the orphan drug exclusivity cannot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with the potential for PRVs to be granted until September 30, 2029.</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p>
    <w:p>
      <w:pPr>
        <w:spacing w:after="0" w:line="19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33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collectively the ACA, includes a subtitle called the Biologics Price Competition and Innovation Act, or BPCIA, which created an abbreviated approval pathway for biological products that are biosimilar to or interchangeable with an FDA-approved reference biological product. The FDA has issued several guidance documents outlining an approach to review and approval of biosimilars.</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1" w:name="page22"/>
    <w:bookmarkEnd w:id="21"/>
    <w:p>
      <w:pPr>
        <w:ind w:right="240"/>
        <w:spacing w:after="0" w:line="261" w:lineRule="auto"/>
        <w:rPr>
          <w:sz w:val="20"/>
          <w:szCs w:val="20"/>
          <w:color w:val="auto"/>
        </w:rPr>
      </w:pPr>
      <w:r>
        <w:rPr>
          <w:rFonts w:ascii="Times New Roman" w:cs="Times New Roman" w:eastAsia="Times New Roman" w:hAnsi="Times New Roman"/>
          <w:sz w:val="18"/>
          <w:szCs w:val="18"/>
          <w:color w:val="auto"/>
        </w:rPr>
        <w:t>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litigation. As a result, the ultimate impact of the BPCIA is subject to significant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Regulation of medicinal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 in the European Union</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are subject to significant regulatory controls. In the European Union, clinical trials are governed by the Clinical Trials Regulation (EU) No 536/2014, or CTR, which entered into application on January 31, 2022 repealing and replacing the former Clinical Trials Directive 2001/20, or CTD.</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or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194"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all cases, clinical trials must be conducted in accordance with GCP and the applicable regulatory requirements and the ethical principles that have their origin in the Declaration of Helsinki. Medicines used in clinical trials, including ATMPs, must be manufactured in accordance with the guidelines on cGMP and in a GMP licensed facility, which can be subject to GMP inspections.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EU Review and approval process</w:t>
      </w:r>
    </w:p>
    <w:p>
      <w:pPr>
        <w:spacing w:after="0" w:line="11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In the European Union, medicinal products can only be commercialized after a related marketing authorization, or MA, has been granted. To obtain an MA for a product in the European Union, an applicant must submit a Marketing Authorization Application, or MAA, either under a centralized procedure administered by the European Medicines Agency, or EMA, or one of the procedures administered by the competent authorities of EU Member States (decentralized procedure, national procedure or mutual recognition procedure). An MA may be granted only to an applicant established in the European Union.</w:t>
      </w:r>
    </w:p>
    <w:p>
      <w:pPr>
        <w:spacing w:after="0" w:line="183"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throughout the EEA (which is comprised of the 27 EU Member States plus Norway, Iceland and Liechtenstein). Pursuant to Regulation (EC) No 726/2004, the centralized procedure is compulsory for specific products, including for (i) medicinal products derived from biotechnological processes, (ii) products designated as orphan medicinal products, (iii) advanced therapy medicinal products, or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or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or CMDh, for review. The subsequent decision of the European Commission is binding on all EU Member States.</w:t>
      </w:r>
    </w:p>
    <w:p>
      <w:pPr>
        <w:spacing w:after="0" w:line="19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9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there is an unmet medical need (there is no satisfactory method of diagnosis, prevention or treatment in the European Union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European Union, 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Advanced Therapy Medicinal Products in the European Union</w:t>
      </w:r>
    </w:p>
    <w:p>
      <w:pPr>
        <w:spacing w:after="0" w:line="11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Advanced Therapy Medicinal Products, or ATMPs, include gene therapy products as well as somatic cell therapy products and tissue engineered products. The grant of marketing authorization in the European Union for products containing viable human tissues or cells such as gene therapy medicinal products is governed by Regulation (EC) No. 1394/2007 on ATMPs, read in combination with Directive (EC) No. 2001/83 of the European Parliament and of the Council, commonly known as the Community code on medicinal products. Regulation (EC) No. 1394/2007 establishes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 which is required to provide an opinion regarding the application for marketing authorization. The European Commission grants or refuses marketing authorization in light of the opinion delivered by the EMA.</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Products made from substances of human origin must also comply with Regulation (EU) 2024/1938 on standards of quality and safety for substances of human origin intended for human application. This Regulation describes the conditions and quality requirements which must be applied when sourcing the substances of human origin intended for manufacturing of such medicinal products and removed divergences between EU Member States that were present under the (now repealed) Directive (EC) No. 2004/23.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1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the European Union, Regulation (EC) No 1901/2006 provides that all MAAs for new medicinal products have to include the results of trials conducted in the pediatric population, in compliance with a pediatric investigation plan, or PIP, agreed with the EMA’s Pediatric Committee, or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Manufacturing Regulation in the European Union</w:t>
      </w:r>
    </w:p>
    <w:p>
      <w:pPr>
        <w:spacing w:after="0" w:line="11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manufacturing and placing on the EU market of medicinal products. The manufacturing of medicinal products in the European Union requires a manufacturing authorization and import of medicinal products into the European Union requires a manufacturing authorization allowing for import. The manufacturing authorization holder must comply with various requirements set out in the applicable EU laws, regulations and guidance, including EU cGMP standards. Similarly, the distribution of medicinal products within the European Union is subject to compliance with the applicable EU laws, regulations and guidelines, including the requirement to hold appropriate authorizations for distribution granted by the competent authorities of EU Member States. Marketing authorization holders and/or manufacturing and import authorization, or MA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 Exclusivity in the European Union</w:t>
      </w:r>
    </w:p>
    <w:p>
      <w:pPr>
        <w:spacing w:after="0" w:line="119"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The European Union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European Union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European Union until 10 years have elapsed from the initial MA of the reference product in the European Union.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chemical/biological entity, and products may not qualify for data exclusivity.</w:t>
      </w:r>
    </w:p>
    <w:p>
      <w:pPr>
        <w:spacing w:after="0" w:line="194" w:lineRule="exact"/>
        <w:rPr>
          <w:sz w:val="20"/>
          <w:szCs w:val="20"/>
          <w:color w:val="auto"/>
        </w:rPr>
      </w:pPr>
    </w:p>
    <w:p>
      <w:pPr>
        <w:ind w:right="20" w:firstLine="849"/>
        <w:spacing w:after="0" w:line="261" w:lineRule="auto"/>
        <w:rPr>
          <w:sz w:val="20"/>
          <w:szCs w:val="20"/>
          <w:color w:val="auto"/>
        </w:rPr>
      </w:pPr>
      <w:r>
        <w:rPr>
          <w:rFonts w:ascii="Times New Roman" w:cs="Times New Roman" w:eastAsia="Times New Roman" w:hAnsi="Times New Roman"/>
          <w:sz w:val="18"/>
          <w:szCs w:val="18"/>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for MA. Guidelines from the EMA detail the type of quantity of supplementary data to be provided for different types of biological product.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Designation in the European Union</w:t>
      </w:r>
    </w:p>
    <w:p>
      <w:pPr>
        <w:spacing w:after="0" w:line="119" w:lineRule="exact"/>
        <w:rPr>
          <w:sz w:val="20"/>
          <w:szCs w:val="20"/>
          <w:color w:val="auto"/>
        </w:rPr>
      </w:pPr>
    </w:p>
    <w:p>
      <w:pPr>
        <w:ind w:right="160" w:firstLine="849"/>
        <w:spacing w:after="0" w:line="255" w:lineRule="auto"/>
        <w:rPr>
          <w:sz w:val="20"/>
          <w:szCs w:val="20"/>
          <w:color w:val="auto"/>
        </w:rPr>
      </w:pPr>
      <w:r>
        <w:rPr>
          <w:rFonts w:ascii="Times New Roman" w:cs="Times New Roman" w:eastAsia="Times New Roman" w:hAnsi="Times New Roman"/>
          <w:sz w:val="18"/>
          <w:szCs w:val="18"/>
          <w:color w:val="auto"/>
        </w:rPr>
        <w:t>In the European Union, Regulation (EC) No. 141/2000, as implemented by Regulation (EC) No. 847/2000 provides that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w:t>
      </w:r>
    </w:p>
    <w:p>
      <w:pPr>
        <w:spacing w:after="0" w:line="18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Regulation (EC) No 847/2000 sets out further provisions for implementation of the criteria for designation of a medicinal product as an orphan medicinal product. An application for the designation of a medicinal product as an orphan medicinal product must be submitted at any stage of development of the medicinal product but before filing of an MAA. An MA for an orphan medicinal product may only include indications designated as orphan. For non-orphan indications treated with the same active pharmaceutical ingredient, a separate marketing authorization has to be sought.</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period of market exclusivity may, however, be reduced to six years if, at the end of the fifth year, it is established that the product no longer meets the criteria on the basis of which it received orphan medicinal product destination, including where it can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5" w:name="page26"/>
    <w:bookmarkEnd w:id="25"/>
    <w:p>
      <w:pPr>
        <w:ind w:right="80"/>
        <w:spacing w:after="0" w:line="256" w:lineRule="auto"/>
        <w:rPr>
          <w:sz w:val="20"/>
          <w:szCs w:val="20"/>
          <w:color w:val="auto"/>
        </w:rPr>
      </w:pPr>
      <w:r>
        <w:rPr>
          <w:rFonts w:ascii="Times New Roman" w:cs="Times New Roman" w:eastAsia="Times New Roman" w:hAnsi="Times New Roman"/>
          <w:sz w:val="18"/>
          <w:szCs w:val="18"/>
          <w:color w:val="auto"/>
        </w:rPr>
        <w:t>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Post-authorization Requirements</w:t>
      </w:r>
    </w:p>
    <w:p>
      <w:pPr>
        <w:spacing w:after="0" w:line="11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European Union,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7"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European Union, the advertising and promotion of medicinal products are subject to both European Union and EU Member States’ laws governing promotion of medicinal products, interactions with physicians and other healthcare professionals, misleading and comparative advertising and unfair commercial practices. General requirements for advertising and promotion of medicinal products, such as direct-to-consumer advertising of prescription medicinal products are established in EU law. However,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which may require approval by the competent national authorities in connection with an MA. The SmPC is the document that provides information to physicians concerning the safe and effective use of the product. Promotional activity that does not comply with the SmPC is considered off-label and is prohibited in the European Union.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the Health Insurance Portability and Accountability Act of 1996, or HIPAA, and similar foreign, federal and state fraud and abuse, transparency and privacy laws.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8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Civil and criminal false claims laws, and civil monetary penalty laws, including the civil False Claims Act, which can be enforced through civil whistleblower or qui tam actions, prohibit, among other things, individuals or entities from knowingly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60"/>
        <w:spacing w:after="0" w:line="256" w:lineRule="auto"/>
        <w:rPr>
          <w:sz w:val="20"/>
          <w:szCs w:val="20"/>
          <w:color w:val="auto"/>
        </w:rPr>
      </w:pPr>
      <w:r>
        <w:rPr>
          <w:rFonts w:ascii="Times New Roman" w:cs="Times New Roman" w:eastAsia="Times New Roman" w:hAnsi="Times New Roman"/>
          <w:sz w:val="18"/>
          <w:szCs w:val="18"/>
          <w:color w:val="auto"/>
        </w:rPr>
        <w:t>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HIPAA created additional federal civil and criminal liability for, among other things, knowingly and willfully executing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addition, HIPAA, as amended by the Health Information Technology for Economic and Clinical Health Act of 2009, or HITECH, and their respective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relating to the privacy, security and transmission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Medicare &amp; Medicaid Services, or CMS, information related to payments or other transfers of value made to physicians (currently defined to include doctors, dentists, optometrists, podiatrists and chiropractors), other health care professionals (such as physician assistants and nurse practitioners) and teaching hospitals, as well as ownership and investment interests held by physicians and their immediate family members.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 party payors, including private insurers, or that apply regardless of payor, state and foreign laws which require pharmaceutical companies to comply with the pharmaceutical industry’s voluntary compliance guidelines and the relevant compliance guidance promulgated by the government, state, local and foreign laws which require pharmaceutical companies to report information related to payments and other transfers of value to physicians and other healthcare providers or marketing expenditures, state and foreign laws which require the reporting of information related to drug pricing, state, local and foreign laws requiring the registration of pharmaceutical sales representatives, and state and foreign laws governing 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imprisonment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Nonetheless, product candidates may not be considered medically necessary or cost effective. A decision by a third-party payor not to cover any product candidates we may develop could reduce physician utilization of such product candidates once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 w:name="page28"/>
    <w:bookmarkEnd w:id="27"/>
    <w:p>
      <w:pPr>
        <w:ind w:right="140"/>
        <w:spacing w:after="0" w:line="258" w:lineRule="auto"/>
        <w:rPr>
          <w:sz w:val="20"/>
          <w:szCs w:val="20"/>
          <w:color w:val="auto"/>
        </w:rPr>
      </w:pPr>
      <w:r>
        <w:rPr>
          <w:rFonts w:ascii="Times New Roman" w:cs="Times New Roman" w:eastAsia="Times New Roman" w:hAnsi="Times New Roman"/>
          <w:sz w:val="18"/>
          <w:szCs w:val="18"/>
          <w:color w:val="auto"/>
        </w:rPr>
        <w:t>approved and have a material adverse effect on our sales, results of operations and financial condition.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8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76"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Further,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90" w:lineRule="exact"/>
        <w:rPr>
          <w:sz w:val="20"/>
          <w:szCs w:val="20"/>
          <w:color w:val="auto"/>
        </w:rPr>
      </w:pPr>
    </w:p>
    <w:p>
      <w:pPr>
        <w:ind w:right="20" w:firstLine="749"/>
        <w:spacing w:after="0" w:line="251"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biological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study that compares the cost effectiveness of any product candidates we may develop to other available therapies. The conduct of such a clinical study could be expensive and result in delays in our commercialization efforts.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This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and we expect there will be additional challenges and amendments to the ACA in the future.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spacing w:after="0" w:line="190" w:lineRule="exact"/>
        <w:rPr>
          <w:sz w:val="20"/>
          <w:szCs w:val="20"/>
          <w:color w:val="auto"/>
        </w:rPr>
      </w:pPr>
    </w:p>
    <w:p>
      <w:pPr>
        <w:ind w:firstLine="849"/>
        <w:spacing w:after="0" w:line="268" w:lineRule="auto"/>
        <w:rPr>
          <w:sz w:val="20"/>
          <w:szCs w:val="20"/>
          <w:color w:val="auto"/>
        </w:rPr>
      </w:pPr>
      <w:r>
        <w:rPr>
          <w:rFonts w:ascii="Times New Roman" w:cs="Times New Roman" w:eastAsia="Times New Roman" w:hAnsi="Times New Roman"/>
          <w:sz w:val="17"/>
          <w:szCs w:val="17"/>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Inflation Reduction Act of 2022, or IRA.</w:t>
      </w:r>
    </w:p>
    <w:p>
      <w:pPr>
        <w:spacing w:after="0" w:line="395" w:lineRule="exact"/>
        <w:rPr>
          <w:sz w:val="20"/>
          <w:szCs w:val="20"/>
          <w:color w:val="auto"/>
        </w:rPr>
      </w:pPr>
    </w:p>
    <w:p>
      <w:pPr>
        <w:ind w:right="20" w:firstLine="849"/>
        <w:spacing w:after="0" w:line="219" w:lineRule="exact"/>
        <w:rPr>
          <w:sz w:val="20"/>
          <w:szCs w:val="20"/>
          <w:color w:val="auto"/>
        </w:rPr>
      </w:pPr>
      <w:r>
        <w:rPr>
          <w:rFonts w:ascii="Times New Roman" w:cs="Times New Roman" w:eastAsia="Times New Roman" w:hAnsi="Times New Roman"/>
          <w:sz w:val="18"/>
          <w:szCs w:val="18"/>
          <w:color w:val="auto"/>
        </w:rPr>
        <w:t>On January 12, 2025, Regulation No 2021/2282 on Health Technology Assessment, or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Regulation establishes a framework for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joint clinical assessments, joint scientific consultations, and the early identification of emerging health technologies. The Regulation permits EU Member States to use common tools, methodologies, and procedures and requires them to rely on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spacing w:after="0" w:line="19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Additional state, federal and foreign healthcare reform measures may be adopted in the future.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may process personal or sensitive data. Accordingly, we are subject to numerous data privacy and security obligations, including federal, state, local, and foreign laws, regulations, guidance, and industry standards related to data privacy, security, and protection. Such obligations may include, without limitation, the Federal Trade Commission Act, the Telephone Consumer Protection Act of 1991, the Controlling the Assault of Non-Solicited Pornography And Marketing Act of 2003, the California Consumer Privacy Act of 2018, or the CCPA, the Canadian Personal Information Protection and Electronic Documents Act, Canada’s Anti-Spam Legislation, the European Union’s General Data Protection Regulation 2016/679, or the EU GDPR, the EU GDPR as it forms part of UK law by virtue of section 3 of the European Union (Withdrawal) Act 2018, or the UK GDPR, and the ePrivacy Directive. Several states within the United States have enacted or proposed data privacy laws. Additionally, we are, or may become, subject to various U.S. federal and state consumer protection laws which require us to publish statements that accurately and fairly describe how we handle personal data and choices individuals may have about the way we handle their personal data.</w:t>
      </w:r>
    </w:p>
    <w:p>
      <w:pPr>
        <w:spacing w:after="0" w:line="18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CCPA, UK GDPR, and EU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Numerous U.S. states have enacted similar comprehensive privacy laws that impose certain obligations on covered businesses, including providing specific disclosures in privacy notices and affording residents with certain rights concerning their personal data.</w:t>
      </w:r>
    </w:p>
    <w:p>
      <w:pPr>
        <w:spacing w:after="0" w:line="192"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18"/>
          <w:szCs w:val="18"/>
          <w:color w:val="auto"/>
        </w:rPr>
        <w:t>Foreign data privacy and security laws (including but not limited to the EU GDPR and UK GDPR) impose significant and complex compliance obligations on entities that are subject to those laws. As one example, the EU GDPR applies to any company established in the EEA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See the section titled “Risk Factors – General Risks” for additional information about the laws and regulations to which we may become subject and about the risks to our business associated with such laws and regulation.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340" w:firstLine="636"/>
        <w:spacing w:after="0" w:line="282" w:lineRule="auto"/>
        <w:rPr>
          <w:sz w:val="20"/>
          <w:szCs w:val="20"/>
          <w:color w:val="auto"/>
        </w:rPr>
      </w:pPr>
      <w:r>
        <w:rPr>
          <w:rFonts w:ascii="Times New Roman" w:cs="Times New Roman" w:eastAsia="Times New Roman" w:hAnsi="Times New Roman"/>
          <w:sz w:val="18"/>
          <w:szCs w:val="18"/>
          <w:color w:val="auto"/>
        </w:rPr>
        <w:t>Our human capital is integral to helping us achieve our mission of eradicating monogenic diseases of the CNS. We have built a culture of high performance based on our core values:</w:t>
      </w:r>
    </w:p>
    <w:p>
      <w:pPr>
        <w:spacing w:after="0" w:line="54" w:lineRule="exact"/>
        <w:rPr>
          <w:sz w:val="20"/>
          <w:szCs w:val="20"/>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cutting-edge technologies and medicines;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an ally to the rare disease community;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Uncovering never-before-seen scientific discoveries;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true sense for the term “partnership”;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uncharted territory.</w:t>
      </w:r>
    </w:p>
    <w:p>
      <w:pPr>
        <w:spacing w:after="0" w:line="22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ind w:right="60" w:firstLine="749"/>
        <w:spacing w:after="0" w:line="312" w:lineRule="auto"/>
        <w:rPr>
          <w:sz w:val="20"/>
          <w:szCs w:val="20"/>
          <w:color w:val="auto"/>
        </w:rPr>
      </w:pPr>
      <w:r>
        <w:rPr>
          <w:rFonts w:ascii="Times New Roman" w:cs="Times New Roman" w:eastAsia="Times New Roman" w:hAnsi="Times New Roman"/>
          <w:sz w:val="17"/>
          <w:szCs w:val="17"/>
          <w:color w:val="auto"/>
        </w:rPr>
        <w:t>As of December 31, 2025, we had 99 employees, all of whom were full-time. All of our employees are located in the United States. None of our employees are represented by a labor union or covered by a collective bargaining agreement. We consider our relationship with our employees to be good.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Texas in September 2019. In February 2020, we converted to a Delaware corporation. Our principal executive offices are located at 3000 Pegasus Park Drive, Suite 1430, Dallas, Texas 75247 and our telephone number is (214) 612-0000.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Our internet website address is </w:t>
      </w:r>
      <w:r>
        <w:rPr>
          <w:rFonts w:ascii="Times New Roman" w:cs="Times New Roman" w:eastAsia="Times New Roman" w:hAnsi="Times New Roman"/>
          <w:sz w:val="18"/>
          <w:szCs w:val="18"/>
          <w:i w:val="1"/>
          <w:iCs w:val="1"/>
          <w:color w:val="auto"/>
        </w:rPr>
        <w:t>www.tayshagtx.com</w:t>
      </w:r>
      <w:r>
        <w:rPr>
          <w:rFonts w:ascii="Times New Roman" w:cs="Times New Roman" w:eastAsia="Times New Roman" w:hAnsi="Times New Roman"/>
          <w:sz w:val="18"/>
          <w:szCs w:val="18"/>
          <w:color w:val="auto"/>
        </w:rPr>
        <w:t>.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60"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7"/>
          <w:szCs w:val="17"/>
          <w:color w:val="auto"/>
        </w:rPr>
        <w:t xml:space="preserve">Our annual reports on Form 10-K, quarterly reports on Form 10-Q, current reports on Form 8-K and amendments to those reports filed or furnished pursuant to Section 13(a) or 15(d) of the Securities Exchange Act of 1934, as amended, are available free of charge through our website as soon as reasonably practicable after they are electronically filed with or furnished to the Securities and Exchange Commission, or SEC. Additionally the SEC maintains an internet site that contains reports, proxy and information statements and other information. The address of the SEC's website is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Risks Affecting Our Business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54" w:lineRule="exact"/>
        <w:rPr>
          <w:sz w:val="20"/>
          <w:szCs w:val="20"/>
          <w:color w:val="auto"/>
        </w:rPr>
      </w:pPr>
    </w:p>
    <w:p>
      <w:pPr>
        <w:ind w:left="1140" w:right="3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3"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jc w:val="both"/>
        <w:ind w:left="1140" w:right="60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preclinical or 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rFonts w:ascii="Times New Roman" w:cs="Times New Roman" w:eastAsia="Times New Roman" w:hAnsi="Times New Roman"/>
          <w:sz w:val="18"/>
          <w:szCs w:val="18"/>
          <w:color w:val="auto"/>
        </w:rPr>
      </w:pPr>
    </w:p>
    <w:p>
      <w:pPr>
        <w:ind w:left="1140" w:right="4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novel gene therapy product candidates, which makes it difficult to predict the time, cost and potential success of product candidate development.</w:t>
      </w:r>
    </w:p>
    <w:p>
      <w:pPr>
        <w:spacing w:after="0" w:line="53"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or FDA, the European Commission and comparable foreign authorities are lengthy, time consuming and inherently unpredictable. If we are not able to obtain required regulatory approval for our product candidates, our business will be substantially harmed.</w:t>
      </w:r>
    </w:p>
    <w:p>
      <w:pPr>
        <w:spacing w:after="0" w:line="67"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completed testing of any product candidates in clinical trials. Success in preclinical studies or earlier clinical trials, including our Phase 1/2 REVEAL trials of TSHA-102, may not be indicative of results in future clinical trials or provide support for the submission of a marketing application.</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or our next-generation platform technologies.</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3"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contract manufacturers for AAV9 are subject to significant regulation with respect to manufacturing our products. The third-party manufacturing facilities on which we rely, and any manufacturing facility that we may have in the future, may have limited capacity or fail to meet the applicable stringent regulatory requirements.</w:t>
      </w:r>
    </w:p>
    <w:p>
      <w:pPr>
        <w:spacing w:after="0" w:line="67"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exclusively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71" w:lineRule="exact"/>
        <w:rPr>
          <w:rFonts w:ascii="Times New Roman" w:cs="Times New Roman" w:eastAsia="Times New Roman" w:hAnsi="Times New Roman"/>
          <w:sz w:val="18"/>
          <w:szCs w:val="18"/>
          <w:color w:val="auto"/>
        </w:rPr>
      </w:pPr>
    </w:p>
    <w:p>
      <w:pPr>
        <w:ind w:left="1140" w:right="380" w:hanging="383"/>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 Southwestern has entered into collaborations with third parties, including certain of our competitors, addressing targets and disease indications outside the scope of our collaboration. As a result, UT Southwestern may have competing interests with respect to their priorities and resources.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2" w:name="page33"/>
    <w:bookmarkEnd w:id="32"/>
    <w:p>
      <w:pPr>
        <w:ind w:left="1140" w:right="20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opinion of gene therapy and increased regulatory scrutiny of gene therapy and genetic research may adversely impact the development or commercial success of our current and future product candidates.</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53"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from time to time which seek material damages.</w:t>
      </w:r>
    </w:p>
    <w:p>
      <w:pPr>
        <w:spacing w:after="0" w:line="117"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term loan agreement contains restrictions that potentially limit our flexibility in operating our business, and we may be required to make a prepayment or repay our outstanding indebtedness earlier than we expect.</w:t>
      </w:r>
    </w:p>
    <w:p>
      <w:pPr>
        <w:spacing w:after="0" w:line="53"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related to any of our product candidates, we may not be able to compete effectively in our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5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Since our inception, we have incurred significant net losses, and we expect to continue to incur significant expenses and operating losses for the foreseeable future. Our net losses were $109.0 million and $89.3 million for the years ended December 31, 2025 and 2024, respectively. As of December 31, 2025, we had an accumulated deficit of $711.3 million. We have financed our operations with $961.0 million in gross proceeds from equity financings, including from pre-IPO private placements of convertible preferred stock, our initial public offering, or the IPO, and subsequent sales of common stock in public and private securities offerings, including but not limited to our at-the-market, or ATM, offering, from our previous loan agreement with Silicon Valley Bank and our current loan agreement with Trinity Capital and from the option agreement dated October 21, 2022, or the Option Agreement, with Audentes Therapeutics, Inc. (d/b/a Astellas Gene Therapy), or Astellas, and the securities purchase agreement dated October 21, 2022, or the Securities Purchase Agreement (and together with the Option Agreement, the Astellas Transactions), with Astellas. We have no products approved for commercialization and have never generated any revenue from product sales.</w:t>
      </w:r>
    </w:p>
    <w:p>
      <w:pPr>
        <w:spacing w:after="0" w:line="188"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All of our product candidates are still in the clinical or preclinical development stage. We expect to continue to incur significant expenses and operating losses over the next several years. We expect that it could be several years, if ever, before we have a commercialized product. Our net losses may fluctuate significantly from quarter to quarter and year to year. We anticipate that our expenses will increase substantially as we:</w:t>
      </w:r>
    </w:p>
    <w:p>
      <w:pPr>
        <w:spacing w:after="0" w:line="68"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3" w:name="page34"/>
    <w:bookmarkEnd w:id="33"/>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obtaining regulatory approval, and manufacturing, marketing and selling any product candidates for which we may obtain regulatory approval, as well as discovering and developing additional product candidates. We are only in the preliminary stages of most of these activities and all of our product candidates are in clinical or preclinical development. We may never succeed in these activities and, even if we do, may never generate any revenue or revenue that is significant enough to achieve profitability.</w:t>
      </w:r>
    </w:p>
    <w:p>
      <w:pPr>
        <w:spacing w:after="0" w:line="18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8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are a clinical-stage gene therapy company with a limited operating history. We commenced operations in 2019, and our operations to date have been largely focused on organizing and staffing our company, business planning, raising capital and entering into collaboration and license agreements for conducting preclinical research and development activities for our product candidates and gene therapy pipeline. To date, we have not yet demonstrated our ability to successfully complete clinical trials, including pivotal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8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We expect to continue to incur significant expenses and operating losses over the next several years as we conduct clinical trials of our product candidates, initiate future clinical trials of our product candidates, advance our preclinical programs, seek marketing approval for any product candidates that successfully complete clinical trials and advance any of our other product candidates we may develop or otherwise acquire. In addition, our product candidates, if approved, may not achieve commercial success. Our revenue, if any, primarily will be derived from sales of products that we do not expect to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w:t>
      </w:r>
    </w:p>
    <w:p>
      <w:pPr>
        <w:spacing w:after="0" w:line="194"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$319.8 million. We believe that our existing cash and cash equivalents will be sufficient to fund our operating expenses and capital requirements into 2028. This estimate is based on assumptions that may prove to be wrong, and we could use our available capital resources sooner than we expect. Changes may occur beyond our control that would cause us to consume our available capital before that time, including changes in and progress of our development activities, acquisitions of additional product candidates, and changes in regulation. Our future capital requirements will depend on many factors, including:</w:t>
      </w:r>
    </w:p>
    <w:p>
      <w:pPr>
        <w:spacing w:after="0" w:line="75" w:lineRule="exact"/>
        <w:rPr>
          <w:sz w:val="20"/>
          <w:szCs w:val="20"/>
          <w:color w:val="auto"/>
        </w:rPr>
      </w:pPr>
    </w:p>
    <w:p>
      <w:pPr>
        <w:ind w:left="1140" w:right="34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Trinity Capital;</w:t>
      </w:r>
    </w:p>
    <w:p>
      <w:pPr>
        <w:spacing w:after="0" w:line="53" w:lineRule="exact"/>
        <w:rPr>
          <w:rFonts w:ascii="Times New Roman" w:cs="Times New Roman" w:eastAsia="Times New Roman" w:hAnsi="Times New Roman"/>
          <w:sz w:val="18"/>
          <w:szCs w:val="18"/>
          <w:color w:val="auto"/>
        </w:rPr>
      </w:pPr>
    </w:p>
    <w:p>
      <w:pPr>
        <w:ind w:left="1140" w:right="44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34" w:name="page35"/>
    <w:bookmarkEnd w:id="34"/>
    <w:p>
      <w:pPr>
        <w:ind w:left="1140" w:right="60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94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including to conduct our ongoing and planned clinical trials of our product candidates. Additional funds may not be available on a timely basis, on favorable terms, or at all, and such funds, if raised, may not be sufficient to enable us to continue to implement our long-term business strategy. Further, our ability to raise additional capital may be adversely impacted by potential worsening global economic conditions, including fluctuations in inflation rates and concerns of a recession in the United States or other major markets, potential tariffs and disruptions to and volatility in the credit and financial markets in the United States and worldwide. Weakness and volatility in the capital markets and the economy in general could also increase our costs of borrowing. If we are unable to raise sufficient additional capital, we could be forced to curtail our planned operations and the pursuit of our growth strategy.</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contains restrictions that potentially limit our flexibility in operating our business. In addition, we may be required to make a prepayment or repay our outstanding indebtedness earlier than we expect under our 2025 Trinity Term Loan Agreement if we are unable to satisfy certain conditions.</w:t>
      </w:r>
    </w:p>
    <w:p>
      <w:pPr>
        <w:spacing w:after="0" w:line="67"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7"/>
          <w:szCs w:val="17"/>
          <w:color w:val="auto"/>
        </w:rPr>
        <w:t>On August 7, 2025, we entered into a Loan and Security Agreement, or the 2025 Trinity Term Loan Agreement, with the lenders party thereto from time to time, or the 2025 Trinity Lenders, and Trinity Capital Inc., as administrative agent and collateral agent for the 2025 Trinity Lenders, or Trinity, which provides for term loans of up to $100.0 million in the aggregate available in three tranches. The 2025 Trinity Term Loan Agreement contains various covenants that limit our ability to engage in specified types of transactions. These covenants limit our ability to, among other things:</w:t>
      </w:r>
    </w:p>
    <w:p>
      <w:pPr>
        <w:spacing w:after="0" w:line="5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22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2025 Trinity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2025 Trinity Term Loan Agreement. In the case of a continuing event of default under the Trinity Term Loan Agreement, the 2025 Trinity Lenders could elect to declare all amounts outstanding to be immediately due and payable, proceed against the collateral in which we granted Trinity a security interest under the 2025 Trinity Term Loan Agreement, or otherwise exercise the rights of 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5" w:name="page36"/>
    <w:bookmarkEnd w:id="35"/>
    <w:p>
      <w:pPr>
        <w:ind w:right="660"/>
        <w:spacing w:after="0" w:line="282" w:lineRule="auto"/>
        <w:rPr>
          <w:sz w:val="20"/>
          <w:szCs w:val="20"/>
          <w:color w:val="auto"/>
        </w:rPr>
      </w:pPr>
      <w:r>
        <w:rPr>
          <w:rFonts w:ascii="Times New Roman" w:cs="Times New Roman" w:eastAsia="Times New Roman" w:hAnsi="Times New Roman"/>
          <w:sz w:val="18"/>
          <w:szCs w:val="18"/>
          <w:color w:val="auto"/>
        </w:rPr>
        <w:t>secured creditor. Amounts outstanding under the 2025 Trinity Term Loan Agreement are secured by all of our existing and future assets, including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closing, we drew $50.0 million.</w:t>
      </w:r>
    </w:p>
    <w:p>
      <w:pPr>
        <w:spacing w:after="0" w:line="22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grant others rights to develop and market product candidates that we would otherwise prefer to develop and market ourselves. Our business, financial condition, and results of operations could be materially adversely affected as a result.</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is currently our lead product candidate and there is no guarantee that we will be able to successfully develop and commercialize TSHA-102.</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are currently focused on the potential development of our lead product candidate, TSHA-102. We are still developing TSHA-102 and it cannot be marketed or sold in the United States or in foreign markets until regulatory approval has been obtained from the FDA or applicable foreign regulatory authorities.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 TSHA-102 or that TSHA-102 will achieve market acceptance sufficient to generate profits. If we are unable to successfully develop</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spacing w:after="0" w:line="266" w:lineRule="auto"/>
        <w:rPr>
          <w:sz w:val="20"/>
          <w:szCs w:val="20"/>
          <w:color w:val="auto"/>
        </w:rPr>
      </w:pPr>
      <w:r>
        <w:rPr>
          <w:rFonts w:ascii="Times New Roman" w:cs="Times New Roman" w:eastAsia="Times New Roman" w:hAnsi="Times New Roman"/>
          <w:sz w:val="18"/>
          <w:szCs w:val="18"/>
          <w:color w:val="auto"/>
        </w:rPr>
        <w:t>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 as TSHA-102 is currently our sole product candidate in clinical development.</w:t>
      </w:r>
    </w:p>
    <w:p>
      <w:pPr>
        <w:spacing w:after="0" w:line="28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clinical or preclinical development. If we are unable to successfully develop, receive regulatory approval for and commercialize our product candidates for these or any other indications, or successfully develop any other product candidates, or experience significant delays in doing so, our business will be harmed.</w:t>
      </w:r>
    </w:p>
    <w:p>
      <w:pPr>
        <w:spacing w:after="0" w:line="6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All of our product candidates are still in clinical or preclinical development. Each of our programs and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 We do not have any products that are approved for commercial sale, and we may never be able to develop or commercialize marketable products.</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we do not expect will occur for several years, if ever, will depend heavily on the successful development, regulatory approval and eventual commercialization of our product candidates. The success of TSHA-102 or any other product candidates that we develop or otherwise may acquire will depend on several factors, including:</w:t>
      </w:r>
    </w:p>
    <w:p>
      <w:pPr>
        <w:spacing w:after="0" w:line="68" w:lineRule="exact"/>
        <w:rPr>
          <w:sz w:val="20"/>
          <w:szCs w:val="20"/>
          <w:color w:val="auto"/>
        </w:rPr>
      </w:pPr>
    </w:p>
    <w:p>
      <w:pPr>
        <w:ind w:left="1140" w:right="1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from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and comparable foreign regulatory authorities’ current good clinical practices, or GCPs, and current Good Laboratory Practices;</w:t>
      </w:r>
    </w:p>
    <w:p>
      <w:pPr>
        <w:spacing w:after="0" w:line="53"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 and clinical trials;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or making arrangements with third-party manufacturers for, our commercial manufacturing processes for any of our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products, if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TSHA-102 or any other product candidates;</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and any indications for such product candidate, that we develop;</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TSHA-102 or any other product candidates we develop on a commercial scale;</w:t>
      </w:r>
    </w:p>
    <w:p>
      <w:pPr>
        <w:spacing w:after="0" w:line="117"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trademark and trade secret protection and regulatory exclusivity for our product candidates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regulatory requirements, including cGMPs, and complying effectively with other procedures;</w:t>
      </w:r>
    </w:p>
    <w:p>
      <w:pPr>
        <w:spacing w:after="0" w:line="117"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tolerability and efficacy profile of the products following approval.</w:t>
      </w:r>
    </w:p>
    <w:p>
      <w:pPr>
        <w:spacing w:after="0" w:line="225"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identify and develop novel gene therapy product candidates, which makes it difficult to predict the time, cost and potential success of product candidate development.</w:t>
      </w:r>
    </w:p>
    <w:p>
      <w:pPr>
        <w:spacing w:after="0" w:line="5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strategy is to identify, develop and commercialize gene therapy product candidates using an AAV9 capsid for intrathecal delivery of therapeutic transgenes to certain kinds of cells. Our future success depends on the successful development of these novel therapeutic approaches. To date, very few products that utilize gene transfer have been approved in the United States, the European Union or other European countries and no gene transfer therapy products that utilize an intrathecal method of administration have been approved. There have been a limited number of clinical trials of gene transduction technologies.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Although AAV9 has been tested in numerous clinical trials and is used in two currently approved products, we cannot be certain that our AAV9 product candidates will successfully complete preclinical studies and clinical trials, or that they will not cause significant adverse events or toxicities. We also cannot be certain that we will be able to avoid triggering toxicities in our future preclinical studies or clinical trials or that our intrathecal method of administration will not cause unforeseen side effects or other challenges. Any such results could impact our ability to develop a product candidate, including our ability to enroll patients in our clinical trials. As a result of these factors, it is more difficult for us to predict the time and cost of product candidate development, and we cannot predict whether the application of our approach to gene therapy, or any similar or competitive programs,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product candidates or any of our research programs will not cause significant delays or unanticipated costs, or that such development problems can be solved. We may also experience delays and challenges in achieving sustainable, reproducible, and scalable production. Any of these factors may prevent us from completing our preclinical studies or clinical trials or commercializing any product candidates we may develop on a timely or profitable basis, if at all.</w:t>
      </w:r>
    </w:p>
    <w:p>
      <w:pPr>
        <w:spacing w:after="0" w:line="29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7" w:lineRule="exact"/>
        <w:rPr>
          <w:sz w:val="20"/>
          <w:szCs w:val="20"/>
          <w:color w:val="auto"/>
        </w:rPr>
      </w:pPr>
    </w:p>
    <w:p>
      <w:pPr>
        <w:ind w:right="60" w:firstLine="749"/>
        <w:spacing w:after="0" w:line="277" w:lineRule="auto"/>
        <w:rPr>
          <w:sz w:val="20"/>
          <w:szCs w:val="20"/>
          <w:color w:val="auto"/>
        </w:rPr>
      </w:pPr>
      <w:r>
        <w:rPr>
          <w:rFonts w:ascii="Times New Roman" w:cs="Times New Roman" w:eastAsia="Times New Roman" w:hAnsi="Times New Roman"/>
          <w:sz w:val="17"/>
          <w:szCs w:val="17"/>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European Commission.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w:t>
      </w:r>
    </w:p>
    <w:p>
      <w:pPr>
        <w:spacing w:after="0" w:line="16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candidates will need to meet safety and efficacy standards applicable to any new biologic under the regulatory framework administered by the FDA. In addition to FDA oversight and oversight by institutional review boards, or IRBs, under guidelines promulgated by the National Institutes of Health, or NIH, gene therapy clinical trials are also subject to review and oversight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Similar considerations apply in the European Union. The EMA’s Committee for Advanced Therapies, or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legislation and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Adverse developments in preclinical studies or clinical trials conducted by others in the field of gene therapy and gene regulation products may cause the FDA, the European Union, and other regulatory authorities to revise the requirements for approval of any product candidates we may develop or limit the use of products utilizing gene regulation technologies, either of which could harm our business. In addition, the clinical trial requirements of the FDA, the European Union, national competent authorities of EU</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t>Member States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the European Commission or other regulatory authorities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the European Commission or other regulatory authorities. Regulatory authorities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authority may not be indicative of what other regulatory authorities may require for approval.</w:t>
      </w:r>
    </w:p>
    <w:p>
      <w:pPr>
        <w:spacing w:after="0" w:line="190" w:lineRule="exact"/>
        <w:rPr>
          <w:sz w:val="20"/>
          <w:szCs w:val="20"/>
          <w:color w:val="auto"/>
        </w:rPr>
      </w:pPr>
    </w:p>
    <w:p>
      <w:pPr>
        <w:ind w:right="40" w:firstLine="749"/>
        <w:spacing w:after="0" w:line="272"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All of our product candidates are in clinical or preclinical development and their risk of failure is high. The clinical trials and manufacturing of our product candidates are, and the manufacturing and marketing of our products, if approved, will be, subject to extensive and rigorous review and regulation by numerous government and regulatory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is subject to uncertainty.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80"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This is particularly true for clinical trials in very rare diseases, such as with TSHA-102 for the treatment of Rett syndrome, where the very small patient population makes it difficult or impossible to conduct two traditional, adequate and well-controlled studies, and therefore the FDA or comparable foreign regulatory authorities are required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9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our product candidates. We may experience delays in conducting any clinical trials and we do not know whether our clinical trials will begin on time, need to be redesigned,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right="40"/>
        <w:spacing w:after="0" w:line="282" w:lineRule="auto"/>
        <w:rPr>
          <w:sz w:val="20"/>
          <w:szCs w:val="20"/>
          <w:color w:val="auto"/>
        </w:rPr>
      </w:pPr>
      <w:r>
        <w:rPr>
          <w:rFonts w:ascii="Times New Roman" w:cs="Times New Roman" w:eastAsia="Times New Roman" w:hAnsi="Times New Roman"/>
          <w:sz w:val="18"/>
          <w:szCs w:val="18"/>
          <w:color w:val="auto"/>
        </w:rPr>
        <w:t>recruit and enroll patients on time or be completed on schedule, or at all. Events that may prevent successful or timely completion of clinical development include:</w:t>
      </w:r>
    </w:p>
    <w:p>
      <w:pPr>
        <w:spacing w:after="0" w:line="52"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 including our natural history studies;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commence a clinical trial;</w:t>
      </w:r>
    </w:p>
    <w:p>
      <w:pPr>
        <w:spacing w:after="0" w:line="117"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approval and positive Ethics Committee opinions at each trial site;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GCP requirements, or applicable regulatory guidelines in other countries;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 for use in clinical trials.</w:t>
      </w:r>
    </w:p>
    <w:p>
      <w:pPr>
        <w:spacing w:after="0" w:line="225"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or significantly increase the cost of such trials, including:</w:t>
      </w:r>
    </w:p>
    <w:p>
      <w:pPr>
        <w:spacing w:after="0" w:line="54" w:lineRule="exact"/>
        <w:rPr>
          <w:sz w:val="20"/>
          <w:szCs w:val="20"/>
          <w:color w:val="auto"/>
        </w:rPr>
      </w:pPr>
    </w:p>
    <w:p>
      <w:pPr>
        <w:ind w:left="1140" w:right="34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changes in regulatory requirements or guidance, or receive feedback from regulatory authorities that requires us to modify the design of our clinical trials;</w:t>
      </w:r>
    </w:p>
    <w:p>
      <w:pPr>
        <w:spacing w:after="0" w:line="53"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40" w:name="page41"/>
    <w:bookmarkEnd w:id="40"/>
    <w:p>
      <w:pPr>
        <w:ind w:left="1140" w:right="22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Risk Evaluation and Mitigation Strategies, or REMS, or comparable foreign strategies;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the Data Safety Monitoring Board for such trial or by the FDA, the competent authorities of EU Member States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competent authorities of EU Member States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such regulatory authorities may not provide such feedback on a timely basis, or such feedback may not be favorable, which could further delay our development programs.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91"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European Commission and comparable foreign authorities are lengthy, time consuming and inherently unpredictable. If we are not able to obtain required regulatory approval for our product candidates, our business will be substantially harmed.</w:t>
      </w:r>
    </w:p>
    <w:p>
      <w:pPr>
        <w:spacing w:after="0" w:line="2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or other marketing authorizations by the FDA, European Commission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European Commission, or other required regulatory approval in other countries. To date, we have had only limited discussions with the FDA regarding clinical development programs or regulatory approval for any product candidate within the United States. In addition, we have only had limited discussions with Health Canada, and no discussions with the EMA and other comparable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foreign authorities, regarding clinical development programs or regulatory approval for any product candidate outside of the United States.</w:t>
      </w:r>
    </w:p>
    <w:p>
      <w:pPr>
        <w:spacing w:after="0" w:line="22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or foreign regulatory authorities,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or comparable foreign regulatory authorities may also require us to conduct additional preclinical studies or clinical trials for our product candidates either prior to or after approval, or it may object to elements of our clinical development programs.</w:t>
      </w:r>
    </w:p>
    <w:p>
      <w:pPr>
        <w:spacing w:after="0" w:line="18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and marketing authorization to market our product candidates, which would significantly harm our business, financial condition, results of operations and prospects.</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development of our preclinical product candidates. Our business is dependent on our ability to successfully complete preclinical and clinical development of, obtain regulatory approval for, and, if approved, successfully commercialize TSHA-102 and any future product candidates in a timely manner.</w:t>
      </w:r>
    </w:p>
    <w:p>
      <w:pPr>
        <w:spacing w:after="0" w:line="17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 BLA or foreign marketing application for TSHA-102 or any future product candidates, the FDA, European Commission or the applicable foreign regulatory authority may grant approval or other marketing authorization contingent on the performance of costly additional clinical trials, including post-marketing clinical trials. The FDA, European Commission or the applicable foreign regulatory authority also may approve or authorize for marketing a product candidate for a more limited indication or patient population than we originally request, and the FDA, European Commission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9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the FDA, EU and related regulatory authorities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May 2025, we announced clinical data from adult/adolescent and pediatric patients treated in the Phase 1/2 REVEAL trials of TSHA-102. However, those observations may not endure as patients continue their follow-up visits as part of the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7"/>
          <w:szCs w:val="17"/>
          <w:color w:val="auto"/>
        </w:rPr>
        <w:t>Further, others, including regulatory authorities, may not accept or agree with our assumptions, estimates, calculations, conclusions or analyses or may interpret or weigh the importance of data differently, which could impact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top-line data that we report differ from</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right="60"/>
        <w:spacing w:after="0" w:line="282" w:lineRule="auto"/>
        <w:rPr>
          <w:sz w:val="20"/>
          <w:szCs w:val="20"/>
          <w:color w:val="auto"/>
        </w:rPr>
      </w:pPr>
      <w:r>
        <w:rPr>
          <w:rFonts w:ascii="Times New Roman" w:cs="Times New Roman" w:eastAsia="Times New Roman" w:hAnsi="Times New Roman"/>
          <w:sz w:val="18"/>
          <w:szCs w:val="18"/>
          <w:color w:val="auto"/>
        </w:rPr>
        <w:t>actual results, or if others, including regulatory authorities, disagree with the conclusions reached, our ability to obtain approval for and commercialize any of our product candidates, our business, operating results, prospects or financial condition may be harmed.</w:t>
      </w:r>
    </w:p>
    <w:p>
      <w:pPr>
        <w:spacing w:after="0" w:line="26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lead product candidate, TSHA-102. There is no guarantee that we will be able to successfully develop and commercialize TSHA-102. If we are unable to complete development of, obtain regulatory approval for and commercialize TSHA-102 in one or more indications and in a timely manner, our business, financial condition, results of operations and prospects will be significantly harmed.</w:t>
      </w:r>
    </w:p>
    <w:p>
      <w:pPr>
        <w:spacing w:after="0" w:line="49" w:lineRule="exact"/>
        <w:rPr>
          <w:sz w:val="20"/>
          <w:szCs w:val="20"/>
          <w:color w:val="auto"/>
        </w:rPr>
      </w:pPr>
    </w:p>
    <w:p>
      <w:pPr>
        <w:ind w:right="40" w:firstLine="84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the success of our lead product candidate, TSHA-102, which is currently our sole product candidate in clinical development. We are still developing TSHA-102 and it cannot be marketed or sold in the United States or in foreign markets until regulatory approval has been obtained from the FDA or applicable foreign regulatory agencies.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 TSHA-102 or that TSHA-102 will achieve market acceptance sufficient to generate profits. If we are unable to successfully develop 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w:t>
      </w:r>
    </w:p>
    <w:p>
      <w:pPr>
        <w:spacing w:after="0" w:line="2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including our Phase 1/2 REVEAL trials of TSHA-102, may not be indicative of results in future clinical trials, or provide support for the submission of a marketing application.</w:t>
      </w:r>
    </w:p>
    <w:p>
      <w:pPr>
        <w:spacing w:after="0" w:line="67" w:lineRule="exact"/>
        <w:rPr>
          <w:sz w:val="20"/>
          <w:szCs w:val="20"/>
          <w:color w:val="auto"/>
        </w:rPr>
      </w:pPr>
    </w:p>
    <w:p>
      <w:pPr>
        <w:jc w:val="both"/>
        <w:ind w:right="60" w:firstLine="849"/>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including TSHA-102, may fail to show the desired safety and efficacy in clinical development despite positive results in preclinical studies or having successfully advanced through initial clinical trials. Any such outcome would cause us to cease development of TSHA-102, which is currently our only product candidate in clinical development. Our Phase 1/2 clinical trials of TSHA-102 involve small patient populations . Because of the small sample sizes, the results of these trials may not be indicative of results of future clinical trials, including REVEAL Part B and ASPIRE. Further, although other gene therapy clinical trials conducted by others also utilized AAV9 vectors, these trials should not be relied upon as evidence that our planned clinical trials will succeed.</w:t>
      </w:r>
    </w:p>
    <w:p>
      <w:pPr>
        <w:spacing w:after="0" w:line="30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6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safe, pure and effective for use in each target indication, and failures can occur at any stage of testing. Preclinical studies and clinical trials often fail to demonstrate safety or efficacy of the product candidate studied for the target indication. Further, the patients evaluated in our clinical trials are often seriously ill. Any side effects or patient deaths could affect the development of our product candidates, even if deemed to not be drug related. Among the risks in any gene therapy product based on viral vectors are the risks of immunogenicity, elevated liver enzymes and insertional oncogenesis, which is the process whereby the insertion of a functional gene near a gene that is important in cell growth or division results in uncontrolled cell division, which could potentially enhance the risk of malignant transformation.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While new AAV vectors have been developed to reduce side effects previously reported in third-party gene therapy treatments, and AAV9 has been generally well tolerated in clinical trials and in approved products, gene therapy is 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Possible adverse side effects that could occur with treatment with gene therapy products include an immunologic reaction early after administration, which, while not necessarily adverse to the patient’s health, could substantially limit the effectiveness of the treatment. For example, in previous third-party clinical trials involving other AAV vectors for gene therapy, some subjects experienced the development of a T-cell antibody response, whereby after the vector is within the target cells, the cellular immune response system triggers the removal of transduced cells by activated T-cells. Other preclinical studies have suggested that high dosages of AAV administration may result in toxicity due to degeneration of the DRG. If our vectors demonstrate a similar effect in other programs, we may decide or be required to perform additional preclinical studies or to halt or delay further clinical development of our product candidates.</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to side effects caused by the product candidate, the administration process or related procedures also can cause adverse side effects. Each of our lead product candidates are expected to be administered by intrathecal injection. While this method of administration has been available for decades, its use for therapies is relatively new, no gene therapy is currently approved for intrathecal administration, and it may be perceived as having greater risk than more common methods of administration, such as intravenous injection. If any such adverse events occur, our clinical trials could be suspended or terminated. If we cannot demonstrate that any adverse events were not caused by the drug or administration process or related procedures, the FDA or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9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side effects in clinical trials or have characteristics that are unexpected, we may need to abandon their development or limit development to more narrow uses in which the side effects or other characteristics are less prevalent, less severe or more acceptable from a risk-benefit perspective. The FDA, comparable foreign regulatory authorities, or an IRB or Ethics Committee may also require that we suspend, discontinue, or limit our clinical trials based on safety information, or that we conduct additional animal or human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w:t>
      </w:r>
    </w:p>
    <w:p>
      <w:pPr>
        <w:spacing w:after="0" w:line="18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162"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vary or suspend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w:t>
      </w:r>
    </w:p>
    <w:p>
      <w:pPr>
        <w:spacing w:after="0" w:line="117" w:lineRule="exact"/>
        <w:rPr>
          <w:rFonts w:ascii="Times New Roman" w:cs="Times New Roman" w:eastAsia="Times New Roman" w:hAnsi="Times New Roman"/>
          <w:sz w:val="18"/>
          <w:szCs w:val="18"/>
          <w:color w:val="auto"/>
        </w:rPr>
      </w:pPr>
    </w:p>
    <w:p>
      <w:pPr>
        <w:ind w:left="900" w:right="56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 or comparable foreign strategies;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authority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As an organization, we have not previously conducted pivotal clinical trials such as REVEAL Part B.</w:t>
      </w:r>
    </w:p>
    <w:p>
      <w:pPr>
        <w:spacing w:after="0" w:line="121" w:lineRule="exact"/>
        <w:rPr>
          <w:sz w:val="20"/>
          <w:szCs w:val="20"/>
          <w:color w:val="auto"/>
        </w:rPr>
      </w:pPr>
    </w:p>
    <w:p>
      <w:pPr>
        <w:ind w:right="20" w:firstLine="849"/>
        <w:spacing w:after="0" w:line="261"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and comparable foreign regulatory approval to market our product candidates. Carrying out later-stage clinical trials and the submission of a successful BLA and comparable foreign application is a complicated process. As an organization, we have not previously completed any later stage or pivotal clinical trials, and have not previously submitted a BLA or comparable foreign application for any product candidate.</w:t>
      </w:r>
    </w:p>
    <w:p>
      <w:pPr>
        <w:spacing w:after="0" w:line="180" w:lineRule="exact"/>
        <w:rPr>
          <w:sz w:val="20"/>
          <w:szCs w:val="20"/>
          <w:color w:val="auto"/>
        </w:rPr>
      </w:pPr>
    </w:p>
    <w:p>
      <w:pPr>
        <w:ind w:firstLine="849"/>
        <w:spacing w:after="0" w:line="258" w:lineRule="auto"/>
        <w:rPr>
          <w:sz w:val="20"/>
          <w:szCs w:val="20"/>
          <w:color w:val="auto"/>
        </w:rPr>
      </w:pPr>
      <w:r>
        <w:rPr>
          <w:rFonts w:ascii="Times New Roman" w:cs="Times New Roman" w:eastAsia="Times New Roman" w:hAnsi="Times New Roman"/>
          <w:sz w:val="18"/>
          <w:szCs w:val="18"/>
          <w:color w:val="auto"/>
        </w:rPr>
        <w:t>Although we have received feedback from the FDA on the design of Part B of our clinical trial of TSHA-102, there is no assurance that our trial design will be sufficient for FDA approval. Consequently, we may be unable to successfully and efficiently execute and complete necessary clinical trials in a way that leads to BLA submission or comparable foreign application and approval of TSHA-102. We may require more time and incur greater costs than our competitors and may not succeed in obtaining regulatory approvals of TSHA-102. Failure to commence or complete, or delays in, our planned clinical trials, could prevent us from or delay us in commercializing TSHA-102.</w:t>
      </w:r>
    </w:p>
    <w:p>
      <w:pPr>
        <w:spacing w:after="0" w:line="28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6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patients. Patient enrollment, a significant factor in the timing of clinical trials,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the estimated addressable patient population with typical Rett syndrome caused by a pathogenic/likely pathogenic MECP2 mutation is between 15,000 and 20,000 patients in the United States, European Union and United Kingdom, and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92"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foreign regulatory authorities. We cannot predict how successful we will be at enrolling subjects in future clinical trials. Subject enrollment is affected by other factors including:</w:t>
      </w:r>
    </w:p>
    <w:p>
      <w:pPr>
        <w:spacing w:after="0" w:line="72"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AAV9-based gene therapy approaches and intrathecal delivery systems;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public health crises, such as pandemics or similar outbreaks, including difficulties in initiating clinical sites, enrolling and retaining participants, diversion of healthcare resources away from clinical trials, travel or quarantine policies that may be implemented, labor shortages, other geopolitical events and other factors;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5" w:name="page46"/>
    <w:bookmarkEnd w:id="45"/>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in our clinical trials.</w:t>
      </w:r>
    </w:p>
    <w:p>
      <w:pPr>
        <w:spacing w:after="0" w:line="26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6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of 200,000 or more in the United States where there is no reasonable expectation that the cost of developing the drug will be recovered from sales in the United States.</w:t>
      </w:r>
    </w:p>
    <w:p>
      <w:pPr>
        <w:spacing w:after="0" w:line="183" w:lineRule="exact"/>
        <w:rPr>
          <w:sz w:val="20"/>
          <w:szCs w:val="20"/>
          <w:color w:val="auto"/>
        </w:rPr>
      </w:pPr>
    </w:p>
    <w:p>
      <w:pPr>
        <w:ind w:firstLine="849"/>
        <w:spacing w:after="0" w:line="255" w:lineRule="auto"/>
        <w:rPr>
          <w:sz w:val="20"/>
          <w:szCs w:val="20"/>
          <w:color w:val="auto"/>
        </w:rPr>
      </w:pPr>
      <w:r>
        <w:rPr>
          <w:rFonts w:ascii="Times New Roman" w:cs="Times New Roman" w:eastAsia="Times New Roman" w:hAnsi="Times New Roman"/>
          <w:sz w:val="18"/>
          <w:szCs w:val="18"/>
          <w:color w:val="auto"/>
        </w:rPr>
        <w:t>In the United States, orphan drug designation entitled a party to financial incentives such as tax advantages and user fee waivers. Opportunities for grant funding toward clinical trial costs may also be available for clinical trials of drugs or biologics for rare diseases, regardless of whether the drugs or biologics are designated for the orphan use. In addition, if a drug or biologic with an orphan drug designation subsequently receives the first marketing approval for the indication for which it has such designation, the product is entitled to a seven year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w:t>
      </w:r>
    </w:p>
    <w:p>
      <w:pPr>
        <w:spacing w:after="0" w:line="18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In the European Union,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European Union when the application is made, or (b) the product without the benefits derived from orphan status, would not generate sufficient return in the European Union to justify the necessary investment in developing the medicinal product; and (iii) there exists no satisfactory authorized method of diagnosis, prevention, or treatment of the condition that has been authorized in the European Union, or even if such method exists, the product will be of significant benefit to those affected by that condition.</w:t>
      </w:r>
    </w:p>
    <w:p>
      <w:pPr>
        <w:spacing w:after="0" w:line="18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Orphan medicinal product designation entitles an applicant to incentives such as fee reductions or fee waivers, protocol assistance, and access to the centralized marketing authorization procedure. Upon grant of a marketing authorization, orphan medicinal products are entitled to a ten-year period of market exclusivity for the approved therapeutic indication, which means that the EMA cannot accept another marketing authorization application or accept an application to extend for a similar product and the European Commission cannot grant a marketing authorization for the same indication for a period of ten years. The period of market exclusivity is extended by two years for orphan medicinal products that have also complied with an agreed PIP. The period of market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 Orphan medicinal product designation does not convey any advantage in, or shorten the duration of, the regulatory review and approval process. We have obtained orphan drug designation from the FDA for TSHA-102 for the treatment of Rett syndrome and TSHA-105 for the treatment of SLC13A5 deficiency. In addition, TSHA-118 has received orphan drug designation for the treatment of CLN1 disease from the FDA and the European Commission.</w:t>
      </w:r>
    </w:p>
    <w:p>
      <w:pPr>
        <w:spacing w:after="0" w:line="19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may seek orphan designation for certain of our other current and future product candidates. However, we may be unsuccessful in obtaining orphan drug designation for these or other product candidates and may be unable to maintain the benefits associated with orphan drug designation. Even if we obtain orphan drug exclusivity for any of our product candidates, that exclusivity may not effectively protect those product candidates from competition because different drugs can be approved for the same condition, and orphan drug exclusivity does not prevent the FDA or comparable foreign regulatory authorities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spacing w:after="0" w:line="261" w:lineRule="auto"/>
        <w:rPr>
          <w:sz w:val="20"/>
          <w:szCs w:val="20"/>
          <w:color w:val="auto"/>
        </w:rPr>
      </w:pPr>
      <w:r>
        <w:rPr>
          <w:rFonts w:ascii="Times New Roman" w:cs="Times New Roman" w:eastAsia="Times New Roman" w:hAnsi="Times New Roman"/>
          <w:sz w:val="18"/>
          <w:szCs w:val="18"/>
          <w:color w:val="auto"/>
        </w:rPr>
        <w:t>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28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rare pediatric disease designation for TSHA-102 for the treatment of Rett syndrome. However, a marketing application for TSHA-102, if approved, may not meet the eligibility criteria for a PRV or the rare pediatric disease designation program may sunset before FDA is able to consider us for a voucher.</w:t>
      </w:r>
    </w:p>
    <w:p>
      <w:pPr>
        <w:spacing w:after="0" w:line="6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have received rare pediatric disease designation for TSHA-102 for the treatment of Rett syndrome. Designation of a drug or biologic as a product for a rare pediatric disease does not guarantee that a BLA for such drug or biologic will meet the eligibility criteria for a rare pediatric disease PRV at the time the application is approved. Under the FDCA, we will need to request a rare pediatric disease PRV in our original BLA for TSHA-102, and any other candidates for which we submit a marketing application. The FDA may determine that such BLA, if approved, does not meet the eligibility criteria for a PRV, including for the following reasons:</w:t>
      </w:r>
    </w:p>
    <w:p>
      <w:pPr>
        <w:spacing w:after="0" w:line="75"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Rett syndrome no longer meets the definition of a rare pediatric disease;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contains an active ingredient that has been previously approved in a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not deemed eligible for priority review;</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does not rely on clinical data derived from studies examining a pediatric population and dosages of the drug intended for that population (that is, if the BLA does not contain sufficient clinical data to allow for adequate labeling for use by the full range of affected pediatric patients); 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 is approved for a different adult indication than the rare pediatric disease for which TSHA-102 is designated.</w:t>
      </w:r>
    </w:p>
    <w:p>
      <w:pPr>
        <w:spacing w:after="0" w:line="225"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authority for the FDA to award rare pediatric disease PRVs for drugs that have received rare pediatric disease designation currently expires on September 30, 2029. Absent any extension through federal legislation, if the BLA for TSHA-102 is not approved prior to September 30, 2029 for any reason, regardless of whether it meets the criteria for a rare pediatric disease PRV, it will not be eligible for a PRV.</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primarily focused on the development of TSHA-102 (Rett syndrome).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conducting our TSHA-102 REVEAL trials in Canada and plan to conduct in the future additional clinical trials for our product candidates outside the United States, and the FDA and similar foreign regulatory authorities may not accept data from such trials.</w:t>
      </w:r>
    </w:p>
    <w:p>
      <w:pPr>
        <w:spacing w:after="0" w:line="51"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We are conducting our clinical trials of TSHA-102 in Canada and may in the future choose to conduct additional clinical trials outside the United States, including in the European Union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7" w:name="page48"/>
    <w:bookmarkEnd w:id="47"/>
    <w:p>
      <w:pPr>
        <w:ind w:right="100"/>
        <w:spacing w:after="0" w:line="261" w:lineRule="auto"/>
        <w:rPr>
          <w:sz w:val="20"/>
          <w:szCs w:val="20"/>
          <w:color w:val="auto"/>
        </w:rPr>
      </w:pPr>
      <w:r>
        <w:rPr>
          <w:rFonts w:ascii="Times New Roman" w:cs="Times New Roman" w:eastAsia="Times New Roman" w:hAnsi="Times New Roman"/>
          <w:sz w:val="18"/>
          <w:szCs w:val="18"/>
          <w:color w:val="auto"/>
        </w:rPr>
        <w:t>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w:t>
      </w:r>
    </w:p>
    <w:p>
      <w:pPr>
        <w:spacing w:after="0" w:line="121"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Our business model is centered on developing therapies for patients with rare, monogenic CNS disorders by establishing focused selection criteria to select, develop and advance product candidates that we believe will have a high probability of technical and regulatory success through development into commercialization. We may not be able to continue to identify and develop new product candidates, including from our next-generation platform technologies, in addition to the pipeline of product candidates that we have established through our collaboration with UT Southwestern. Even if we are successful in continuing to build our pipeline, the potential product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2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w:t>
      </w:r>
    </w:p>
    <w:p>
      <w:pPr>
        <w:spacing w:after="0" w:line="5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From time to time, we may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IND/CTA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9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7" w:lineRule="exact"/>
        <w:rPr>
          <w:sz w:val="20"/>
          <w:szCs w:val="20"/>
          <w:color w:val="auto"/>
        </w:rPr>
      </w:pPr>
    </w:p>
    <w:p>
      <w:pPr>
        <w:ind w:right="40" w:firstLine="849"/>
        <w:spacing w:after="0" w:line="266" w:lineRule="auto"/>
        <w:rPr>
          <w:sz w:val="20"/>
          <w:szCs w:val="20"/>
          <w:color w:val="auto"/>
        </w:rPr>
      </w:pPr>
      <w:r>
        <w:rPr>
          <w:rFonts w:ascii="Times New Roman" w:cs="Times New Roman" w:eastAsia="Times New Roman" w:hAnsi="Times New Roman"/>
          <w:sz w:val="18"/>
          <w:szCs w:val="18"/>
          <w:color w:val="231F20"/>
        </w:rPr>
        <w:t>The United Kingdom’s, withdrawal from the European Union on January 31, 2020, commonly referred to as Brexit, has changed the regulatory relationship between the United Kingdom and the European Union. The Medicines and Healthcare products Regulatory Agency, or MHRA, is now the United Kingdom’s standalone regulator for medicinal products and medical devices.</w:t>
      </w:r>
    </w:p>
    <w:p>
      <w:pPr>
        <w:spacing w:after="0" w:line="176" w:lineRule="exact"/>
        <w:rPr>
          <w:sz w:val="20"/>
          <w:szCs w:val="20"/>
          <w:color w:val="auto"/>
        </w:rPr>
      </w:pPr>
    </w:p>
    <w:p>
      <w:pPr>
        <w:ind w:firstLine="849"/>
        <w:spacing w:after="0" w:line="254" w:lineRule="auto"/>
        <w:rPr>
          <w:sz w:val="20"/>
          <w:szCs w:val="20"/>
          <w:color w:val="auto"/>
        </w:rPr>
      </w:pPr>
      <w:r>
        <w:rPr>
          <w:rFonts w:ascii="Times New Roman" w:cs="Times New Roman" w:eastAsia="Times New Roman" w:hAnsi="Times New Roman"/>
          <w:sz w:val="18"/>
          <w:szCs w:val="18"/>
          <w:color w:val="auto"/>
        </w:rPr>
        <w:t xml:space="preserve">The UK regulatory framework in relation to clinical trials is governed by the </w:t>
      </w:r>
      <w:r>
        <w:rPr>
          <w:rFonts w:ascii="Times New Roman" w:cs="Times New Roman" w:eastAsia="Times New Roman" w:hAnsi="Times New Roman"/>
          <w:sz w:val="18"/>
          <w:szCs w:val="18"/>
          <w:color w:val="040C28"/>
        </w:rPr>
        <w:t>Medicines for Human Use (Clinical Trials) Regulations 2004,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40C28"/>
        </w:rPr>
        <w:t xml:space="preserve">amended, which is </w:t>
      </w:r>
      <w:r>
        <w:rPr>
          <w:rFonts w:ascii="Times New Roman" w:cs="Times New Roman" w:eastAsia="Times New Roman" w:hAnsi="Times New Roman"/>
          <w:sz w:val="18"/>
          <w:szCs w:val="18"/>
          <w:color w:val="000000"/>
        </w:rPr>
        <w:t>derived from the CTD, as implemented into the UK national law through secondary legislation. Following a public consultation that</w:t>
      </w:r>
      <w:r>
        <w:rPr>
          <w:rFonts w:ascii="Times New Roman" w:cs="Times New Roman" w:eastAsia="Times New Roman" w:hAnsi="Times New Roman"/>
          <w:sz w:val="18"/>
          <w:szCs w:val="18"/>
          <w:color w:val="040C28"/>
        </w:rPr>
        <w:t xml:space="preserve"> </w:t>
      </w:r>
      <w:r>
        <w:rPr>
          <w:rFonts w:ascii="Times New Roman" w:cs="Times New Roman" w:eastAsia="Times New Roman" w:hAnsi="Times New Roman"/>
          <w:sz w:val="18"/>
          <w:szCs w:val="18"/>
          <w:color w:val="000000"/>
        </w:rPr>
        <w:t>began in 2022, the United Kingdom government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will become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188" w:lineRule="exact"/>
        <w:rPr>
          <w:sz w:val="20"/>
          <w:szCs w:val="20"/>
          <w:color w:val="auto"/>
        </w:rPr>
      </w:pPr>
    </w:p>
    <w:p>
      <w:pPr>
        <w:ind w:right="200" w:firstLine="849"/>
        <w:spacing w:after="0" w:line="258" w:lineRule="auto"/>
        <w:rPr>
          <w:sz w:val="20"/>
          <w:szCs w:val="20"/>
          <w:color w:val="auto"/>
        </w:rPr>
      </w:pPr>
      <w:r>
        <w:rPr>
          <w:rFonts w:ascii="Times New Roman" w:cs="Times New Roman" w:eastAsia="Times New Roman" w:hAnsi="Times New Roman"/>
          <w:sz w:val="18"/>
          <w:szCs w:val="18"/>
          <w:color w:val="231F20"/>
        </w:rPr>
        <w:t>A</w:t>
      </w:r>
      <w:r>
        <w:rPr>
          <w:rFonts w:ascii="Times New Roman" w:cs="Times New Roman" w:eastAsia="Times New Roman" w:hAnsi="Times New Roman"/>
          <w:sz w:val="18"/>
          <w:szCs w:val="18"/>
          <w:color w:val="000000"/>
        </w:rPr>
        <w:t>ll existing EU marketing authorizations for centrally authorized products were automatically converted or grandfathered into UK marketing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authorizations, effective in the United Kingdom only, free of charge on January 1, 2021, unless the marketing authorization holder opted-out of this possibility. Northern Ireland remained within the scope of EU authorizations in relation to centrally authorized medicinal products until January 1, 2025. However, on January 1, 2025, the “Windsor Framework” came into effect and reintegrated Northern Ireland under the regulatory authority of the MHRA with respect to medicinal products and introduced a UK-wide licensing process for medicines</w:t>
      </w:r>
      <w:r>
        <w:rPr>
          <w:rFonts w:ascii="Times New Roman" w:cs="Times New Roman" w:eastAsia="Times New Roman" w:hAnsi="Times New Roman"/>
          <w:sz w:val="18"/>
          <w:szCs w:val="18"/>
          <w:color w:val="0B0C0C"/>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ind w:right="80" w:firstLine="849"/>
        <w:spacing w:after="0" w:line="255" w:lineRule="auto"/>
        <w:rPr>
          <w:sz w:val="20"/>
          <w:szCs w:val="20"/>
          <w:color w:val="auto"/>
        </w:rPr>
      </w:pPr>
      <w:r>
        <w:rPr>
          <w:rFonts w:ascii="Times New Roman" w:cs="Times New Roman" w:eastAsia="Times New Roman" w:hAnsi="Times New Roman"/>
          <w:sz w:val="18"/>
          <w:szCs w:val="18"/>
          <w:color w:val="auto"/>
        </w:rPr>
        <w:t>The MHRA has also introduced changes to national marketing authorization procedures. This includes introduction of procedures to prioritize access to new medicines that will benefit patients, including a 150-day assessment route, a rolling review procedure and the International Recognition Procedure. Since January 1, 2024, the MHRA may rely on the International Recognition Procedure, or IRP, when reviewing certain types of marketing authorization applications. This procedure is available for applicants for marketing authorization who have already received an authorization for the same product from a reference regulator. These include the FDA, the EMA, and national competent authorities of individual European Economic Area, or EEA, countries. A positive opinion from the EMA and CHMP, or a positive end of procedure outcome from the mutual recognition or decentralized procedures are considered to be authorizations for the purposes of the IRP.</w:t>
      </w:r>
    </w:p>
    <w:p>
      <w:pPr>
        <w:spacing w:after="0" w:line="189" w:lineRule="exact"/>
        <w:rPr>
          <w:sz w:val="20"/>
          <w:szCs w:val="20"/>
          <w:color w:val="auto"/>
        </w:rPr>
      </w:pPr>
    </w:p>
    <w:p>
      <w:pPr>
        <w:ind w:firstLine="853"/>
        <w:spacing w:after="0" w:line="256" w:lineRule="auto"/>
        <w:rPr>
          <w:sz w:val="20"/>
          <w:szCs w:val="20"/>
          <w:color w:val="auto"/>
        </w:rPr>
      </w:pPr>
      <w:r>
        <w:rPr>
          <w:rFonts w:ascii="Times New Roman" w:cs="Times New Roman" w:eastAsia="Times New Roman" w:hAnsi="Times New Roman"/>
          <w:sz w:val="18"/>
          <w:szCs w:val="18"/>
          <w:color w:val="auto"/>
        </w:rPr>
        <w:t>There is no pre-marketing authorization orphan designation for medicinal products in the United Kingdom. Instead, the MHRA reviews applications for orphan designation in parallel to the corresponding marketing authorization application. The criteria are essentially the same as those in the European Union, but have been tailored for the market. This includes the criterion that prevalence of the condition in the United Kingdom, rather than the European Union,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18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materially impacted and could continue to further impact, the regulatory regime with respect to the development, manufacture, importation, approval and commercialization of our product candidates in the United Kingdom or the European Union. Any delay in obtaining, or an inability to obtain, any marketing approvals, as a result of Brexit or otherwise, would limit our ability to generate revenue and achieve and sustain profitability. In addition, while the Trade and Cooperation Agreement provides for the tariff-free trade of medicinal products between the United Kingdom and the European Union there are additional non-tariff costs to such trade which did not exist prior to Brexit. Furthermore, Brexit has reduced trade between the European Union and the United Kingdom and there are frequent delays in the transit of goods between the European Union and the United Kingdom. The ongoing impact of Brexit may force us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5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manufacture of gene therapy products is technically complex and necessitates substantial expertise and capital investment. Production difficulties caused by unforeseen events may delay the availability of material for our clinical studies.</w:t>
      </w:r>
    </w:p>
    <w:p>
      <w:pPr>
        <w:spacing w:after="0" w:line="162" w:lineRule="exact"/>
        <w:rPr>
          <w:sz w:val="20"/>
          <w:szCs w:val="20"/>
          <w:color w:val="auto"/>
        </w:rPr>
      </w:pPr>
    </w:p>
    <w:p>
      <w:pPr>
        <w:ind w:right="80" w:firstLine="849"/>
        <w:spacing w:after="0" w:line="256" w:lineRule="auto"/>
        <w:rPr>
          <w:sz w:val="20"/>
          <w:szCs w:val="20"/>
          <w:color w:val="auto"/>
        </w:rPr>
      </w:pPr>
      <w:r>
        <w:rPr>
          <w:rFonts w:ascii="Times New Roman" w:cs="Times New Roman" w:eastAsia="Times New Roman" w:hAnsi="Times New Roman"/>
          <w:sz w:val="18"/>
          <w:szCs w:val="18"/>
          <w:color w:val="auto"/>
        </w:rPr>
        <w:t>We currently rely on third-party contract manufacturing organizations, or CMOs, including Catalent, to manufacture our product candidates. We expect to rely on CMOs for our manufacturing needs for the foreseeable future. To date, our manufacturing partners have met our manufacturing requirements and quality standards for our program materials, and we expect that these organizations, primarily Catalent, will be capable of providing sufficient quantities of our program materials to meet anticipated clinical trial scale demands. While we believe that there are alternative sources of supply for our program materials that can satisfy our clinical and commercial requirements, identifying and establishing relationships with such sources, if necessary, would result in delays and additional costs, both of which could be significant.</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CMOs to adhere to or document compliance to such regulatory requirements could lead to a delay or interruption in the availability of our program materials for clinical trials or enforcement action from the FDA, competent authorities of EU Member States or foreign regulatory authorities. If we or our manufacturers were to fail to comply with the FDA, European Union or other regulatory authority requirements, it could result in sanctions being imposed on us, including clinical holds, fines, injunctions, civil penalties, delays, suspension, variation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9" w:name="page50"/>
    <w:bookmarkEnd w:id="49"/>
    <w:p>
      <w:pPr>
        <w:ind w:firstLine="749"/>
        <w:spacing w:after="0" w:line="253" w:lineRule="auto"/>
        <w:rPr>
          <w:sz w:val="20"/>
          <w:szCs w:val="20"/>
          <w:color w:val="auto"/>
        </w:rPr>
      </w:pPr>
      <w:r>
        <w:rPr>
          <w:rFonts w:ascii="Times New Roman" w:cs="Times New Roman" w:eastAsia="Times New Roman" w:hAnsi="Times New Roman"/>
          <w:sz w:val="18"/>
          <w:szCs w:val="18"/>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they will be sufficient if our primary sources are unavailable. A shortage of a critical raw material, cell line, or reagent, or a technical issue during manufacturing may lead to delays in clinical development or commercialization plans. We are particularly susceptible to any shortages, delays or our inability to obtain suitable AAV9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w:t>
      </w:r>
    </w:p>
    <w:p>
      <w:pPr>
        <w:spacing w:after="0" w:line="29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for AAV9 are subject to significant regulation with respect to manufacturing our products. The third-party manufacturing facilities on which we rely may have limited capacity or fail to meet the applicable stringent regulatory requirements.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currently have relationships with a limited number of suppliers for the manufacturing of plasmids and viruses, components of our product candidates. However, if we experience slowdowns or problems with our facility or those of our manufacturing partners and are unable to establish or scale our internal manufacturing capabilities, we will need to continue to contract with manufacturers that can produce the preclinical, clinical and commercial supply of our products. Each supplier may require licenses to manufacture such components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CMOs for components of our product candidates, are subject to extensive regulation. Components of a finished therapeutic product approved for commercial sale or used in late-stage clinical trials in the European Union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are at an increased risk given that our product candidates have been and for the foreseeable future will be produced on the same manufacturing lines, which could, for example, lead to issues with cross-contamination. We or our CMOs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our contract development and manufacturing organizations, or CDMOs, do not pass such audit or inspections. If these facilities do not pass a pre-approval plant inspection, FDA approval of the products will not be granted.</w:t>
      </w:r>
    </w:p>
    <w:p>
      <w:pPr>
        <w:spacing w:after="0" w:line="19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inspect or audit our manufacturing facilities or those of our third-party contractors, including periodic unannounced inspections by the FDA, competent authorities of EU Member States or other comparable foreign regulatory authorities, to monitor and ensure compliance with cGMP.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or comparable foreign regulatory authority can impose regulatory sanctions including, among other things, shutdown of the third-party vendor or invalidation of drug product lots or processes, fines, injunctions, civil penalties, delays, refusal to approve a pending application for a new drug product or biologic product, or revocation, suspension or variation of a pre-existing approval, license revocation, seizures or recalls of product candidates or drugs, operating restrictions and criminal prosecutions, any of which could significantly and adversely affect supplies of our products, if approved, and significantly harm our business, financial condition, results of operations and prospects. Additionally, if supply from one approved manufacturer is interrupted, there could be a significant disruption in commercial supply. An alternative manufacturer would need to be qualified through a BLA and/or MAA supplement which could result in further delay. The regulatory authorities may also require additional</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right="180"/>
        <w:spacing w:after="0" w:line="282" w:lineRule="auto"/>
        <w:rPr>
          <w:sz w:val="20"/>
          <w:szCs w:val="20"/>
          <w:color w:val="auto"/>
        </w:rPr>
      </w:pPr>
      <w:r>
        <w:rPr>
          <w:rFonts w:ascii="Times New Roman" w:cs="Times New Roman" w:eastAsia="Times New Roman" w:hAnsi="Times New Roman"/>
          <w:sz w:val="18"/>
          <w:szCs w:val="18"/>
          <w:color w:val="auto"/>
        </w:rPr>
        <w:t>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Furthermore, if our suppliers fail to meet contractual requirements, and we are unable to secure one or more replacement suppliers capable of production at a substantially equivalent cost, our clinical trials may be delayed or we could lose potential revenue.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5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and delivery schedules. There is substantial demand and limited supply for certain of the raw materials used to manufacture gene therapy products. As a small company, our negotiation leverage is limited and we are likely to get lower priority than our competitors that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9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plasmids and viruses to deliver necessary components could result in delays in our clinical development or marketing schedules.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or comparable foreign regulatory requirements.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140" w:right="72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 or REMS or comparable foreign strategy;</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TSHA-102 and any other product candidates, once approved;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of gene therapy and increased regulatory scrutiny of gene therapy and genetic research may adversely impact the development or commercial success of our current and future product candidates.</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potential therapeutic products involve introducing genetic material into a patient’s cells via intrathecal administration. The clinical and commercial success of our potential products will depend in part on public acceptance of the use of gene therapy and gene regulation for the prevention or treatment of human diseases. Public attitudes may be influenced by claims that gene therapy and gene regulation are unsafe, unethical or immoral, and consequently, our products may not gain the acceptance of the public or the medical community.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For example, in 2003, trials using early versions of murine gamma-retroviral vectors, which integrate with, and thereby alter, the host cell’s DNA, led to several well-publicized adverse events, including reported cases of leukemia. Although none of our current product candidates utilize murine gamma-retroviral vectors, our product candidates use AAV9 viral vectors. Among the risks in any gene therapy product based on viral vectors are the risks of immunogenicity, elevated liver enzymes, and insertional oncogenesis. If any of our vectors demonstrate a similar effect we may decide or be required to halt or delay further clinical development of any product candidates that utilize that vector.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The risk of cancer remains a concern for gene therapy and we cannot assure that it will not occur in any of our planned or future clinical trials or in any clinical trials conducted by other companies. In addition, there is the potential risk of delayed adverse events following exposure to gene therapy products due to persistent biological activity of the genetic material or other components of products used to carry the genetic material. In addition, for our regulated gene replacement therapy candidates that require that the expression of a therapeutic transgene be tightly regulated, such as TSHA-102, we may inadvertently cause overexpression, which could lead to numerous issues, including safety and toxicity concerns. Furthermore, these regulatory gene replacement therapy candidates require the insertion of miRNA targets into the viral genome, which is a technology that to our knowledge is not present in any approved gene therapy products. If any such adverse events occur, commercialization of our product candidates or further advancement of our clinical trials could be halted or delayed, which would have a negative impact on our business and operations.</w:t>
      </w:r>
    </w:p>
    <w:p>
      <w:pPr>
        <w:spacing w:after="0" w:line="29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TSHA-102 or any other product candidate that may receive regulatory approval, we may not be successful in commercializing those product candidates if and when they are approved.</w:t>
      </w:r>
    </w:p>
    <w:p>
      <w:pPr>
        <w:spacing w:after="0" w:line="51"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We do not have sales or marketing infrastructure. To achieve commercial success for TSHA-102 or any other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ind w:right="60"/>
        <w:spacing w:after="0" w:line="282" w:lineRule="auto"/>
        <w:rPr>
          <w:sz w:val="20"/>
          <w:szCs w:val="20"/>
          <w:color w:val="auto"/>
        </w:rPr>
      </w:pPr>
      <w:r>
        <w:rPr>
          <w:rFonts w:ascii="Times New Roman" w:cs="Times New Roman" w:eastAsia="Times New Roman" w:hAnsi="Times New Roman"/>
          <w:sz w:val="18"/>
          <w:szCs w:val="18"/>
          <w:color w:val="auto"/>
        </w:rPr>
        <w:t>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17"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other product candidates may be smaller than we or third parties currently project, which may affect the addressable markets for our product candidates.</w:t>
      </w:r>
    </w:p>
    <w:p>
      <w:pPr>
        <w:spacing w:after="0" w:line="5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several indications that are orphan diseases. However, 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These estimates may prove to be incorrect and new studies may further reduce the estimated incidence or prevalence of this disease. The number of patients in the United States, the European Union and elsewhere may turn out to be lower than expected, may not be otherwise amenable to treatment with our product candidate or patients may become increasingly difficult to identify and access, all of which would adversely affect our business, financial condition, results of operations and prospects.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incidence and prevalence range for the indications we are targeting has involved collating limited data from multiple sources. Accordingly, the incidence and prevalence estimates included in this Annual Report on Form 10-K should be viewed with caution. Further, the data and statistical information used in this Annual Report on Form 10-K, including estimates derived from them, may differ from information and estimates made by our competitors or from current or future studies conducted by independent sources.</w:t>
      </w:r>
    </w:p>
    <w:p>
      <w:pPr>
        <w:spacing w:after="0" w:line="29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Drug development, particularly in the gene therapy field, is highly competitive and subject to rapid and significant technological advancements. As a significant unmet medical need exists in the neurology field, particularly for the treatment of neurodegenerative diseases, neurodevelopmental disorders and genetic epilepsies, there are several large and small pharmaceutical companies focused on delivering therapeutics for the treatment of these diseases. Further, it is likely that additional drugs will become available in the future for the treatment of our target indications.</w:t>
      </w:r>
    </w:p>
    <w:p>
      <w:pPr>
        <w:spacing w:after="0" w:line="180"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Trofinetide was approved by the FDA in March 2023 for the treatment of Rett Syndrome. We are aware that our competitors are developing product candidates for the treatment of diseases that our product candidates will target. With respect to TSHA-102, we are aware that Neurogene has a clinical stage gene therapy program for the treatment of Rett syndrome.</w:t>
      </w:r>
    </w:p>
    <w:p>
      <w:pPr>
        <w:spacing w:after="0" w:line="17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and development of product candidates, as well as in obtaining regulatory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line="261" w:lineRule="auto"/>
        <w:rPr>
          <w:sz w:val="20"/>
          <w:szCs w:val="20"/>
          <w:color w:val="auto"/>
        </w:rPr>
      </w:pPr>
      <w:r>
        <w:rPr>
          <w:rFonts w:ascii="Times New Roman" w:cs="Times New Roman" w:eastAsia="Times New Roman" w:hAnsi="Times New Roman"/>
          <w:sz w:val="18"/>
          <w:szCs w:val="18"/>
          <w:color w:val="auto"/>
        </w:rPr>
        <w:t>approvals of those product candidates in the United States and in foreign countries. Our current and potential future competitors may also have significantly more experience commercializing drugs, particularly gene therapy and other biological products, that have been approved for marketing. Mergers and acquisitions in the pharmaceutical and biotechnology industries could result in even more resources being concentrated among a small number of our competitors.</w:t>
      </w:r>
    </w:p>
    <w:p>
      <w:pPr>
        <w:spacing w:after="0" w:line="180"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in the neurology field, including for the treatment of diseases and disorders in the therapeutic categories we intend to target. Therefore, our ability to compete successfully will depend largely on our ability to:</w:t>
      </w:r>
    </w:p>
    <w:p>
      <w:pPr>
        <w:spacing w:after="0" w:line="68"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superior to other products in the market;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225"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gene therapies by other companies could impact the anticipated reimbursement structure of our gene therapies, if approved, and our business, financial condition, results of operations and prospects.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 products may face competition sooner than anticipated.</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Biologics Price Competition and Innovation Act,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procedures.</w:t>
      </w:r>
    </w:p>
    <w:p>
      <w:pPr>
        <w:spacing w:after="0" w:line="51"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TSHA-102 for the treatment of Rett syndrome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ind w:right="120"/>
        <w:spacing w:after="0" w:line="254" w:lineRule="auto"/>
        <w:rPr>
          <w:sz w:val="20"/>
          <w:szCs w:val="20"/>
          <w:color w:val="auto"/>
        </w:rPr>
      </w:pPr>
      <w:r>
        <w:rPr>
          <w:rFonts w:ascii="Times New Roman" w:cs="Times New Roman" w:eastAsia="Times New Roman" w:hAnsi="Times New Roman"/>
          <w:sz w:val="18"/>
          <w:szCs w:val="18"/>
          <w:color w:val="auto"/>
        </w:rPr>
        <w:t>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the U.S. Department of Health and Human Services, or HHS. CMS decides whether and to what extent products will be covered and reimbursed under Medicare and private payors tend to follow CMS to a substantial degree.</w:t>
      </w:r>
    </w:p>
    <w:p>
      <w:pPr>
        <w:spacing w:after="0" w:line="80" w:lineRule="exact"/>
        <w:rPr>
          <w:sz w:val="20"/>
          <w:szCs w:val="20"/>
          <w:color w:val="auto"/>
        </w:rPr>
      </w:pPr>
    </w:p>
    <w:p>
      <w:pPr>
        <w:ind w:right="180" w:firstLine="849"/>
        <w:spacing w:after="0" w:line="255" w:lineRule="auto"/>
        <w:rPr>
          <w:sz w:val="20"/>
          <w:szCs w:val="20"/>
          <w:color w:val="auto"/>
        </w:rPr>
      </w:pPr>
      <w:r>
        <w:rPr>
          <w:rFonts w:ascii="Times New Roman" w:cs="Times New Roman" w:eastAsia="Times New Roman" w:hAnsi="Times New Roman"/>
          <w:sz w:val="18"/>
          <w:szCs w:val="18"/>
          <w:color w:val="auto"/>
        </w:rPr>
        <w:t>Further, the U.S. government, state legislatures and foreign governments have continued implementing cost-containment programs, including price controls, restrictions on coverage and reimbursement and requirements for substitution of generic products. For example, the U.S. Department of Health and Human Services, or HHS, imposes rebates on many Medicare Part B and Medicare Part D products to penalize price increases that outpace inflation on an annual basis. HHS has also been empowered to negotiate the price of certain single-source biologics that have been on the market for at least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9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The European Union provides options for EU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ind w:right="280"/>
        <w:spacing w:after="0" w:line="282" w:lineRule="auto"/>
        <w:rPr>
          <w:sz w:val="20"/>
          <w:szCs w:val="20"/>
          <w:color w:val="auto"/>
        </w:rPr>
      </w:pPr>
      <w:r>
        <w:rPr>
          <w:rFonts w:ascii="Times New Roman" w:cs="Times New Roman" w:eastAsia="Times New Roman" w:hAnsi="Times New Roman"/>
          <w:sz w:val="18"/>
          <w:szCs w:val="18"/>
          <w:color w:val="auto"/>
        </w:rPr>
        <w:t>of individual EU Member States. The extent to which pricing and reimbursement decisions are influenced by the HTA of the specific medicinal product currently varies between EU Member States.</w:t>
      </w:r>
    </w:p>
    <w:p>
      <w:pPr>
        <w:spacing w:after="0" w:line="16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European Union and the United Kingdom may continue to propose and implement cost-containing measures to keep healthcare costs down, particularly due to the financial strain that the COVID-19 pandemic has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There can be no assurance that TSHA-102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8"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our collaboration with UT Southwestern for our preclinical research and development programs, including for discovering, preclinically developing and conducting all IND-enabling studies for our lead product candidates and our near-term future pipeline. Failure or delay of UT Southwestern to fulfill all or part of its obligations to us under the agreement, a breakdown in collaboration between the parties or a complete or partial loss of this relationship would materially harm our business.</w:t>
      </w:r>
    </w:p>
    <w:p>
      <w:pPr>
        <w:spacing w:after="0" w:line="14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collaboration with UT Southwestern is critical to our business. We entered into the UT Southwestern Agreement with UT Southwestern to discover and develop certain AAV vector-based therapeutics, and the product candidates developed under such collaboration currently represent all of our pipeline and discovery programs. We currently rely on UT Southwestern for much of our preclinical research and development capabilities, and in particular the UT Southwestern Gene Therapy Program under the direction of Drs. Steven Gray and Berge Minassian. Pursuant to the UT Southwestern Agreement, UT Southwestern is primarily responsible for discovery, preclinical development activities, including all IND-enabling non-clinical studies and research grade manufacturing, and other collaborative activities set forth in the plan for the funded research including leading interactions with FDA and other regulatory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100"/>
        <w:spacing w:after="0" w:line="261" w:lineRule="auto"/>
        <w:rPr>
          <w:sz w:val="20"/>
          <w:szCs w:val="20"/>
          <w:color w:val="auto"/>
        </w:rPr>
      </w:pPr>
      <w:r>
        <w:rPr>
          <w:rFonts w:ascii="Times New Roman" w:cs="Times New Roman" w:eastAsia="Times New Roman" w:hAnsi="Times New Roman"/>
          <w:sz w:val="18"/>
          <w:szCs w:val="18"/>
          <w:color w:val="auto"/>
        </w:rPr>
        <w:t>authorities. Either party has the right in certain circumstances to terminate the collaboration pursuant to the terms of the UT Southwestern Agreement. If UT Southwestern delays or fails to perform its obligations under the UT Southwestern Agreement, disagrees with our interpretation of the terms of the collaboration or our discovery plan or terminates our existing agreement, our pipeline of product candidates would be significantly adversely affected and our prospects will be materially harmed.</w:t>
      </w:r>
    </w:p>
    <w:p>
      <w:pPr>
        <w:spacing w:after="0" w:line="18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term of the research funding portion of the UT Southwestern Agreement, under which we have the ability to acquire exclusive rights to additional gene therapy products for rare, monogenic CNS indications, has been extended to expand research funding pursuant to sponsored research agreements on a program-by-program basis. UT Southwestern has also entered into collaborations with third parties, including certain of our competitors, addressing targets and disease indications outside the scope of our collaboration. As a result, UT Southwestern may have competing interests with respect to their priorities and resources. We may have disagreements with UT Southwestern with respect to the interpretation of the UT Southwestern Agreement, use of resources or otherwise that could cause our relationship with UT Southwestern to deteriorate. As a result, UT Southwestern may reduce their focus on, and resources allocated to, our programs, potentially delaying or terminating our ability to advance product candidates through preclinical studies. Additionally, if either of Dr. Gray or Dr. Minassian were to leave UT Southwestern or to otherwise no longer be meaningfully involved with us, our preclinical research and development capabilities may be substantially reduced.</w:t>
      </w:r>
    </w:p>
    <w:p>
      <w:pPr>
        <w:spacing w:after="0" w:line="18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Further, under the UT Southwestern Agreement, UT Southwestern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UT Southwestern Agreement, we will need to coordinate with UT Southwestern, which could slow down or hamper our ability to enforce our licensed intellectual property rights. In such event, we could face increased competition that could materially and adversely affect our business.</w:t>
      </w:r>
    </w:p>
    <w:p>
      <w:pPr>
        <w:spacing w:after="0" w:line="29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a significant portion of our existing clinical trials and potential future clinical trials for product candidates, and those third parties may not perform satisfactorily, including failing to meet deadlines for the completion of such trials.</w:t>
      </w:r>
    </w:p>
    <w:p>
      <w:pPr>
        <w:spacing w:after="0" w:line="51" w:lineRule="exact"/>
        <w:rPr>
          <w:sz w:val="20"/>
          <w:szCs w:val="20"/>
          <w:color w:val="auto"/>
        </w:rPr>
      </w:pPr>
    </w:p>
    <w:p>
      <w:pPr>
        <w:ind w:right="280" w:firstLine="749"/>
        <w:spacing w:after="0" w:line="253" w:lineRule="auto"/>
        <w:rPr>
          <w:sz w:val="20"/>
          <w:szCs w:val="20"/>
          <w:color w:val="auto"/>
        </w:rPr>
      </w:pPr>
      <w:r>
        <w:rPr>
          <w:rFonts w:ascii="Times New Roman" w:cs="Times New Roman" w:eastAsia="Times New Roman" w:hAnsi="Times New Roman"/>
          <w:sz w:val="18"/>
          <w:szCs w:val="18"/>
          <w:color w:val="auto"/>
        </w:rPr>
        <w:t>We have engaged CROs for our ongoing and planned clinical trials for TSHA-102. We expect to continue to rely on third parties, including clinical data management organizations, medical institutions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may also be interrupted by health epidemics, including due to travel restrictions, quarantine policies, heightened exposure of CRO staff who are healthcare providers to health epidemics or prioritization of resources toward a health epidemic.</w:t>
      </w:r>
    </w:p>
    <w:p>
      <w:pPr>
        <w:spacing w:after="0" w:line="194"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and comparable foreign regulatory authorities require us to comply with standards, commonly referred to as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57" w:name="page58"/>
    <w:bookmarkEnd w:id="57"/>
    <w:p>
      <w:pPr>
        <w:ind w:right="120"/>
        <w:spacing w:after="0" w:line="258" w:lineRule="auto"/>
        <w:rPr>
          <w:sz w:val="20"/>
          <w:szCs w:val="20"/>
          <w:color w:val="auto"/>
        </w:rPr>
      </w:pPr>
      <w:r>
        <w:rPr>
          <w:rFonts w:ascii="Times New Roman" w:cs="Times New Roman" w:eastAsia="Times New Roman" w:hAnsi="Times New Roman"/>
          <w:sz w:val="18"/>
          <w:szCs w:val="18"/>
          <w:color w:val="auto"/>
        </w:rPr>
        <w:t>sites, fail to comply with applicable GCPs, the clinical data generated in our clinical trials may be deemed unreliable and the FDA, European Commission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and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and may ultimately lead to the denial of marketing approval of TSHA-102 or any other product candidates.</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right="16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40" w:right="580" w:hanging="383"/>
        <w:spacing w:after="0" w:line="312"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31" w:lineRule="exact"/>
        <w:rPr>
          <w:rFonts w:ascii="Times New Roman" w:cs="Times New Roman" w:eastAsia="Times New Roman" w:hAnsi="Times New Roman"/>
          <w:sz w:val="17"/>
          <w:szCs w:val="17"/>
          <w:color w:val="auto"/>
        </w:rPr>
      </w:pPr>
    </w:p>
    <w:p>
      <w:pPr>
        <w:ind w:left="1140" w:right="36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left="1140" w:right="80"/>
        <w:spacing w:after="0" w:line="282" w:lineRule="auto"/>
        <w:rPr>
          <w:sz w:val="20"/>
          <w:szCs w:val="20"/>
          <w:color w:val="auto"/>
        </w:rPr>
      </w:pPr>
      <w:r>
        <w:rPr>
          <w:rFonts w:ascii="Times New Roman" w:cs="Times New Roman" w:eastAsia="Times New Roman" w:hAnsi="Times New Roman"/>
          <w:sz w:val="18"/>
          <w:szCs w:val="18"/>
          <w:color w:val="auto"/>
        </w:rPr>
        <w:t>candidates, might lead to additional responsibilities for us with respect to product candidates, or might result in litigation or arbitration, any of which would be time-consuming and expensive;</w:t>
      </w:r>
    </w:p>
    <w:p>
      <w:pPr>
        <w:spacing w:after="0" w:line="54" w:lineRule="exact"/>
        <w:rPr>
          <w:sz w:val="20"/>
          <w:szCs w:val="20"/>
          <w:color w:val="auto"/>
        </w:rPr>
      </w:pPr>
    </w:p>
    <w:p>
      <w:pPr>
        <w:ind w:left="1140" w:right="60" w:hanging="383"/>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related to any of our product candidates, we may not be able to compete effectively in our market.</w:t>
      </w:r>
    </w:p>
    <w:p>
      <w:pPr>
        <w:spacing w:after="0" w:line="51"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success depends in large part on our ability to obtain and maintain patent and other intellectual property protection in the United States and in other countries with respect to our proprietary technology and product candidates.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 sufficient to stop a competitor from developing and commercializing a product, including a biosimilar product that would be competitive with one or more of our product candidates. Furthermore, any successful challenge to these patents or any other patents owned by or licensed to us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Moreover, depending on the terms of any future in-licenses to which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9" w:name="page60"/>
    <w:bookmarkEnd w:id="59"/>
    <w:p>
      <w:pPr>
        <w:ind w:right="460"/>
        <w:spacing w:after="0" w:line="266" w:lineRule="auto"/>
        <w:rPr>
          <w:sz w:val="20"/>
          <w:szCs w:val="20"/>
          <w:color w:val="auto"/>
        </w:rPr>
      </w:pPr>
      <w:r>
        <w:rPr>
          <w:rFonts w:ascii="Times New Roman" w:cs="Times New Roman" w:eastAsia="Times New Roman" w:hAnsi="Times New Roman"/>
          <w:sz w:val="18"/>
          <w:szCs w:val="18"/>
          <w:color w:val="auto"/>
        </w:rPr>
        <w:t>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know-how that is not amenable to patent protection.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Moreover, our competitors may independently develop knowledge, methods and know-how equivalent to our trade secrets. Competitors could purchase our products, if approved,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2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6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spacing w:after="0" w:line="29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and future intellectual property licenses with third parties, we could lose rights that are important to our business.</w:t>
      </w:r>
    </w:p>
    <w:p>
      <w:pPr>
        <w:spacing w:after="0" w:line="5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proprietary technology for the development of our product candidates, in particular the UT Southwestern Agreement and our license agreement with Abeona. These license agreements impose diligence, development and commercialization timelines and milestone payment, royalty, insurance and other obligations on us. If we fail to comply with our obligations, our licensors may have the right to terminate our licenses, in which event we might not be able to develop, manufacture or market any product that is covered by the intellectual property we in-license from such licensor and may face other penalties. Such an occurrence would materially adversely affect our business prospects.</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Licenses to additional third-party technology and materials that may be required for our development programs may not be available in the future or may not be available on commercially reasonable terms, or at all, which could have a material adverse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20"/>
        <w:spacing w:after="0" w:line="254" w:lineRule="auto"/>
        <w:rPr>
          <w:sz w:val="20"/>
          <w:szCs w:val="20"/>
          <w:color w:val="auto"/>
        </w:rPr>
      </w:pPr>
      <w:r>
        <w:rPr>
          <w:rFonts w:ascii="Times New Roman" w:cs="Times New Roman" w:eastAsia="Times New Roman" w:hAnsi="Times New Roman"/>
          <w:sz w:val="18"/>
          <w:szCs w:val="18"/>
          <w:color w:val="auto"/>
        </w:rPr>
        <w:t>on our business and financial condition. Although we control the prosecution, maintenance and enforcement of the licensed and sublicensed intellectual property relating to our product candidates, we may require the cooperation of our licensors and any upstream licensor, which may not be forthcoming. Therefore, we cannot be certain that the prosecution, maintenance and enforcement of these patent rights will be in a manner consistent with the best interests of our business. If we or our licensor fail to maintain such patents, or if we or our licensor lose rights to those patents or patent applications, the rights we have licensed may be reduced or eliminated and our right to develop and commercialize any of our product candidates that are the subject of such licensed rights could be adversely affected. In addition to the foregoing, the risks associated with patent rights that we license from third parties will also apply to patent rights we may own in the future. Further, if we fail to comply with our development obligations under our license agreements, we may lose our patent rights with respect to such agreement on a territory-by-territory basis, which would affect our patent rights worldwide.</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Termination of our current or any future license agreements would reduce or eliminate our rights under these agreements and may result in our having to negotiate new or reinstated agreements with less favorable terms or cause us to lose our rights under these agreements, including our rights to important intellectual property or technology. Any of the foregoing could prevent us from commercializing our other product candidates, which could have a material adverse effect on our operating results and overall financial condition.</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28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future patents.</w:t>
      </w:r>
    </w:p>
    <w:p>
      <w:pPr>
        <w:spacing w:after="0" w:line="51"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or the Leahy-Smith Act, was signed into law. The Leahy-Smith Act included a number of significant changes to U.S. patent law. These included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Finally, the Leahy-Smith Act contained new statutory provisions that require the USPTO to issue new regulations for their implementation, and it may take the courts years to interpret the provisions of the new statute.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1" w:name="page62"/>
    <w:bookmarkEnd w:id="61"/>
    <w:p>
      <w:pPr>
        <w:ind w:right="140"/>
        <w:spacing w:after="0" w:line="282" w:lineRule="auto"/>
        <w:rPr>
          <w:sz w:val="20"/>
          <w:szCs w:val="20"/>
          <w:color w:val="auto"/>
        </w:rPr>
      </w:pPr>
      <w:r>
        <w:rPr>
          <w:rFonts w:ascii="Times New Roman" w:cs="Times New Roman" w:eastAsia="Times New Roman" w:hAnsi="Times New Roman"/>
          <w:sz w:val="18"/>
          <w:szCs w:val="18"/>
          <w:color w:val="auto"/>
        </w:rPr>
        <w:t>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time-consuming and unsuccessful.</w:t>
      </w:r>
    </w:p>
    <w:p>
      <w:pPr>
        <w:spacing w:after="0" w:line="12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w:t>
      </w:r>
    </w:p>
    <w:p>
      <w:pPr>
        <w:spacing w:after="0" w:line="19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may be necessary to determine the priority of inventions with respect to our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87"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As our current and future product candidates progress toward commercialization, the possibility of a patent infringement claim against us increases. We cannot provide any assurance that our current and future product candidates do not infringe other parties’ patents or other proprietary rights, and competitors or other parties may assert that we infringe their proprietary rights in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2" w:name="page63"/>
    <w:bookmarkEnd w:id="62"/>
    <w:p>
      <w:pPr>
        <w:ind w:right="240"/>
        <w:spacing w:after="0" w:line="254" w:lineRule="auto"/>
        <w:rPr>
          <w:sz w:val="20"/>
          <w:szCs w:val="20"/>
          <w:color w:val="auto"/>
        </w:rPr>
      </w:pPr>
      <w:r>
        <w:rPr>
          <w:rFonts w:ascii="Times New Roman" w:cs="Times New Roman" w:eastAsia="Times New Roman" w:hAnsi="Times New Roman"/>
          <w:sz w:val="18"/>
          <w:szCs w:val="18"/>
          <w:color w:val="auto"/>
        </w:rPr>
        <w:t>event. We may become party to, or threatened with, adversarial proceedings or litigation regarding intellectual property rights with respect to our current and future product candidates, including interference or derivation proceedings before the USPTO. Even if we believe such claims are without merit, a court of competent jurisdiction could hold that these third-party patents are valid, enforceable and infringed, which could have a negative impact on our ability to commercialize TSHA-102 or any future product candidates. In order to successfully challenge the validity of any such U.S. patent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94"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aware of issued patent or patents issued to REGENX that claim AAV vectors that have an AAV9 capsid serotype. If we commercialize any of our product candidates prior to the expiry of those patents in 2026 without a license, the patent owner could bring an action claiming infringement. If we are found to infringe a third party’s valid intellectual property rights, we could be required to obtain a license from such third party to continue commercializing our product candidates. However, we may not be able to obtain any required license on commercially reasonable terms or at all.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commercializing our product candidates. In addition, in any such proceeding or litigation, we could be found liable for substantial monetary damages, potentially including treble damages and attorneys’ fees, if we are found to have willfully infringed the patent at issue. A finding of infringement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or other intellectual property. We may be subject to ownership disputes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spacing w:after="0" w:line="254" w:lineRule="auto"/>
        <w:rPr>
          <w:sz w:val="20"/>
          <w:szCs w:val="20"/>
          <w:color w:val="auto"/>
        </w:rPr>
      </w:pPr>
      <w:r>
        <w:rPr>
          <w:rFonts w:ascii="Times New Roman" w:cs="Times New Roman" w:eastAsia="Times New Roman" w:hAnsi="Times New Roman"/>
          <w:sz w:val="18"/>
          <w:szCs w:val="18"/>
          <w:color w:val="auto"/>
        </w:rPr>
        <w:t>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9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If we rely on third parties to manufacture or commercialize our product candidates, or if we collaborate with additional third parties for the development of such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29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rights are not as strong as that in the United States or Europe. These products may compete with our product candidates, and our future patents or other intellectual property rights may not be effective or sufficient to prevent them from competing.</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8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160"/>
        <w:spacing w:after="0" w:line="261" w:lineRule="auto"/>
        <w:rPr>
          <w:sz w:val="20"/>
          <w:szCs w:val="20"/>
          <w:color w:val="auto"/>
        </w:rPr>
      </w:pPr>
      <w:r>
        <w:rPr>
          <w:rFonts w:ascii="Times New Roman" w:cs="Times New Roman" w:eastAsia="Times New Roman" w:hAnsi="Times New Roman"/>
          <w:sz w:val="18"/>
          <w:szCs w:val="18"/>
          <w:color w:val="auto"/>
        </w:rPr>
        <w:t>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which could make it difficult for us to stop the infringement of our future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future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are forced to grant a license to third parties with respect to any patents relevant to our business, our competitive position may be impaired.</w:t>
      </w:r>
    </w:p>
    <w:p>
      <w:pPr>
        <w:spacing w:after="0" w:line="284"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Any of the foregoing events may have a material adverse effect on our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4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our current or future patents;</w:t>
      </w:r>
    </w:p>
    <w:p>
      <w:pPr>
        <w:spacing w:after="0" w:line="53" w:lineRule="exact"/>
        <w:rPr>
          <w:rFonts w:ascii="Times New Roman" w:cs="Times New Roman" w:eastAsia="Times New Roman" w:hAnsi="Times New Roman"/>
          <w:sz w:val="18"/>
          <w:szCs w:val="18"/>
          <w:color w:val="auto"/>
        </w:rPr>
      </w:pPr>
    </w:p>
    <w:p>
      <w:pPr>
        <w:ind w:left="1140" w:right="60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5" w:name="page66"/>
    <w:bookmarkEnd w:id="65"/>
    <w:p>
      <w:pPr>
        <w:ind w:left="1140" w:right="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make the inventions covered by our issued or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future collaborators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state and foreign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3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state and foreign fraud and abuse laws and other healthcare laws, including, without limitation in the United States,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the states and foreign countries in which we conduct or may conduct our business. The laws that will affect our operations include, but are not limited to:</w:t>
      </w:r>
    </w:p>
    <w:p>
      <w:pPr>
        <w:spacing w:after="0" w:line="84" w:lineRule="exact"/>
        <w:rPr>
          <w:sz w:val="20"/>
          <w:szCs w:val="20"/>
          <w:color w:val="auto"/>
        </w:rPr>
      </w:pPr>
    </w:p>
    <w:p>
      <w:pPr>
        <w:ind w:left="1140" w:hanging="383"/>
        <w:spacing w:after="0" w:line="269" w:lineRule="auto"/>
        <w:tabs>
          <w:tab w:leader="none" w:pos="11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 In addition, the ACA, signed into law in 2010, provides that the government may assert that a claim including items or services resulting from a violation of the federal Anti-Kickback Statute constitutes a false or fraudulent claim for purposes of the federal False Claims 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ind w:left="1140" w:right="80" w:hanging="383"/>
        <w:spacing w:after="0" w:line="271" w:lineRule="auto"/>
        <w:tabs>
          <w:tab w:leader="none" w:pos="11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65" w:lineRule="exact"/>
        <w:rPr>
          <w:rFonts w:ascii="Times New Roman" w:cs="Times New Roman" w:eastAsia="Times New Roman" w:hAnsi="Times New Roman"/>
          <w:sz w:val="17"/>
          <w:szCs w:val="17"/>
          <w:color w:val="auto"/>
        </w:rPr>
      </w:pPr>
    </w:p>
    <w:p>
      <w:pPr>
        <w:ind w:left="1140" w:right="14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ind w:left="1140" w:right="40" w:hanging="383"/>
        <w:spacing w:after="0" w:line="254"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imposes certain requirements relating to the privacy, security and transmission of individually identifiable health information on health plans, healthcare clearinghouses and certain healthcare providers, known as “covered entities”, and their respective HIPAA “business associates”, which are independent contractors that perform certain services for or on behalf of covered entities involving the use or disclosure of individually identifiable health information,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 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ind w:left="1140" w:right="120" w:hanging="383"/>
        <w:spacing w:after="0" w:line="255"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and foreign laws that require manufacturers to report information related to payments and other transfers of value to physicians and other healthcare providers, marketing expenditures or drug pricing; state and foreign laws that require pharmaceutical companies to comply with the pharmaceutical industry’s voluntary compliance guidelines and the relevant compliance guidance promulgated by the federal government, or that otherwise restrict payments that may be made to healthcare providers;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w:t>
      </w:r>
    </w:p>
    <w:p>
      <w:pPr>
        <w:spacing w:after="0" w:line="80"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or comparable foreign programs, additional reporting requirements and oversight if we become subject to a corporate integrity agreement or similar agreement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140"/>
        <w:spacing w:after="0" w:line="282" w:lineRule="auto"/>
        <w:rPr>
          <w:sz w:val="20"/>
          <w:szCs w:val="20"/>
          <w:color w:val="auto"/>
        </w:rPr>
      </w:pPr>
      <w:r>
        <w:rPr>
          <w:rFonts w:ascii="Times New Roman" w:cs="Times New Roman" w:eastAsia="Times New Roman" w:hAnsi="Times New Roman"/>
          <w:sz w:val="18"/>
          <w:szCs w:val="18"/>
          <w:color w:val="auto"/>
        </w:rPr>
        <w:t>resolve allegations of non-compliance with these laws, contractual damages, diminished profits and future earnings, reputational harm and the curtailment or restructuring of our operations, any of which could harm our business.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TSHA-102 or any future product candidates, they will remain subject to ongoing regulatory oversight.</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Even if we obtain any regulatory approval for TSHA-102, or any future product candidates, such product candidates, once approved, will be subject to ongoing regulatory requirements applicable to manufacturing, labeling, packaging, storage, advertising, promoting, sampling, record-keeping and submitting of safety and other post-market information, among other things. Any regulatory approvals that we receive for TSHA-102, or any future product candidates may also be subject to a REMS, comparable foreign strategies, limitations on the approved indicated uses for which the drug may be marketed or to the conditions of approval, or requirements that we conduct potentially costly post-marketing testing,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9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or comparable foreign approval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TSHA-102 or any future product candidates, a regulatory authority may:</w:t>
      </w:r>
    </w:p>
    <w:p>
      <w:pPr>
        <w:spacing w:after="0" w:line="54"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vary or withdraw regulatory approval;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TSHA-102 or any future product candidates and harm our business, financial condition, results of operations and prospects.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or European Commission approval any of our product candidates in the United States or European Union, we may never obtain approval for or commercialize any of them in any other jurisdiction, which would limit our ability to realize their full market potential.</w:t>
      </w:r>
    </w:p>
    <w:p>
      <w:pPr>
        <w:spacing w:after="0" w:line="5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6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Approval by the FDA in the United States or the European Commission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80" w:firstLine="84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substantially changed the way healthcare is financed by both the government and private insurers, and significantly impacts the U.S. pharmaceutical industry.</w:t>
      </w:r>
    </w:p>
    <w:p>
      <w:pPr>
        <w:spacing w:after="0" w:line="183" w:lineRule="exact"/>
        <w:rPr>
          <w:sz w:val="20"/>
          <w:szCs w:val="20"/>
          <w:color w:val="auto"/>
        </w:rPr>
      </w:pPr>
    </w:p>
    <w:p>
      <w:pPr>
        <w:ind w:firstLine="84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92" w:lineRule="exact"/>
        <w:rPr>
          <w:sz w:val="20"/>
          <w:szCs w:val="20"/>
          <w:color w:val="auto"/>
        </w:rPr>
      </w:pPr>
    </w:p>
    <w:p>
      <w:pPr>
        <w:ind w:right="20" w:firstLine="849"/>
        <w:spacing w:after="0" w:line="255"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9" w:name="page70"/>
    <w:bookmarkEnd w:id="69"/>
    <w:p>
      <w:pPr>
        <w:spacing w:after="0" w:line="270" w:lineRule="auto"/>
        <w:rPr>
          <w:sz w:val="20"/>
          <w:szCs w:val="20"/>
          <w:color w:val="auto"/>
        </w:rPr>
      </w:pPr>
      <w:r>
        <w:rPr>
          <w:rFonts w:ascii="Times New Roman" w:cs="Times New Roman" w:eastAsia="Times New Roman" w:hAnsi="Times New Roman"/>
          <w:sz w:val="17"/>
          <w:szCs w:val="17"/>
          <w:color w:val="auto"/>
        </w:rPr>
        <w:t>Drug Price Negotiation Program and establishing Most-Favored-Nation pricing for pharmaceutical products;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created under the Inflation Reduction Act of 2022, or IRA.</w:t>
      </w:r>
    </w:p>
    <w:p>
      <w:pPr>
        <w:spacing w:after="0" w:line="177" w:lineRule="exact"/>
        <w:rPr>
          <w:sz w:val="20"/>
          <w:szCs w:val="20"/>
          <w:color w:val="auto"/>
        </w:rPr>
      </w:pPr>
    </w:p>
    <w:p>
      <w:pPr>
        <w:jc w:val="both"/>
        <w:ind w:right="560" w:firstLine="849"/>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ind w:right="40" w:firstLine="849"/>
        <w:spacing w:after="0" w:line="261"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spacing w:after="0" w:line="75" w:lineRule="exact"/>
        <w:rPr>
          <w:sz w:val="20"/>
          <w:szCs w:val="20"/>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25" w:lineRule="exact"/>
        <w:rPr>
          <w:sz w:val="20"/>
          <w:szCs w:val="20"/>
          <w:color w:val="auto"/>
        </w:rPr>
      </w:pPr>
    </w:p>
    <w:p>
      <w:pPr>
        <w:ind w:right="20" w:firstLine="849"/>
        <w:spacing w:after="0" w:line="254"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European Union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three-year transition period until January 31, 2025. Since this date, all new and ongoing trials have been subject to the CTR. Compliance with the CTR requirements by us and our third-party service providers, such as CROs, may impact our developments plans.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ind w:firstLine="749"/>
        <w:spacing w:after="0" w:line="218" w:lineRule="exact"/>
        <w:rPr>
          <w:sz w:val="20"/>
          <w:szCs w:val="20"/>
          <w:color w:val="auto"/>
        </w:rPr>
      </w:pPr>
      <w:r>
        <w:rPr>
          <w:rFonts w:ascii="Times New Roman" w:cs="Times New Roman" w:eastAsia="Times New Roman" w:hAnsi="Times New Roman"/>
          <w:sz w:val="18"/>
          <w:szCs w:val="18"/>
          <w:color w:val="auto"/>
        </w:rPr>
        <w:t>In addition, on January 12, 2025, Regulation (EU) 2021/2282 on Health Technology Assessment, or the HTA Regulation, entered into application through a phased implementation. It is intended to increase cooperation among EU Member States in assessing clinical aspects of health technologies, including new medicinal products, by establishing a framework for joint clinical assessments, joint scientific consultations, and the early identification of emerging health technologies. The Regulation permits EU Member States to use common tools, methodologies, and procedures and requires them to rely on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joint clinical assessment reports for the clinical components of their national HTA evaluations. EU Member States, however, remain responsible for assessing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aspects, such as economic, ethical, and social considerations, and for making pricing and reimbursement decisions at the national level. As implementation of the HTA Regulation is phased in and key methodological and procedural guidance continues to evolve, there remains uncertainty regarding the evidence requirements, timing, and impact of joint clinical assessments on national reimbursement processes. The new framework may result in additional or differently structured evidentiary expectations, misalignment between assessment and regulatory timelines, or delays in national decisions. Any adverse or delayed HTA outcomes, or divergent national reimbursement decisions, could negatively affect our ability to obtain or maintain favorable pricing and reimbursement status for any product candidates, if approved.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199" w:lineRule="exact"/>
        <w:rPr>
          <w:sz w:val="20"/>
          <w:szCs w:val="20"/>
          <w:color w:val="auto"/>
        </w:rPr>
      </w:pPr>
    </w:p>
    <w:p>
      <w:pPr>
        <w:ind w:right="60" w:firstLine="849"/>
        <w:spacing w:after="0" w:line="220" w:lineRule="exact"/>
        <w:rPr>
          <w:sz w:val="20"/>
          <w:szCs w:val="20"/>
          <w:color w:val="auto"/>
        </w:rPr>
      </w:pPr>
      <w:r>
        <w:rPr>
          <w:rFonts w:ascii="Times New Roman" w:cs="Times New Roman" w:eastAsia="Times New Roman" w:hAnsi="Times New Roman"/>
          <w:sz w:val="18"/>
          <w:szCs w:val="18"/>
          <w:color w:val="auto"/>
        </w:rPr>
        <w:t>Following the United Kingdom’s departure from the EU, the HTA Regulation does not apply in the UK; however, the MHRA and UK HTA bodies, including NICE, the SMC, and the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Wales Medicines Strategy Group, are developing new pathways intended to support the timely and efficient development and assessment of innovative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spacing w:after="0" w:line="20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Furthermore, on December 11, 2025, the European Commission, the Parliament and the European Council reached a political agreement on a comprehensive overhaul of EU pharmaceutical legislation, or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capped at a maximum of eleven years; reshape the incentives regime for orphan medicinal products, by introducing “breakthrough” orphan medicinal products – those addressing diseases with no available medicinal treatment – which will benefit from 11 years of market exclusivity. A decrease in market exclusivity opportunities for our product candidates in the EU could open them to generic or biosimilar competition earlier than under the current regime, potentially impacting reimbursement status and the commercial prospects of our product candidates. If we are slow or unable to adapt to changes in existing requirements or the adoption of new requirements or policies, our development plans may be impacted.</w:t>
      </w:r>
    </w:p>
    <w:p>
      <w:pPr>
        <w:spacing w:after="0" w:line="19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TSHA-102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0"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100" w:firstLine="849"/>
        <w:spacing w:after="0" w:line="258"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right="20" w:firstLine="84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most recently in October 2025,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firstLine="849"/>
        <w:spacing w:after="0" w:line="256" w:lineRule="auto"/>
        <w:rPr>
          <w:sz w:val="20"/>
          <w:szCs w:val="20"/>
          <w:color w:val="auto"/>
        </w:rPr>
      </w:pPr>
      <w:r>
        <w:rPr>
          <w:rFonts w:ascii="Times New Roman" w:cs="Times New Roman" w:eastAsia="Times New Roman" w:hAnsi="Times New Roman"/>
          <w:sz w:val="18"/>
          <w:szCs w:val="18"/>
          <w:color w:val="auto"/>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 There is increased uncertainty as to how the FDA and other regulatory agencies will regulate our products.</w:t>
      </w:r>
    </w:p>
    <w:p>
      <w:pPr>
        <w:spacing w:after="0" w:line="29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p>
    <w:p>
      <w:pPr>
        <w:spacing w:after="0" w:line="67"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We are subject to legal proceedings and claims from time to time that may seek material damages or otherwise may have a material adverse effect on our business. For example, in January 2024 and April 2024, we were named a nominal defendant in stockholder derivative lawsuits asserting claims against certain of our current and former directors, among others, in the Court of Chancery of the State of Delaware. These lawsuits, which have since been consolidated, seek, among other relief, a declaration that certain defendants were unjustly enriched, unspecified monetary damages, disgorgement of certain alleged profits received by defendants, and reasonable costs and expenses, including attorneys’ fees, and other relief. We have not recorded a liability related to these lawsuits because, at this time, we are unable to reasonably estimate possible losses or gains or determine whether an unfavorable outcome is either probable or remote. Our board of directors has formed a special litigation committee to investigate the claims and allegations in the amended complaint. On March 3, 2026, the special litigation committee moved to terminate the action, stating its conclusion that dismissal is in the best interest of the company and its stockholders. In connection with an investigation captioned In the Matter of Taysha Gene Therapies, Inc. (D-04192), we and certain of our officers and directors received subpoenas in late 2024 from the SEC for materials relating to our August 2023 PIPE and certain public offerings. The SEC investigation is neither a determination that the Company or any individuals have violated any law nor a charge of any wrongdoing. See “Item 3-Legal Proceedings” and “Part II, Item 8, Note 13-Commitments and Contingencies” in the 2024 Form 10-K for more information and “Part I, Item 2, Note 13-Commitments and Contingencies” in our First Quarter 2025 Form 10-Q for more information about each of these matters.</w:t>
      </w:r>
    </w:p>
    <w:p>
      <w:pPr>
        <w:spacing w:after="0" w:line="79" w:lineRule="exact"/>
        <w:rPr>
          <w:sz w:val="20"/>
          <w:szCs w:val="20"/>
          <w:color w:val="auto"/>
        </w:rPr>
      </w:pPr>
    </w:p>
    <w:p>
      <w:pPr>
        <w:ind w:right="120" w:firstLine="849"/>
        <w:spacing w:after="0" w:line="254" w:lineRule="auto"/>
        <w:rPr>
          <w:sz w:val="20"/>
          <w:szCs w:val="20"/>
          <w:color w:val="auto"/>
        </w:rPr>
      </w:pPr>
      <w:r>
        <w:rPr>
          <w:rFonts w:ascii="Times New Roman" w:cs="Times New Roman" w:eastAsia="Times New Roman" w:hAnsi="Times New Roman"/>
          <w:sz w:val="18"/>
          <w:szCs w:val="18"/>
          <w:color w:val="auto"/>
        </w:rPr>
        <w:t>Due to the inherent uncertainties in legal proceedings, we cannot accurately predict the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 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 proceedings, as well as a 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 and recent changes to our team might harm future operating results.</w:t>
      </w:r>
    </w:p>
    <w:p>
      <w:pPr>
        <w:spacing w:after="0" w:line="51"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Such competition may increase due to the recent move by companies to offer a remote or hybrid work environment. In addition, we rely on consultants and advisors, including scientific and clinical advisors, to assist us in formulating our</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line="255" w:lineRule="auto"/>
        <w:rPr>
          <w:sz w:val="20"/>
          <w:szCs w:val="20"/>
          <w:color w:val="auto"/>
        </w:rPr>
      </w:pPr>
      <w:r>
        <w:rPr>
          <w:rFonts w:ascii="Times New Roman" w:cs="Times New Roman" w:eastAsia="Times New Roman" w:hAnsi="Times New Roman"/>
          <w:sz w:val="18"/>
          <w:szCs w:val="18"/>
          <w:color w:val="auto"/>
        </w:rPr>
        <w:t>development and commercialization strategy. Our consultants and advisors may be employed by employers other than us and may have commitments under consulting or advisory contracts with other entities that may limit their availability to us. Further, we may experience employee turnover, consistent with high numbers of employee resignations across the broader American economy, that would have an adverse impact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If we are unable to continue to attract and retain high quality personnel, motivate existing employees or maintain our corporate culture in a hybrid or remote work environment, particularly if we experience increased turnover, our ability to pursue our growth strategy will be limited.</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or comparable foreign regulations, including those laws requiring the reporting of true, complete and accurate information to the FDA or comparable foreign regulatory authority,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incur substantial losses.</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Specifically, from September 24, 2020, the date our stock began trading on Nasdaq, through March 18, 2026 our stock price fluctuated from a low of $0.50 to a high of $33.35 per share. As a result of this volatility, investors may not be able to sell their common stock at or above the price paid for the shares. The market price for our common stock may be influenced by many factors, including:</w:t>
      </w:r>
    </w:p>
    <w:p>
      <w:pPr>
        <w:spacing w:after="0" w:line="75"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unfavorable preclinical results;</w:t>
      </w:r>
    </w:p>
    <w:p>
      <w:pPr>
        <w:spacing w:after="0" w:line="117"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clinical trials of TSHA-102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TSHA-102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additional funding;</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comply with the terms of the 2025 Trinity Term Loan Agreement;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or termination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TSHA-102 or any other product candidate;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adverse events in other gene therapy products or clinical studies of such products;</w:t>
      </w:r>
    </w:p>
    <w:p>
      <w:pPr>
        <w:spacing w:after="0" w:line="117" w:lineRule="exact"/>
        <w:rPr>
          <w:rFonts w:ascii="Times New Roman" w:cs="Times New Roman" w:eastAsia="Times New Roman" w:hAnsi="Times New Roman"/>
          <w:sz w:val="18"/>
          <w:szCs w:val="18"/>
          <w:color w:val="auto"/>
        </w:rPr>
      </w:pPr>
    </w:p>
    <w:p>
      <w:pPr>
        <w:ind w:left="1140" w:right="64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00" w:lineRule="exact"/>
        <w:rPr>
          <w:sz w:val="20"/>
          <w:szCs w:val="20"/>
          <w:color w:val="auto"/>
        </w:rPr>
      </w:pPr>
    </w:p>
    <w:p>
      <w:pPr>
        <w:spacing w:after="0" w:line="201"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 prospects. Broad market and industry factors, including potentially worsening economic conditions, inflation and other adverse effects or developments,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6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4" w:name="page75"/>
    <w:bookmarkEnd w:id="74"/>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in the case of our affiliates.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right="360" w:firstLine="849"/>
        <w:spacing w:after="0" w:line="261" w:lineRule="auto"/>
        <w:rPr>
          <w:sz w:val="20"/>
          <w:szCs w:val="20"/>
          <w:color w:val="auto"/>
        </w:rPr>
      </w:pPr>
      <w:r>
        <w:rPr>
          <w:rFonts w:ascii="Times New Roman" w:cs="Times New Roman" w:eastAsia="Times New Roman" w:hAnsi="Times New Roman"/>
          <w:sz w:val="18"/>
          <w:szCs w:val="18"/>
          <w:color w:val="auto"/>
        </w:rPr>
        <w:t>We can provide no assurance that we will be able to maintain an active trading market for our common stock. The lack of an active trading market for our common stock may impair your ability to sell our common stock at the time you wish to sell at an attractive price or at all.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84"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 2/3% vote and only for cause;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33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principal stockholders may prevent new investors from influencing significant corporate decisions.</w:t>
      </w:r>
    </w:p>
    <w:p>
      <w:pPr>
        <w:spacing w:after="0" w:line="51"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Our current beneficial owners of 5% or more of our common stock and their respective affiliates beneficially own a large percentage of our common stock. As a result, these persons, acting together, would be able to significantly influence all matters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ind w:right="200"/>
        <w:spacing w:after="0" w:line="282" w:lineRule="auto"/>
        <w:rPr>
          <w:sz w:val="20"/>
          <w:szCs w:val="20"/>
          <w:color w:val="auto"/>
        </w:rPr>
      </w:pPr>
      <w:r>
        <w:rPr>
          <w:rFonts w:ascii="Times New Roman" w:cs="Times New Roman" w:eastAsia="Times New Roman" w:hAnsi="Times New Roman"/>
          <w:sz w:val="18"/>
          <w:szCs w:val="18"/>
          <w:color w:val="auto"/>
        </w:rPr>
        <w:t>requiring stockholder approval, including the election and removal of directors, any merger, consolidation, sale of all or substantially all of our assets, or other significant corporate transactions.</w:t>
      </w:r>
    </w:p>
    <w:p>
      <w:pPr>
        <w:spacing w:after="0" w:line="162"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76" w:lineRule="exact"/>
        <w:rPr>
          <w:sz w:val="20"/>
          <w:szCs w:val="20"/>
          <w:color w:val="auto"/>
        </w:rPr>
      </w:pPr>
    </w:p>
    <w:p>
      <w:pPr>
        <w:ind w:right="6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are no longer an "emerging growth company" as defined in the JOBS Act, we may incur additional expenses and devote increased management time to compliance with additional disclosures that are applicable to companies that are not emerging growth companies.</w:t>
      </w:r>
    </w:p>
    <w:p>
      <w:pPr>
        <w:spacing w:after="0" w:line="136" w:lineRule="exact"/>
        <w:rPr>
          <w:sz w:val="20"/>
          <w:szCs w:val="20"/>
          <w:color w:val="auto"/>
        </w:rPr>
      </w:pPr>
    </w:p>
    <w:p>
      <w:pPr>
        <w:ind w:right="60" w:firstLine="849"/>
        <w:spacing w:after="0" w:line="252" w:lineRule="auto"/>
        <w:rPr>
          <w:sz w:val="20"/>
          <w:szCs w:val="20"/>
          <w:color w:val="auto"/>
        </w:rPr>
      </w:pPr>
      <w:r>
        <w:rPr>
          <w:rFonts w:ascii="Times New Roman" w:cs="Times New Roman" w:eastAsia="Times New Roman" w:hAnsi="Times New Roman"/>
          <w:sz w:val="18"/>
          <w:szCs w:val="18"/>
          <w:color w:val="auto"/>
        </w:rPr>
        <w:t>While we were an "emerging growth company," as defined in the JOBS Act, we were permitted to take advantage of reduced regulatory and reporting requirements that were otherwise generally available to public companies. These included, without limitation, reduced disclosure obligations regarding executive compensation in our periodic reports and exemptions from the requirements of holding a nonbinding advisory vote on executive compensation and shareholder approval of any golden parachute payments not previously approved. Because we ceased to be an emerging growth company effective as of December 31, 2025, we expect to incur additional expenses and to devote increased management time towards insuring compliance with those requirements applicable to companies that are not emerging growth companies. We qualify as a smaller reporting company, and we will remain a smaller reporting company for so long as (i) the market value of our shares held by non-affiliates is less than $250.0 million measured on the last business day of our second fiscal quarter or (ii) our annual revenue is less than $100.0 million during the most recently completed fiscal year and the market value of our shares held by non-affiliates is less than $700.0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our cash and cash equivalents.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these net proceeds. You will not have the opportunity to influence our decisions on how to use our cash and cash equivalents.</w:t>
      </w:r>
    </w:p>
    <w:p>
      <w:pPr>
        <w:spacing w:after="0" w:line="2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the 2025 Trinity Term Loan Agreement restrict our ability to pay dividends. As a result, capital appreciation, if any, of our common stock will be your sole source of gain for the foreseeable future. Investors seeking cash dividends should not purchase our common stock.</w:t>
      </w:r>
    </w:p>
    <w:p>
      <w:pPr>
        <w:spacing w:after="0" w:line="28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right="54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6" w:name="page77"/>
    <w:bookmarkEnd w:id="76"/>
    <w:p>
      <w:pPr>
        <w:ind w:left="1140" w:right="3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restated certificate or our amended and restated bylaws;</w:t>
      </w:r>
    </w:p>
    <w:p>
      <w:pPr>
        <w:spacing w:after="0" w:line="53"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Delaware General Corporation Law confers jurisdiction on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use, generate, transfer, disclose, make accessible, protect, secure, dispose of, transmit, and share (collectively, Process) personal data and sensitive information, and other information necessary to operate our business, for legal and marketing purposes, and for other business-related purposes, such as information we collect about patients and healthcare providers in connection with clinical trials in the U.S. and abroad, proprietary and confidential business data, trade secrets, and intellectual property.</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Our data Processing activities subject us to numerous data privacy and security obligations, such as various federal, state, local, and foreign laws, regulations, and guidance industry standards, external and internal data privacy and security policies, contractual requirements, and other obligations relating to data privacy and security. The number and scope of which is changing, subject to differing applications and interpretations, and which may be inconsistent among jurisdictions, or in conflict with other rules, laws or Data Protection Obligations (as defined below).</w:t>
      </w:r>
    </w:p>
    <w:p>
      <w:pPr>
        <w:spacing w:after="0" w:line="180" w:lineRule="exact"/>
        <w:rPr>
          <w:sz w:val="20"/>
          <w:szCs w:val="20"/>
          <w:color w:val="auto"/>
        </w:rPr>
      </w:pPr>
    </w:p>
    <w:p>
      <w:pPr>
        <w:jc w:val="both"/>
        <w:ind w:right="74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and consumer protection laws. For example, the HIPAA, as amended by HITECH, imposes specific requirements relating to the privacy, security, and transmission of individually identifiable health information.</w:t>
      </w:r>
    </w:p>
    <w:p>
      <w:pPr>
        <w:spacing w:after="0" w:line="176"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Numerous U.S. states have enacted comprehensive data privacy and security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collectively, the CCPA, applies to personal data of consumers, business representatives,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40"/>
        <w:spacing w:after="0" w:line="256" w:lineRule="auto"/>
        <w:rPr>
          <w:sz w:val="20"/>
          <w:szCs w:val="20"/>
          <w:color w:val="auto"/>
        </w:rPr>
      </w:pPr>
      <w:r>
        <w:rPr>
          <w:rFonts w:ascii="Times New Roman" w:cs="Times New Roman" w:eastAsia="Times New Roman" w:hAnsi="Times New Roman"/>
          <w:sz w:val="18"/>
          <w:szCs w:val="18"/>
          <w:color w:val="auto"/>
        </w:rPr>
        <w:t>employees who are California residents, and requires businesses to provide specific disclosure in privacy notices and honor requests of California residents certain rights. The CCPA allows for up to $7,988 per intentional violation and allows private litigants affected by certain data breaches to recover significant statutory damages. The CCPA and other comprehensive U.S. state privacy laws exempt some data Processed in the context of clinical trials, these developments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spacing w:after="0" w:line="18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Our operations may be subject to increased scrutiny or attention from foreign data privacy and security authorities. Our clinical trial programs and research collaborations outside the United States may implicate foreign data privacy and security laws, including in Canada, the United Kingdom and Europe. The European Union’s General Data Protection Regulation, or EU GDPR, the United Kingdom’s General Data Protection Regulation, or UK GDPR (collectively, GDPR), and Canada’s Personal Information Protection and Electronic Documents and various related provincial laws, as well as Canada’s Anti-Spam Legislation, may apply to our operations. The EU GDPR, and the UK GDPR, impose strict requirements for Processing the personal data of individuals located, respectively, within the EEA, and the United Kingdom.</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Under the GDPR, companies may face temporary or definitive bans on data Processing and other corrective actions, as well as fines of up to 20 million Euros under the EU GDPR, 17.5 million pounds sterling under the UK GDPR or, in each case, 4% of the annual global revenue, whichever is greater. Further, the law allows for private litigation related to Processing of personal data brought by classes of data subjects or consumer protection groups authorized by law to represent their interests.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or AI, technologies to perform their work, and the disclosure and use of personal data in AI technologies is subject to various privacy laws and other privacy obligations. Governments have passed and are likely to pass additional laws and regulations regulating AI. Our use of this technology could result in additional compliance costs, regulatory investigations and actions, and lawsuits. If we are unable to use AI, it could make our business less efficient and result in competitive disadvantages.</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transfer personal data from Europe and other jurisdictions to the United States or other countries. Certain jurisdictions, including Europe and the United Kingdom (UK), have enacted data localization laws and cross-border personal data transfers laws. For example, absent appropriate safeguards or other circumstances, the EU GDPR and UK GDPR generally restricts the transfer of personal data to countries outside of the EEA and UK respectively, such as the United States. Other jurisdictions have enacted or are considering similar cross-border personal data transfer laws and local personal data residency laws, any of which could increase the cost and complexity of doing business.</w:t>
      </w:r>
    </w:p>
    <w:p>
      <w:pPr>
        <w:spacing w:after="0" w:line="183"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may face significant adverse consequences, including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Processing or transferring personal data from Europe or elsewhere.</w:t>
      </w:r>
    </w:p>
    <w:p>
      <w:pPr>
        <w:spacing w:after="0" w:line="18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Inability to import personal data to the United States may significantly and negatively impact our business operations, including by limiting our ability to conduct clinical trial activities in Europe and elsewhere; limiting our ability to collaborate with parties subject to European and other data protection laws or requiring us to increase our personal data Processing capabilities in Europe and/or elsewhere at significant expense.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EU GDPR’s cross-border data transfer limitations.</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120"/>
        <w:spacing w:after="0" w:line="266" w:lineRule="auto"/>
        <w:rPr>
          <w:sz w:val="20"/>
          <w:szCs w:val="20"/>
          <w:color w:val="auto"/>
        </w:rPr>
      </w:pPr>
      <w:r>
        <w:rPr>
          <w:rFonts w:ascii="Times New Roman" w:cs="Times New Roman" w:eastAsia="Times New Roman" w:hAnsi="Times New Roman"/>
          <w:sz w:val="18"/>
          <w:szCs w:val="18"/>
          <w:color w:val="auto"/>
        </w:rPr>
        <w:t>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also subject to the terms of our data privacy and security policies, representations, certifications, standards, publications and frameworks, and contractual obligations to third parties related to data privacy, security and the Processing of personal data, or, collectively, Data Protection Obligations, including without limitation, operating rules and standards imposed by industry organizations. Data privacy and security issues worldwide are, and are likely to remain, uncertain for the foreseeable future. We strive to comply with applicable data privacy and security laws and Data Protection Obligations to the extent possible, but we may at times fail to do so, or may be perceived to have failed to do so. Moreover, despite our efforts, we may not be successful in achieving compliance if our personnel, partners or vendors do not comply with applicable data privacy and security laws and Data Protection Obligations.</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We publish privacy policies, whitepapers,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80"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laws and Data Protection Obligations, such failure or perceived failure could: increase our compliance and operational costs; expose us to regulatory scrutiny, actions, fines and penalties; result in reputational harm; interrupt or stop clinical trials; result in litigation and liability; result in an inability to Process personal data or to operate in certain jurisdictions; cause a material adverse impact to business operations or financial results; result in imprisonment of company officials; and otherwise result in other material harm to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With applicable data privacy and security laws, and Data Protection Obligations imposing complex and burdensome obligations, and with substantial uncertainty over the interpretation and application of these requirements, we have faced and may face additional challenges in addressing and complying with them, and making necessary changes to our privacy policies and practices, and may incur material costs and expenses in an effort to do so, any of which could materially adversely affect our business operations and financial results, and may limit the adoption and use of, and reduce the overall demand for, our products, which could have an adverse impact on our business.</w:t>
      </w:r>
    </w:p>
    <w:p>
      <w:pPr>
        <w:spacing w:after="0" w:line="28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to our operations such as our clinical trials; claims that we breached our data privacy and security laws; reputational harm; a loss of customers or sales; and other adverse consequences.</w:t>
      </w:r>
    </w:p>
    <w:p>
      <w:pPr>
        <w:spacing w:after="0" w:line="7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proprietary, confidential and sensitive information, including personal data (including health-related data), intellectual property, trade secrets, and proprietary business information owned or controlled by ourselves or other parties.</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rely on third parties to help us operate critical business systems and to Process sensitive information in a variety of context, including, without limitation, cloud-based infrastructure, data center facilities, encryption and authentication technology, employee email, and other functions. We also share sensitive information with third parties in conjunction with our business. Our ability to monitor these third parties’ information security practices is limited, and these third parties may not have adequate information security measures in place. If we, or the third parties with whom we work, experience, or in the future experience, any security incident(s) that result in any data loss, deletion or destruction, unauthorized access to, loss of, unauthorized acquisition or disclosure of, or inadvertent exposure or disclosure of, personal data or sensitive information, or compromise related to the security, confidentiality, integrity or availability of our information technology, software, services, communications or data (or those of the third parties with whom we work), it may have a material adverse effect on our business, including without limitation, regulatory investigations or enforcement actions, litigation, indemnity obligations, negative publicity, reputational harm, monetary fund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right="500"/>
        <w:spacing w:after="0" w:line="282" w:lineRule="auto"/>
        <w:rPr>
          <w:sz w:val="20"/>
          <w:szCs w:val="20"/>
          <w:color w:val="auto"/>
        </w:rPr>
      </w:pPr>
      <w:r>
        <w:rPr>
          <w:rFonts w:ascii="Times New Roman" w:cs="Times New Roman" w:eastAsia="Times New Roman" w:hAnsi="Times New Roman"/>
          <w:sz w:val="18"/>
          <w:szCs w:val="18"/>
          <w:color w:val="auto"/>
        </w:rPr>
        <w:t>diversions, diversion of management attention, interruptions in our operations, financial loss, additional reporting requirements and/or oversight, and restrictions on Processing sensitive information (including personal data).</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While we may be entitled to damages if our third-party service providers fail to satisfy their data privacy or security-related obligations to us, any award may be insufficient to cover our damages, or we may be unable to recover such award. For example, the loss of clinical trial data from completed or ongoing or planned clinical trials could result in delays in our regulatory approval efforts and could require us to incur substantial cost to recover or reproduce such data. Security breaches and attendant consequences may prevent or cause customers to stop using our products, deter new customers for using our products, and otherwise negatively impact our ability to grow and operate our business.</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and online and offline fraud and other similar activities are prevalent and continue to increase and threaten the confidentiality, integrity, and availability of our sensitive information and information technology systems, and those of the third parties with whom we work. These threats are prevalent, continue to rise, are increasingly difficult to detect, and come from a variety of sources come from a variety of sources, including traditional computer “hackers,” threat actors, personnel misconduct or error (employee theft or misuse), sophisticated nation-state and nation-state supported actors, “hacktivists,” organized criminal threat actors, and personnel (such as through theft or misuse). We and the third-parties we rely are subject to a variety of evolving threats, including but not limited to social 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 software or hardware failures, loss of data or other information technology assets, adware, telecommunications failures, earthquakes, fire, flood, attacks enhanced or facilitated by AI, and other similar threats.</w:t>
      </w:r>
    </w:p>
    <w:p>
      <w:pPr>
        <w:spacing w:after="0" w:line="194"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Ransomware attacks, including those perpetrated by organized criminal threat actors, nation-states, and nation-state 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payments.</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Similarly, supply-chain attacks have increased in frequency and severity, and we cannot guarantee that third parties and infrastructure in our supply chain have not been compromised or that they do not contain exploitable defects or bugs that could result in a breach of or disruption to our information technology systems or the third-party information technology systems that support us and our services.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ind w:right="80" w:firstLine="849"/>
        <w:spacing w:after="0" w:line="253" w:lineRule="auto"/>
        <w:rPr>
          <w:sz w:val="20"/>
          <w:szCs w:val="20"/>
          <w:color w:val="auto"/>
        </w:rPr>
      </w:pPr>
      <w:r>
        <w:rPr>
          <w:rFonts w:ascii="Times New Roman" w:cs="Times New Roman" w:eastAsia="Times New Roman" w:hAnsi="Times New Roman"/>
          <w:sz w:val="18"/>
          <w:szCs w:val="18"/>
          <w:color w:val="auto"/>
        </w:rPr>
        <w:t>We have been in the past, and may in the future, be required to expend significant resources, fundamentally change our business activities (including our clinical trial activities) and practices, and/or modify our operations, including our clinical trial activities or information technology, in an effort to protect against security breaches and to mitigate, detect, and remediate actual and potential vulnerabilities. Applicable data privacy and security laws and Data Protection Obligations may require us to implement specific security measures or use industry-standard or reasonable measures to protect against security breaches. While we have implemented security measures designed to protect against security breaches, there can be no assurance that our security measures or those of our service providers, partners and other third parties will be effective in protecting against all security breaches and material adverse impacts that may arise from such breaches.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The recovery systems, security protocols, network protection mechanisms and other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0" w:name="page81"/>
    <w:bookmarkEnd w:id="80"/>
    <w:p>
      <w:pPr>
        <w:ind w:right="100"/>
        <w:spacing w:after="0" w:line="282" w:lineRule="auto"/>
        <w:rPr>
          <w:sz w:val="20"/>
          <w:szCs w:val="20"/>
          <w:color w:val="auto"/>
        </w:rPr>
      </w:pPr>
      <w:r>
        <w:rPr>
          <w:rFonts w:ascii="Times New Roman" w:cs="Times New Roman" w:eastAsia="Times New Roman" w:hAnsi="Times New Roman"/>
          <w:sz w:val="18"/>
          <w:szCs w:val="18"/>
          <w:color w:val="auto"/>
        </w:rPr>
        <w:t>security measures that we (and our third parties) have integrated into our platform, systems, networks and physical facilities, which are designed to protect against, detect and minimize security breaches, may not be adequate to prevent or detect service interruption, system failure or data loss.</w:t>
      </w:r>
    </w:p>
    <w:p>
      <w:pPr>
        <w:spacing w:after="0" w:line="162" w:lineRule="exact"/>
        <w:rPr>
          <w:sz w:val="20"/>
          <w:szCs w:val="20"/>
          <w:color w:val="auto"/>
        </w:rPr>
      </w:pPr>
    </w:p>
    <w:p>
      <w:pPr>
        <w:ind w:right="40" w:firstLine="849"/>
        <w:spacing w:after="0" w:line="253" w:lineRule="auto"/>
        <w:rPr>
          <w:sz w:val="20"/>
          <w:szCs w:val="20"/>
          <w:color w:val="auto"/>
        </w:rPr>
      </w:pPr>
      <w:r>
        <w:rPr>
          <w:rFonts w:ascii="Times New Roman" w:cs="Times New Roman" w:eastAsia="Times New Roman" w:hAnsi="Times New Roman"/>
          <w:sz w:val="18"/>
          <w:szCs w:val="18"/>
          <w:color w:val="auto"/>
        </w:rPr>
        <w:t>We have not always been able in the past and may be unable in the future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For example, in 2024, we were the target of a phishing attack that affected a limited number of our employees and their mailboxes. We promptly investigated the attack and took steps to contain and mitigate the effects of the attack. In addition, security researchers and other individuals have in the past and will continue in the future to actively search for and exploit actual and potential vulnerabilities in our (or our third parties’) information technology and communications. While we take steps designed to detect and remediate vulnerabilities, we may not be able to detect and remediate vulnerabilities on a timely basis. Therefore, such vulnerabilities could be exploited and result in a security breach, but they may not be detected until after a security breach has occurred. These vulnerabilities pose material risks to our business. We cannot be certain that we will be able to address any such vulnerabilities, in whole or part, and there may be delays in developing and deploying patches and other remedial measures to adequately address vulnerabilities. Any of the previously identified or similar threats could cause a security breach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w:t>
      </w:r>
    </w:p>
    <w:p>
      <w:pPr>
        <w:spacing w:after="0" w:line="187" w:lineRule="exact"/>
        <w:rPr>
          <w:sz w:val="20"/>
          <w:szCs w:val="20"/>
          <w:color w:val="auto"/>
        </w:rPr>
      </w:pPr>
    </w:p>
    <w:p>
      <w:pPr>
        <w:ind w:right="60" w:firstLine="594"/>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laws and Data Protection Obligations may require us, or we may voluntarily choose, to notify relevant stakeholders of security breaches, including affected individuals, regulators and investors, of security incidents, or to take other actions, such as providing credit monitoring and identity theft protection services. Such disclosures and related actions can be costly, and the disclosures or the failure to comply with such applicable requirements, could lead to adverse consequences.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the limitations of liability in our contracts are sufficient to protect us from liabilities, damages, or claims related to our data privacy and security obligations. We may not have adequate insurance coverage in the event of a security breach. We cannot assure that our existing coverage will be adequate or otherwise protect us from or adequately mitigate liabilities or damages with respect to claims, costs, expenses, litigation, fines, penalties, business loss, data loss, regulatory actions or material adverse impacts arising out of our data privacy and security practices, Processing or security breaches we may experience, or that such coverage will continue to be available on acceptable terms or at all.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8" w:lineRule="exact"/>
        <w:rPr>
          <w:sz w:val="20"/>
          <w:szCs w:val="20"/>
          <w:color w:val="auto"/>
        </w:rPr>
      </w:pPr>
    </w:p>
    <w:p>
      <w:pPr>
        <w:ind w:firstLine="59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breach,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our employees’, personnel’s, or vendors’ use of generative AI technologies.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If we fail, or are perceived to have failed, to address or comply with these data privacy and security laws and Data Protection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and orders to destroy or not use personal data.</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or FCPA, and similar anti-bribery and anti-corruption laws.</w:t>
      </w:r>
    </w:p>
    <w:p>
      <w:pPr>
        <w:spacing w:after="0" w:line="12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We may engage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40"/>
        <w:spacing w:after="0" w:line="253" w:lineRule="auto"/>
        <w:rPr>
          <w:sz w:val="20"/>
          <w:szCs w:val="20"/>
          <w:color w:val="auto"/>
        </w:rPr>
      </w:pPr>
      <w:r>
        <w:rPr>
          <w:rFonts w:ascii="Times New Roman" w:cs="Times New Roman" w:eastAsia="Times New Roman" w:hAnsi="Times New Roman"/>
          <w:sz w:val="18"/>
          <w:szCs w:val="18"/>
          <w:color w:val="auto"/>
        </w:rPr>
        <w:t>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There is no certainty that all of our employees, agents, suppliers, manufacturers, contractors, or collaborators, or those of our affiliates, will comply with all applicable laws and regulations, particularly given the high level of complexity of these laws. We can be held liable for the corrupt or other illegal activities of our employees, agents, contractors, and other collaborators, even if we do not explicitly authorize or have actual knowledge of such activities.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9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 Compliance with these legal requirements could limit our ability to compete in foreign markets and subject us to liability if we violate them.</w:t>
      </w:r>
    </w:p>
    <w:p>
      <w:pPr>
        <w:spacing w:after="0" w:line="6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 candidates outside of the United States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7"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In addition, changes in our product candidates or changes in applicable export or import laws and regulations may create delays in the introduction, provision or sale of our product candidates in international markets, prevent customers from using our product candidates or, in some cases, prevent the export or import of our product candidates to certain countries, governments or persons altogether. Any limitation on our ability to export, provide or sell our product candidates could adversely affect our business, financial condition and results of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51" w:lineRule="exact"/>
        <w:rPr>
          <w:sz w:val="20"/>
          <w:szCs w:val="20"/>
          <w:color w:val="auto"/>
        </w:rPr>
      </w:pPr>
    </w:p>
    <w:p>
      <w:pPr>
        <w:ind w:firstLine="849"/>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 Because we are a smaller reporting company and a non-accelerated filer, we are not required to comply with the auditor attestation requirements of Section 404. Our independent registered public accounting firm will be required to attest to the effectiveness of our internal control over financial reporting in our first annual report required to be filed with the SEC following the date we are no longer a smaller reporting company and non-accelerated filer. Our independent registered public accounting firm may in the future issue a report that is adverse in the event it is not satisfied with the level at which our controls are documented, designed or operating.</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accrued amounts.</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are subject to taxation in more than one tax jurisdiction. As a result, our effective tax rate is derived from a combination of applicable tax rates in the various places that we operate. In preparing our financial statements, we estimate the amount of tax that will become payable in each such jurisdiction. Nevertheless, our effective tax rate may be different than experienced in the past due to numerous factors, including passage of newly enacted tax legislation, changes in the mix of our profitability from jurisdiction to jurisdiction, the results of examinations and audits of our tax filings, our inability to secure or sustain acceptable agreements with tax authorities, changes in accounting for income taxes and changes in existing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have generated and expect to continue to generate significant federal and state net operating loss, or NOL, carryforwards in the future. As of December 31, 2025, there were federal and state NOLs of $327.1 million and $13.6 million respectively. A portion of these NOL carryforwards could expire unused and be unavailable to offset future income tax liabilities. Federal NOLs incurred in taxable years beginning after December 31, 2017 may be carried forward indefinitely, but the deductibility of such federal NOLs is limited. It is uncertain if and to what extent various states will conform to federal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During 2023, we performed a detailed analysis of historical and current Section 382 ownership shifts that may limit the utilization of NOL carryforwards. None of our gross federal NOLs are permanently limited. However, as a result of the ownership shift that occurred in August 2023, $27.1 million of our research credits will expire and $217.9 million of our gross federal NOLs are subject to an annual utilization limitation of $3.1 million. Sales of our common stock by our existing stockholders, or additional sales of our common stock by us, could trigger additional limitations under Section 382 which could have a material adverse effect on our results of operations in future years. At the state level, there may be periods during which the use of NOLs is suspended or otherwise limited, which could accelerate or permanently increase state taxes owed.</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51" w:lineRule="exact"/>
        <w:rPr>
          <w:sz w:val="20"/>
          <w:szCs w:val="20"/>
          <w:color w:val="auto"/>
        </w:rPr>
      </w:pPr>
    </w:p>
    <w:p>
      <w:pPr>
        <w:ind w:right="40" w:firstLine="656"/>
        <w:spacing w:after="0" w:line="253" w:lineRule="auto"/>
        <w:rPr>
          <w:sz w:val="20"/>
          <w:szCs w:val="20"/>
          <w:color w:val="auto"/>
        </w:rPr>
      </w:pPr>
      <w:r>
        <w:rPr>
          <w:rFonts w:ascii="Times New Roman" w:cs="Times New Roman" w:eastAsia="Times New Roman" w:hAnsi="Times New Roman"/>
          <w:sz w:val="18"/>
          <w:szCs w:val="18"/>
          <w:color w:val="auto"/>
        </w:rPr>
        <w:t>New tax laws, statutes, rules, regulations, directives, decrees or ordinances could be enacted at any time. Further, existing tax laws, statutes, rules, regulations, directives, decrees or ordinances could be interpreted, changed or modified. Any such enactment, interpretation, change or modification could adversely affect us, possibly with retroactive effect. For example, the IRA imposes, among other rules, a 15% minimum tax on the book income of certain large corporations and a 1% excise tax on certain corporate stock repurchases. In addition, for certain research and experimental expenses incurred in tax years beginning after December 31, 2021, the Tax Cuts and Jobs Act required the capitalization and amortization of such expenses over five years if incurred in the United States and fifteen years if incurred outside the United States, rather than deducting such expenses currently. The OBBBA restored the tax deductibility of such expenses in the year incurred if incurred in the United States for tax years beginning after December 31, 2024. We are evaluating the potential impact that this and other changes under the OBBBA may have on our business. Future guidance from the Internal Revenue Service and other tax authorities with respect to any legislation that may affect us, and certain aspects of such legislation could be modified or repealed in future legislation or sunset in future years. Changes in corporate tax rates, the realization of net deferred tax assets relating to our operations, the taxation of foreign earnings and the deductibility of expenses could have a material impact on the value of our deferred tax assets, result in significant one-time charges and increase our future U.S. tax expense.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being a public company.</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additional legal, accounting and other costs including the cost of director and officer liability insurance. These additional costs could negatively affect our financial results. In addition, changing laws, regulations and standards relating to corporate governance and public disclosure, including regulations implemented by the SEC and the Nasdaq Stock Market,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3" w:name="page84"/>
    <w:bookmarkEnd w:id="83"/>
    <w:p>
      <w:pPr>
        <w:ind w:right="40"/>
        <w:spacing w:after="0" w:line="282" w:lineRule="auto"/>
        <w:rPr>
          <w:sz w:val="20"/>
          <w:szCs w:val="20"/>
          <w:color w:val="auto"/>
        </w:rPr>
      </w:pPr>
      <w:r>
        <w:rPr>
          <w:rFonts w:ascii="Times New Roman" w:cs="Times New Roman" w:eastAsia="Times New Roman" w:hAnsi="Times New Roman"/>
          <w:sz w:val="18"/>
          <w:szCs w:val="18"/>
          <w:color w:val="auto"/>
        </w:rPr>
        <w:t>activities. If notwithstanding our efforts to comply with new laws, regulations and standards, we fail to comply, regulatory authorities may initiate legal proceedings against us and our business may be harmed.</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39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93"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or Information Systems and Data.</w:t>
      </w:r>
    </w:p>
    <w:p>
      <w:pPr>
        <w:spacing w:after="0" w:line="180" w:lineRule="exact"/>
        <w:rPr>
          <w:sz w:val="20"/>
          <w:szCs w:val="20"/>
          <w:color w:val="auto"/>
        </w:rPr>
      </w:pPr>
    </w:p>
    <w:p>
      <w:pPr>
        <w:ind w:right="660" w:firstLine="749"/>
        <w:spacing w:after="0" w:line="266" w:lineRule="auto"/>
        <w:rPr>
          <w:sz w:val="20"/>
          <w:szCs w:val="20"/>
          <w:color w:val="auto"/>
        </w:rPr>
      </w:pPr>
      <w:r>
        <w:rPr>
          <w:rFonts w:ascii="Times New Roman" w:cs="Times New Roman" w:eastAsia="Times New Roman" w:hAnsi="Times New Roman"/>
          <w:sz w:val="18"/>
          <w:szCs w:val="18"/>
          <w:color w:val="auto"/>
        </w:rPr>
        <w:t>Our information technology team, led by our Executive Director of Information Technology, helps identify, assess, and manage our cybersecurity threats and risks. Our information technology team assesses risks from cybersecurity threats by monitoring and evaluating our threat environment using various methods including, for example analyzing threat reports, conducting audits, and using intelligence feeds.</w:t>
      </w:r>
    </w:p>
    <w:p>
      <w:pPr>
        <w:spacing w:after="0" w:line="176" w:lineRule="exact"/>
        <w:rPr>
          <w:sz w:val="20"/>
          <w:szCs w:val="20"/>
          <w:color w:val="auto"/>
        </w:rPr>
      </w:pPr>
    </w:p>
    <w:p>
      <w:pPr>
        <w:jc w:val="both"/>
        <w:ind w:right="640" w:firstLine="749"/>
        <w:spacing w:after="0" w:line="266" w:lineRule="auto"/>
        <w:rPr>
          <w:sz w:val="20"/>
          <w:szCs w:val="20"/>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incident detection and response, employee training, access controls, cyber insurance, and systems monitoring.</w:t>
      </w:r>
    </w:p>
    <w:p>
      <w:pPr>
        <w:spacing w:after="0" w:line="176"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our overall risk management processes. For example, our senior management along with our information technology team evaluates material risks from cybersecurity threats against our overall business objectives and reports to the Audit Committee of the board of directors, which evaluates our overall enterprise risk.</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cybersecurity software providers, managed cybersecurity service providers, and dark web monitoring services.</w:t>
      </w:r>
    </w:p>
    <w:p>
      <w:pPr>
        <w:spacing w:after="0" w:line="16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contract research organizations, contract manufacturing organizations, and hosting companies. We have a vendor management process to manage cybersecurity risks associated with our use of these providers which includes risk assessments and audits.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us and how they may do so, see our risk factors under Part 1. Item 1A. Risk Factors in this Annual Report on Form 10-K, including “If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to our operations such as our clinical trials; claims that we breached our data privacy and security laws; reputational harm; a loss of customers or sales; and other adverse consequences.”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board of directors’ Audit Committee is responsible for overseeing our cybersecurity risk management processes, including oversight of mitigation of risks from cybersecurity threats.</w:t>
      </w:r>
    </w:p>
    <w:p>
      <w:pPr>
        <w:spacing w:after="0" w:line="176"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Compliance Officer and Executive Director of Information Technology, both of whom have previously served in management roles at other public biotechnology companies.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85" w:name="page86"/>
    <w:bookmarkEnd w:id="85"/>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Company management is responsible for hiring appropriate personnel, helping to integrate cybersecurity risk considerations into our overall risk management strategy, and communicating key priorities to relevant personnel. Company management is responsible for approving budgets, helping prepare for cybersecurity incidents, approving cybersecurity processes, and reviewing security assessments and other security-related reports.</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plan is designed to escalate certain cybersecurity incidents to members of our legal team depending on the circumstances. Our information technology team works with our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17"/>
          <w:szCs w:val="17"/>
          <w:color w:val="auto"/>
        </w:rPr>
        <w:t>In January 2021, we entered into a lease agreement for 15,000 square feet of administrative space in Dallas, Texas, pursuant to a lease agreement that expires approximately ten years after the lease commenced in May 2021. This lease was amended in December 2021 to lease an additional 18,000 square feet of administrative space in Dallas, TX, pursuant to a lease amendment that expires approximately ten years after the lease commencement date. In December 2020, we entered into a lease agreement for approximately 187,500 square feet of a manufacturing facility in Durham, North Carolina, pursuant to a lease agreement that expires in September 2036. We have two options to extend the term of that lease, each for a period of an additional five years. In November 2025, we entered into a lease agreement for 15,000 square feet of laboratory space in Morrisville, North Carolina pursuant to a lease agreement that expires five years after the lease commencement date. We have the option to extend the term of the lease for a period of three years.</w:t>
      </w:r>
    </w:p>
    <w:p>
      <w:pPr>
        <w:spacing w:after="0" w:line="17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believe that our facilities are suitable and adequate to meet our needs. We intend to add new facilities or expand existing facilities as we add employees, and we believe that suitable additional or substitute space will be available as needed to accommodate any such expansion of our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8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March 3, 2026, the special litigation committee moved to terminate the action, stating its conclusion that dismissal is in the best interest of the company and its stockholders.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or the SEC, for materials relating to Taysha’s August 2023 Private Placement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6" w:name="page87"/>
    <w:bookmarkEnd w:id="8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2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“TSHA.”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As of March 19, 2026, we had 34 holders of record of our common stock, which excludes stockholders whose shares were held in nominee or street name by brokers.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and ASPIRE clinical trials.</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REVEAL Phase 1/2 Adolescent and Adult Trial, also known as Part A,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A total of six participants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MECP2 loss-of-function mutation. The trial is taking place in the United States and Canada. A total of six participants aged 6 to 8 years were treated with TSHA-102 in this study, and enrollment for this trial is also complete.</w:t>
      </w:r>
    </w:p>
    <w:p>
      <w:pPr>
        <w:spacing w:after="0" w:line="198"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18"/>
          <w:szCs w:val="18"/>
          <w:color w:val="auto"/>
        </w:rPr>
        <w:t>We have completed dosing of the 12 patients in Part A of both REVEAL trials, which includes eight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We reported positive clinical data in May 2025, demonstrating that all patients gained or regained one or more developmental milestone across communication, fine motor and gross motor function following administration of TSHA-102 as of the May 19, 2025, data cutoff. Patients also showed improvements across multiple standardized Rett syndrome assessments. There have been no treatment-related serious adverse events or dose-limiting toxicities across the 12 patients treated with TSHA-102 as of the March 2026 data cutoff. An update on longer-term safety and efficacy data from the Part A REVEAL Phase 1/2 trials is expected in the second quarter of 2026.</w:t>
      </w:r>
    </w:p>
    <w:p>
      <w:pPr>
        <w:spacing w:after="0" w:line="198"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The TSHA-102 clinical development program is designed to support the potential future approval of TSHA-102 for a broad population of patients aged 2 years and older with Rett syndrome through an efficient and rigorously designed pathway. In close collaboration with the FDA, Taysha designed the TSHA-102 pivotal program so that efficacy data from the REVEAL pivotal trial in participants aged 6 to &lt;22 years who have reached developmental plateau can be used to represent patients aged 2 to &lt;6 years, while safety data in younger children are generated through the separate ASPIRE trial to support the potential for a broad label for TSHA-102.</w:t>
      </w:r>
    </w:p>
    <w:p>
      <w:pPr>
        <w:spacing w:after="0" w:line="18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The REVEAL pivotal trial, also known as Part B, is a single-arm, open-label study evaluating the efficacy and safety of TSHA-102 in females with Rett syndrome, with each patient serving as their own control. Each participant will receive a single administration of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of TSHA-102 delivered by lumbar intrathecal injection. The study will enroll 15 females aged 6 to &lt;22 years in the developmental plateau population of Rett syndrome; these patients have an exceedingly low likelihood (0% to &lt;6.7%) of gaining new or regaining developmental milestones that were lost after a defined number of years, based on our analysis of the NIH-funded International Rett Syndrome Foundation’s natural history study data. The primary endpoint will assess response rate, defined as the percentage of patients who gain or regain at least one developmental milestone from a list of 28 defined milestones across the core functional domains of communication, fine motor and gross motor, following administration of TSHA-102. Standardized milestone assessments will be administered and captured on video at pre- and post-treatment timepoints, with determination of milestone gain/regain upon video-evidence review by independent, blinded central raters based on prespecified definitions of achievement for each milestone.</w:t>
      </w:r>
    </w:p>
    <w:p>
      <w:pPr>
        <w:spacing w:after="0" w:line="19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have finalized FDA alignment on the REVEAL pivotal trial protocol and statistical analysis plan, which includes a 6-month interim analysis that may serve as the basis for BLA submission. Multiple patients have been dosed in the REVEAL pivotal trial, with the first patient dosed in the fourth quarter of 2025. Additional patient enrollment continues to advance across multiple clinical trial sites. There have been no treatment-related serious adverse events or dose-limiting toxicities across the participants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8" w:name="page89"/>
    <w:bookmarkEnd w:id="88"/>
    <w:p>
      <w:pPr>
        <w:ind w:right="20"/>
        <w:spacing w:after="0" w:line="282" w:lineRule="auto"/>
        <w:rPr>
          <w:sz w:val="20"/>
          <w:szCs w:val="20"/>
          <w:color w:val="auto"/>
        </w:rPr>
      </w:pPr>
      <w:r>
        <w:rPr>
          <w:rFonts w:ascii="Times New Roman" w:cs="Times New Roman" w:eastAsia="Times New Roman" w:hAnsi="Times New Roman"/>
          <w:sz w:val="18"/>
          <w:szCs w:val="18"/>
          <w:color w:val="auto"/>
        </w:rPr>
        <w:t>treated with TSHA-102 in the REVEAL pivotal trial as of the March 2026 cutoff. We expect to complete dosing of all patients in the REVEAL pivotal trial in the second quarter of 2026.</w:t>
      </w:r>
    </w:p>
    <w:p>
      <w:pPr>
        <w:spacing w:after="0" w:line="162" w:lineRule="exact"/>
        <w:rPr>
          <w:sz w:val="20"/>
          <w:szCs w:val="20"/>
          <w:color w:val="auto"/>
        </w:rPr>
      </w:pPr>
    </w:p>
    <w:p>
      <w:pPr>
        <w:ind w:right="40" w:firstLine="749"/>
        <w:spacing w:after="0" w:line="221" w:lineRule="exact"/>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the ASPIRE trial, and the data for inclusion in the planned BLA submission to enable broad labeling of TSHA-102 for patients aged ≥2 years with Rett syndrome. ASPIRE will enroll three females aged 2 to &lt;4 years with Rett syndrome to evaluate the safety and preliminary efficacy of a single IT administration of high dose TSHA-102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scaled to account for the lower brain volume in 2 to &lt;4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olds. A minimum of three months of ASPIRE safety data will be included in the planned BLA submission, while efficacy in the 2 to &lt;4-year-old population will be extrapolated from data collected in the REVEAL pivotal trial, to support the potential for a broad label for TSHA-102 in patients aged ≥2 years with Rett syndrome. We expect to complete dosing in the ASPIRE trial in the second quarter of 2026.</w:t>
      </w:r>
    </w:p>
    <w:p>
      <w:pPr>
        <w:spacing w:after="0" w:line="198"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December 31, 2025, we have funded our operations primarily through: (i) the sale of equity, raising an aggregate of $961.0 million of gross proceeds from our initial public offering, or the IPO, sales of common stock pursuant to our Sales Agreement (as defined below), our October 2022 follow-on offering, our 2023 private placement, our June 2024 Offering (as defined below) and our May 2025 Offering (as defined below); (ii) pre-IPO private placements of our convertible preferred stock; (iii) our 2023 Term Loan Agreement (as defined below) and subsequently the 2025 Trinity Term Loan Agreement (as defined below); and (iv) the Astellas Transactions.</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November 13, 2023, or the 2023 Trinity Closing Date, we entered into a Loan and Security Agreement, or the 2023 Trinity Term Loan Agreement, by and among us, the lenders party thereto from time to time, or the Trinity Lenders, and Trinity Capital Inc., as administrative agent and collateral agent for the Trinity Lenders, or Trinity. The 2023 Trinity Term Loan Agreement provided for, on the 2023 Trinity Closing Date, $40.0 million aggregate principal amount of term loans, or, collectively, the 2023 Trinity Term Loans. We drew the 2023 Trinity Term Loans in full on the 2023 Trinity Closing Date. On August 7, 2025, we entered into the 2025 Trinity Term Loan Agreement (as defined below) with the 2025 Trinity Lenders (as defined below). We drew $50.0 million in term loans on the Trinity Refinance Date (as defined below). The existing 2023 Trinity Term Loan Agreement with the Trinity Lenders was terminated and the existing 2023 Trinity Term Loans were repaid in full concurrently with entry into the 2025 Trinity Term Loans (as defined below).</w:t>
      </w:r>
    </w:p>
    <w:p>
      <w:pPr>
        <w:spacing w:after="0" w:line="192"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$109.0 million for the year ended December 31, 2025 and $89.3 million for the year ended December 31, 2024. As of December 31, 2025, we had an accumulated deficit of $711.3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40" w:right="76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CMOs for the manufacture of cGMP material for clinical trials or potential commercial sales;</w:t>
      </w:r>
    </w:p>
    <w:p>
      <w:pPr>
        <w:spacing w:after="0" w:line="117"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the UT Southwestern Agreement with The Board of Regents of the University of Texas System on behalf of UT Southwestern, as amended in April 2020.</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right of first refusal to negotiate for an exclusive license under certain additional patent rights and know-how of UT Southwestern. We are required to use commercially reasonable efforts to develop, obtain regulatory approval for, and commercialize at least one licensed product.</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we transferred rights to specific indications back to UT Southwestern.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Abeona Rett Agreement. We recorded a $1.0 million charge within research and development expenses in the consolidated statements of operations for the year ended December 31, 2022. In May 2023, we dosed the first patient with TSHA-102 in the Phase 1/2 REVEAL trial evaluating the safety and preliminary efficacy of TSHA-102 in adult patients with Rett syndrome and therefore triggered a milestone payment of $3.5 million in connection with the Abeona Rett Agreement. In December 2025, we dosed the first patient with TSHA-102 in the Phase 1/2 Part B REVEAL pivotal trial and therefore triggered a milestone payment of $3 million in connection with this agreement. This pivotal milestone fee was paid in January 2026. We recorded $3.0 million within research and development expenses in the consolidated statements of operations for the year ended December 31, 2025. No other milestone payments were made or triggered in connection with this agreement during the year ended December 31, 2025.</w:t>
      </w:r>
    </w:p>
    <w:p>
      <w:pPr>
        <w:spacing w:after="0" w:line="188"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right="120"/>
        <w:spacing w:after="0" w:line="282" w:lineRule="auto"/>
        <w:rPr>
          <w:sz w:val="20"/>
          <w:szCs w:val="20"/>
          <w:color w:val="auto"/>
        </w:rPr>
      </w:pPr>
      <w:r>
        <w:rPr>
          <w:rFonts w:ascii="Times New Roman" w:cs="Times New Roman" w:eastAsia="Times New Roman" w:hAnsi="Times New Roman"/>
          <w:sz w:val="18"/>
          <w:szCs w:val="18"/>
          <w:color w:val="auto"/>
        </w:rPr>
        <w:t>material breach of the agreement or insolvency of the other party. We may terminate the agreement for convenience upon specified prior written notice to Abeona.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the Abeona CLN1 Agreement with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 In February 2026, the Abeona CLN1 Agreement was mutually terminated.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On October 21, 2022, or the Effective Date, we entered into the Option Agreement with Astellas. In October 2025, the Rett Option expired without being exercised. Following the expiration of the Option Agreement, we now hold unencumbered rights to the TSHA-102 program.</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Under the Option Agreement, we granted to Astellas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was exercisable from the Effective Date through a specified period of time following Astellas’ receipt of (1) certain clinical data from the female pediatric trial and (2)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 We delivered the Rett Data Package to Astellas in mid-2025. Under the Option Agreement, Astellas was required to decide whether to exercise the Rett Option within 90 days after Astellas’ receipt of the Rett Data Package. In October 2025, the Rett Option expired without being exercised. Following the expiration of the Option Agreement, we now hold unencumbered rights to the TSHA-102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Revenue for the years ended December 31, 2025 and 2024 was derived from the Astellas Transactions. We recognized revenue as research and development activities related to our Rett program were performed. Revenue related to the material rights associated with the Rett Option and the GAN Option were recognized at a point in time when the option was exercised or the option period expired. In September 2023, Astellas elected not to exercise the GAN Option, therefore we recognized revenue related to the GAN Option during the year ended December 31, 2023. In October 2025, Astellas elected not to exercise the Rett Option, therefore we recognized revenue related to the Rett Option during the year ended December 31, 2025.</w:t>
      </w:r>
    </w:p>
    <w:p>
      <w:pPr>
        <w:spacing w:after="0" w:line="18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9" w:lineRule="exact"/>
        <w:rPr>
          <w:sz w:val="20"/>
          <w:szCs w:val="20"/>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begin commercialization activities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2" w:name="page93"/>
    <w:bookmarkEnd w:id="92"/>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may increase in the near future. In addition, we expect to incur legal fees in connection with the shareholder derivative lawsuit against certain of our current and former directors in the Court of Chancery of the State of Delaware. See “Part II, Item 8, Note 13—Commitments and Contingencies” in this Annual Report.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Impairment of long-lived assets are the result of an asset group's carrying value exceeding the fair value. In November 2022, we decided not to continue building out our manufacturing facility in North Carolina. We recorded a non-cash impairment charge related to the construction in progress and right-of-use lease assets at the manufacturing facility. We recorded additional impairment charges related to the construction in progress at the manufacturing facility in the year ended December 31,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and non-cash changes in the fair value of our warrant liability and the 2025 Trinity Term Loan.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 Ended December 31,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w:t>
      </w:r>
    </w:p>
    <w:p>
      <w:pPr>
        <w:spacing w:after="0" w:line="11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4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2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shd w:val="clear" w:color="auto" w:fill="CFF0FC"/>
          </w:tcPr>
          <w:p>
            <w:pPr>
              <w:spacing w:after="0"/>
              <w:rPr>
                <w:sz w:val="18"/>
                <w:szCs w:val="18"/>
                <w:color w:val="auto"/>
              </w:rPr>
            </w:pPr>
          </w:p>
        </w:tc>
      </w:tr>
      <w:tr>
        <w:trPr>
          <w:trHeight w:val="210"/>
        </w:trPr>
        <w:tc>
          <w:tcPr>
            <w:tcW w:w="42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20" w:type="dxa"/>
            <w:vAlign w:val="bottom"/>
            <w:tcBorders>
              <w:top w:val="single" w:sz="8" w:color="CFF0FC"/>
            </w:tcBorders>
          </w:tcPr>
          <w:p>
            <w:pPr>
              <w:spacing w:after="0"/>
              <w:rPr>
                <w:sz w:val="18"/>
                <w:szCs w:val="18"/>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(110,498)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(91,459)</w:t>
            </w:r>
          </w:p>
        </w:tc>
      </w:tr>
      <w:tr>
        <w:trPr>
          <w:trHeight w:val="210"/>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3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42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34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tcBorders>
              <w:top w:val="single" w:sz="8" w:color="CFF0FC"/>
            </w:tcBorders>
          </w:tcPr>
          <w:p>
            <w:pPr>
              <w:spacing w:after="0"/>
              <w:rPr>
                <w:sz w:val="18"/>
                <w:szCs w:val="18"/>
                <w:color w:val="auto"/>
              </w:rPr>
            </w:pPr>
          </w:p>
        </w:tc>
      </w:tr>
      <w:tr>
        <w:trPr>
          <w:trHeight w:val="25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(108,995)</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(89,298)</w:t>
            </w:r>
          </w:p>
        </w:tc>
      </w:tr>
      <w:tr>
        <w:trPr>
          <w:trHeight w:val="628"/>
        </w:trPr>
        <w:tc>
          <w:tcPr>
            <w:tcW w:w="4280" w:type="dxa"/>
            <w:vAlign w:val="bottom"/>
            <w:tcBorders>
              <w:top w:val="single" w:sz="8" w:color="CFF0FC"/>
            </w:tcBorders>
          </w:tcPr>
          <w:p>
            <w:pPr>
              <w:spacing w:after="0"/>
              <w:rPr>
                <w:sz w:val="24"/>
                <w:szCs w:val="24"/>
                <w:color w:val="auto"/>
              </w:rPr>
            </w:pPr>
          </w:p>
        </w:tc>
        <w:tc>
          <w:tcPr>
            <w:tcW w:w="346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-2348230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-2056765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-2056765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-1224915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-916305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Revenue was $9.8 million for the year ended December 31, 2025, compared to $8.3 million for the year ended December 31, 2024. Revenue for the years ended December 31, 2025 and 2024 was derived entirely from the Astellas Transactions. The revenue recorded for the year ended December 31, 2025 is the result of Rett syndrome research and development activities performed during the year of $4.3 million and the expiration of the material right associated with the Rett Option of $5.5 million. The revenue recorded for the year ended December 31, 2024 is the result of Rett syndrome research and development activities performed during the year of $8.3 million.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$86.4 million for the year ended December 31, 2025, compared to $66.0 million for the year ended December 31, 2024. The $20.4 million increase was primarily driven by higher compensation expenses due to increased research and development headcount. Clinical trial and GMP expenses also increased during the year ended December 31, 2025 due to ongoing clinical trial activities in the TSHA-102 REVEAL adolescent/adult and pediatric studies and BLA-enabling process performance qualification manufacturing initiatives.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749"/>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were $33.9 million for the year ended December 31, 2025, compared to $29.0 million for the year ended December 31, 2024. The increase of $4.9 million was primarily due to higher compensation expenses and legal and professional fees as well as debt issuance costs incurred in connection with the 2025 Trinity Term Loan that are recorded in general and administrative expense under the fair value option.</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did not record any non-cash impairment charge in the year ended December 31, 2025. We recorded a non-cash impairment charge of $4.8 million related to our manufacturing facility for the year ended December 31, 2024.</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jc w:val="both"/>
        <w:ind w:right="340" w:firstLine="749"/>
        <w:spacing w:after="0" w:line="282" w:lineRule="auto"/>
        <w:rPr>
          <w:sz w:val="20"/>
          <w:szCs w:val="20"/>
          <w:color w:val="auto"/>
        </w:rPr>
      </w:pPr>
      <w:r>
        <w:rPr>
          <w:rFonts w:ascii="Times New Roman" w:cs="Times New Roman" w:eastAsia="Times New Roman" w:hAnsi="Times New Roman"/>
          <w:sz w:val="18"/>
          <w:szCs w:val="18"/>
          <w:color w:val="auto"/>
        </w:rPr>
        <w:t>Change in fair value of warrant liability was a non-cash loss totaling $1.2 million for the year ended December 31, 2025 related to the SSI Warrants (as defined below) compared to a non-cash gain of less than $0.1 million for the year ended December 31, 2024 related to the SSI Warrants.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2025 Trinity Term Loan and changes to fair value, other than changes that are directly attributed to instrument-specific credit risk, were recorded as a component of other income (expense). The change in fair value was $6.2 million for the year ended December 31, 2025 compared to $4.6 million for the year ended December 31,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$9.2 million for the year ended December 31, 2025 compared to $6.9 million for the year ended December 31, 2024. The increase in income is primarily attributable to dividends earned from our money market fund and interest earned on our savings account following the investment of proceeds raised in our May 2025 Offering and proceeds from the ATM program.</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Interest expense was $0.1 million for each of the years ended December 31, 2025 and 2024. No interest expense was recorded on the term loans for the years ended December 31, 2025 and 2024 due to the election of the fair value 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December 31, 2025, we had cash and cash equivalents of $319.8 million. Through December 31, 2025, we have funded our operations primarily through equity financings, raising an aggregate of $961 million in gross proceeds from equity financings,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bookmarkStart w:id="94" w:name="page95"/>
    <w:bookmarkEnd w:id="94"/>
    <w:p>
      <w:pPr>
        <w:ind w:right="120"/>
        <w:spacing w:after="0" w:line="282" w:lineRule="auto"/>
        <w:rPr>
          <w:sz w:val="20"/>
          <w:szCs w:val="20"/>
          <w:color w:val="auto"/>
        </w:rPr>
      </w:pPr>
      <w:r>
        <w:rPr>
          <w:rFonts w:ascii="Times New Roman" w:cs="Times New Roman" w:eastAsia="Times New Roman" w:hAnsi="Times New Roman"/>
          <w:sz w:val="18"/>
          <w:szCs w:val="18"/>
          <w:color w:val="auto"/>
        </w:rPr>
        <w:t>including from pre-IPO private placements of convertible preferred stock, our IPO, and subsequent sales of common stock in public and private securities offerings, proceeds from a warrant exercise, our term loans and the Astellas Transactions.</w:t>
      </w:r>
    </w:p>
    <w:p>
      <w:pPr>
        <w:spacing w:after="0" w:line="16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August 7, 2025, or the Trinity Refinance Date, we entered into a Loan and Security Agreement, or the 2025 Trinity Term Loan Agreement, by and among us, the lenders party thereto from time to time, or the 2025 Trinity Lenders, and Trinity Capital Inc., as administrative agent and collateral agent for the 2025 Trinity Lenders, or Trinity. The 2025 Trinity Term Loan Agreement provides for (i)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or collectively, the 2025 Trinity Term Loans, and, together with the 2023 Trinity Term Loans, the Trinity Term Loans. We drew $50.0 million in term loans on the Trinity Refinance Date. The existing 2023 Trinity Term Loan Agreement was terminated and the existing 2023 Trinity Term Loans were repaid concurrently with entry into the 2025 Trinity Term Loan Agreement and the draw of Tranche A. 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we are required to pay equal monthly installments of principal through August 1, 2030, or the New Maturity Date.</w:t>
      </w:r>
    </w:p>
    <w:p>
      <w:pPr>
        <w:spacing w:after="0" w:line="19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we will pay to Trinity an end of term payment equal to 5.00% of the original principal amount of the 2025 Trinity Term Loans.</w:t>
      </w:r>
    </w:p>
    <w:p>
      <w:pPr>
        <w:spacing w:after="0" w:line="18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2025 Trinity Term Loan Agreement, we entered into a Success Fee Agreement with Trinity which specifies the terms regarding a fee in the amount of $0.5 million plus 5% of the principal amount of the funded 2025 Trinity Term Loans under Tranche B, or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our assets except for certain customarily excluded property pursuant to the terms of the 2025 Trinity Term Loan Agreement. There are no financial covenants and no warrants associated with the 2025 Trinity Term Loan Agreement. The 2025 Trinity Term Loan Agreement contains various covenants that limit our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paying cash dividends; and entering into certain transactions with our affiliates, in each case subject to customary exceptions.</w:t>
      </w:r>
    </w:p>
    <w:p>
      <w:pPr>
        <w:spacing w:after="0" w:line="18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Also on October 21, 2022, we entered into the Securities Purchase Agreement with Astellas, pursuant to which we issued and sold to Astellas in a private placement, or the Private Placement, an aggregate of 7,266,342 shares of our common stock, or the Private Placement Shares, for aggregate proceeds of $30.0 million. Pursuant to the Securities Purchase Agreement, in connection with the Private Placement, Astellas has the right to designate one individual to attend all meetings of the Board in a non-voting observer capacity. We also granted Astellas certain registration rights with respect to the Private Placement Shares.</w:t>
      </w:r>
    </w:p>
    <w:p>
      <w:pPr>
        <w:spacing w:after="0" w:line="183"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October 2022, we sold an aggregate of 14,765,226 shares of our common stock in an underwritten public offering, including the exercise in part of the underwriters’ option to purchase additional shares, for aggregate net proceeds of approximately $27.4 million after deducting underwriting discounts and commissions payable by us.</w:t>
      </w:r>
    </w:p>
    <w:p>
      <w:pPr>
        <w:spacing w:after="0" w:line="17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issued and sold to the SSI Investors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95" w:name="page96"/>
    <w:bookmarkEnd w:id="95"/>
    <w:p>
      <w:pPr>
        <w:ind w:right="20"/>
        <w:spacing w:after="0" w:line="256" w:lineRule="auto"/>
        <w:rPr>
          <w:sz w:val="20"/>
          <w:szCs w:val="20"/>
          <w:color w:val="auto"/>
        </w:rPr>
      </w:pPr>
      <w:r>
        <w:rPr>
          <w:rFonts w:ascii="Times New Roman" w:cs="Times New Roman" w:eastAsia="Times New Roman" w:hAnsi="Times New Roman"/>
          <w:sz w:val="18"/>
          <w:szCs w:val="18"/>
          <w:color w:val="auto"/>
        </w:rPr>
        <w:t>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The SSI Warrants issued in the SSI Private Placement provide that the holder of the SSI Warrants will not have the right to exercise any portion of its SSI Warrants until the achievement of certain clinical and regulatory milestones related to our clinical programs. Gross proceeds of the SSI Private Placement were $0.5 million. During the year ended December 31, 2025, SSI exercised all 316,667 vested and outstanding Warrant Shares. We received proceeds of $0.2 million upon exercise.</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August 2023, we sold an aggregate of 122,412,376 shares of our common stock and pre-funded warrants to purchase up to 44,250,978 shares of our common stock for aggregate net proceeds of approximately $140.3 million after deducting placement agent commissions and offering expenses payable by us.</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May 28, 2025, we entered into an underwriting agreement, or the May 2025 Underwriting Agreement, with Jefferies LLC, BofA Securities, Inc., Piper Sandler &amp; Co. and Barclays Capital Inc., as representatives of the several underwriters set forth therein, or, collectively, the Underwriters, to issue and sell 46,868,687 shares of our common stock and pre-funded warrants to purchase 25,858,586 shares of our common stock, or the May 2025 Pre-Funded Warrants, pursuant to an effective shelf registration statement on Form S-3 and a related prospectus and prospectus supplement, or the May 2025 Offering. The offering price to the public was $2.75 per share of common stock and $2.749 per May 2025 Pre-Funded Warrant, which is the price to the public of each share of common stock sold in the May 2025 Offering, minus the $0.001 exercise price per May 2025 Pre-Funded Warrant. The Underwriters purchased the shares and the May 2025 Pre-Funded Warrants from us pursuant to the May 2025 Underwriting Agreement at a price of $2.585 per share and $2.584 per pre-funded warrant, respectively. The initial closing of the May 2025 Offering occurred on May 30, 2025. In addition, we granted the Underwriters an option to purchase, for a period of 30 days, up to an additional 10,909,090 shares of our common stock, which the Underwriters exercised in full on June 6, 2025. The total net proceeds received from the May 2025 Offering were $215.6 million after deducting underwriting discounts, commissions and other offering expenses payable by us.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October 2021, we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In March 2022, we amended the Sales Agreement to, among other things, include Goldman Saches &amp; Co. LLC as an additional Sales Agent. In April 2022, we sold 2,000,000 shares of common stock pursuant to the Sales Agreement and received net proceeds of $11.6 million. On November 4, 2025, we and Leerink Partners LLC entered into an Amendment to the Sales Agreement pursuant to which the Sales Agreement was terminated solely with respect to Leerink Partners LLC. In addition, on November 4, 2025, we and Goldman Sachs &amp; Co. LLC and Wells Fargo Securities, LLC, as sales agents, or the Remaining Sales Agents, entered into an amendment to the Sales Agreement and, together with the Sales Agreement, or, the Amended Sales Agreement, to provide for an increase in the aggregate offering amount under the Sales Agreement, such that as of November 4, 2025, we may offer and sell shares of common stock having an aggregate offering price of up to $212.0 million under the Amended Sales Agreement. The material terms and conditions of the Sales Agreement otherwise remain unchanged. In November and December 2025, we sold 10,230,186 shares of common stock under the Amended Sales Agreement and received $48.4 million in net proceeds. Also on November 4, 2025, we filed a new shelf registration statement on Form S-3ASR in relation to the registration of common stock, preferred stock, debt securities, warrants and units or any combination thereof, which became effective automatically upon filing.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for the foreseeable future, our research and development expenses, particularly with respect to our Rett clinical trials,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of December 31, 2025, our material cash requirements consisted of $28.5 million in total lease payments under our noncancelable leases for equipment, laboratory space and office space. These leases are described in further detail in Note 5 to our audited consolidated financial statements located in Part IV, Item 15 of this Annual Report on Form 10-K. Our most significant purchase commitments consist of $38.8 million in cancellable purchase obligations to our manufacturing vendors, CROs and other clinical trial vendors.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2028.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40" w:right="36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right="96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7" w:name="page98"/>
    <w:bookmarkEnd w:id="97"/>
    <w:p>
      <w:pPr>
        <w:ind w:right="40"/>
        <w:spacing w:after="0" w:line="254" w:lineRule="auto"/>
        <w:rPr>
          <w:sz w:val="20"/>
          <w:szCs w:val="20"/>
          <w:color w:val="auto"/>
        </w:rPr>
      </w:pPr>
      <w:r>
        <w:rPr>
          <w:rFonts w:ascii="Times New Roman" w:cs="Times New Roman" w:eastAsia="Times New Roman" w:hAnsi="Times New Roman"/>
          <w:sz w:val="18"/>
          <w:szCs w:val="18"/>
          <w:color w:val="auto"/>
        </w:rPr>
        <w:t>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may restrict our ability to operate. The 2025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2025 and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(93,090)</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(81,225)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180,895</w:t>
            </w:r>
          </w:p>
        </w:tc>
        <w:tc>
          <w:tcPr>
            <w:tcW w:w="160" w:type="dxa"/>
            <w:vAlign w:val="bottom"/>
          </w:tcPr>
          <w:p>
            <w:pPr>
              <w:spacing w:after="0"/>
              <w:rPr>
                <w:sz w:val="18"/>
                <w:szCs w:val="18"/>
                <w:color w:val="auto"/>
              </w:rPr>
            </w:pP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(4,904)</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our net cash used in operating activities of $93.1 million primarily consisted of a net loss of $109.0 million, primarily attributable to our spending on research and development expenses. The net loss of $109.0 million was partially offset by $21.3 million in adjustments for non-cash items and other adjustments to reconcile net loss to net cash used in operating activities, primarily due to stock-based compensation expense and research and development license expense. Additional cash used in operating activities of $5.4 million, resulting from changes in operating assets and liabilities was primarily due to a decrease in deferred revenue related to the Astellas Transactions which was partially offset by an increase in accrued expenses and other liabilities.</w:t>
      </w:r>
    </w:p>
    <w:p>
      <w:pPr>
        <w:spacing w:after="0" w:line="14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net cash used in operating activities of $81.2 million primarily consisted of a net loss of $89.3 million, primarily attributable to our spending on research and development expenses. The net loss of $89.3 million was partially offset by $20.5 million in adjustments for non-cash items and other adjustments to reconcile net loss to net cash used in operating activities, primarily due to stock-based compensation expense and impairment of long-lived assets. Additional cash used in operating activities of $12.4 million, resulting from changes in operating assets and liabilities was primarily due to a decrease in deferred revenue related to the Astellas Transactions.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investing activities used $0.6 million of cash primarily attributable to the purchase of lab equipment and computer equipment.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2024, investing activities used $0.4 million of cash primarily attributable to the purchase of lab equipment.</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financing activities provided $274.6 million of cash, which was primarily attributable to the closing of the May 2025 Offering, net proceeds from the 2025 Trinity Term Loans and net proceeds from our ATM program.</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$76.7 million of cash, which was primarily attributable to the closing of the June 2024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U.S. generally accepted accounting principles, or U.S. GAAP. The preparation of these financial statements requires us to make estimates and judgments that affect the reported amounts of assets, liabilities, and expenses and the disclosure of contingent assets and liabilities in our financial statements. In accordance with U.S. GAAP, we evaluate our estimates and judgments on an ongoing basis, including those related to research and development expenses, stock-based compensation, the Astellas Transactions and accounting for the Trinity Term Loans at fair value.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located in Part IV, Item 15 of this Annual Report on Form 10-K, we believe the following are the critical accounting policies used in the preparation of our financial statements that require significant estimates and judgments.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 on the balance sheet as prepaid or accrued expenses. We record accruals for estimated ongoing research costs. When evaluating the adequacy of the accrued liabilities, we analyze progress of the studies, including the phase or completion of events, invoices received and contracted costs.</w:t>
      </w:r>
    </w:p>
    <w:p>
      <w:pPr>
        <w:spacing w:after="0" w:line="183"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clinical trial expense, certain manufacturing costs, laboratory costs and other supplies, and the cost to acquire third-party licenses.</w:t>
      </w:r>
    </w:p>
    <w:p>
      <w:pPr>
        <w:spacing w:after="0" w:line="162"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through asset acquisitions are charged to research and development expense if the licensed technology has not reached technological feasibility and has no alternative future use.</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To date, we have not experienced significant changes in our estimates of accrued research and development liabilities after a reporting period. However, due to the nature of estimates, there is no assurance that we will not make changes to our estimates in the future as we become aware of additional information about the status or conduct of our clinical studies and other research activities.</w:t>
      </w:r>
    </w:p>
    <w:p>
      <w:pPr>
        <w:spacing w:after="0" w:line="24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account for all stock-based payments to employees and non-employees, including grants of stock options, restricted stock awards, or “RSAs” and restricted stock units or, “RSUs” based on their respective grant date fair values. We estimate the fair value of stock option grants using the Black-Scholes option pricing model, which is affected principally by the estimated fair value of shares of our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our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we have never paid cash dividends and do not expect to pay any cash dividends in the foreseeable future.</w:t>
      </w:r>
    </w:p>
    <w:p>
      <w:pPr>
        <w:spacing w:after="0" w:line="18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Prior to September 23, 2020, the fair value of common stock underlying our stock options, RSAs and RSUs was estimated by our board of directors considering, among other things, contemporaneous valuations of our common stock prepared by unrelated third-party valuation firms. After the IPO, the fair value of common stock is based on the closing price of our common stock on the Nasdaq Global Select Market as reported on the date of the grant.</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RSAs and RSUs are valued based on the fair value of our common stock on the date of grant. We expense stock-based compensation related to stock options, RSAs and RSUs, which contain service-based vesting conditions, over the requisite service period using the straight-line method. For awards with both performance and service conditions, we recognize expense based on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9" w:name="page100"/>
    <w:bookmarkEnd w:id="99"/>
    <w:p>
      <w:pPr>
        <w:ind w:right="80"/>
        <w:spacing w:after="0" w:line="258" w:lineRule="auto"/>
        <w:rPr>
          <w:sz w:val="20"/>
          <w:szCs w:val="20"/>
          <w:color w:val="auto"/>
        </w:rPr>
      </w:pPr>
      <w:r>
        <w:rPr>
          <w:rFonts w:ascii="Times New Roman" w:cs="Times New Roman" w:eastAsia="Times New Roman" w:hAnsi="Times New Roman"/>
          <w:sz w:val="18"/>
          <w:szCs w:val="18"/>
          <w:color w:val="auto"/>
        </w:rPr>
        <w:t>fair value of the performance awards over the estimated service period using the accelerated attribution method to the extent the achievement of the related performance criteria is estimated to be probable. At each reporting date, we evaluate whether any performance conditions related to a performance-based award have changed. The effect of any change in performance conditions is recognized as a cumulative catch-up adjustment in the period such change occurs. Stock-based compensation costs are generally recorded in research and development expense or general and administrative expense in the consolidated statements of operations based upon the respective employee’s roles within our Company. Forfeitures are recorded as they occur.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Astellas Transactions</w:t>
      </w:r>
    </w:p>
    <w:p>
      <w:pPr>
        <w:spacing w:after="0" w:line="121"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October 2022, we entered into the Securities Purchase Agreement with Astellas, pursuant to which we agreed to issue and sell to Astellas an aggregate of 7,266,342 shares of our common stock, for aggregate proceeds of $30.0 million. Upon closing of the Private Placement and transferring 7,266,342 shares to Astellas, we recorded the issuance of shares at fair value. Fair value of the shares transferred to Astellas was calculated in accordance with ASC 820, Fair Value Measurement by analyzing our stock price for a period of time prior to and after the transaction date as traded on the NASDAQ. The NASDAQ trading data is considered an active market and a Level 1 measurement under ASC 820. The fair value was determined to be $13.95 million or $1.92 per share. The $16.1 million difference between the $30.0 million paid by Astellas and the fair market value of shares issued was allocated to the transaction price of the Option Agreement.</w:t>
      </w:r>
    </w:p>
    <w:p>
      <w:pPr>
        <w:spacing w:after="0" w:line="18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us. In accordance with ASC 606, we evaluated the Option Agreement and identified three separate performance obligations: (1) option to obtain licensing right to GAN, (2) option to obtain licensing right to Rett and (3) performance of research and development activities associated with our Rett program. The transaction price is determined to be $36.1 million which is comprised of the $20.0 million Upfront Payment and the $16.1 million allocated from the Private Placement.</w:t>
      </w:r>
    </w:p>
    <w:p>
      <w:pPr>
        <w:spacing w:after="0" w:line="18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To determine the standalone selling price, or the SSP, of the Rett and GAN options which we concluded represent material rights, we utilized the probability-weighted expected return, or PWERM, method. The PWERM method contemplates the probability and timing of an option exercise. At contract inception, we used significant judgment to estimate the probability of exercise of each option at 50%.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Revenue allocated to the material rights was recognized at a point in time when each option period expired or when a decision was made by Astellas to exercise or not exercise each option. Revenue from the Rett research and development activities was recognized as activities were performed using an input method, according to the costs incurred as related to the total costs expected to be incurred to satisfy the performance obligation. The transfer of control occurred over this time period and is a reliable measure of progress towards satisfying the performance obligation. During the year ended December 31, 2024, we determined that the total estimated costs to be incurred to satisfy the performance obligation associated with the Rett research and development activities had increased from the cost estimate used for the year ended December 31,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Option</w:t>
      </w:r>
    </w:p>
    <w:p>
      <w:pPr>
        <w:spacing w:after="0" w:line="12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On August 7, 2025 we entered into the 2025 Trinity Term Loan Agreement with the 2025 Trinity Lenders. The 2025 Trinity Term Loan Agreement provides for,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We drew Tranche A of the 2025 Trinity Term Loans in full on the Trinity Refinance Date. The existing 2023 Trinity Term Loan Agreement was terminated and the existing 2023 Trinity Term Loans were repaid concurrently with entry into the 2025 Trinity Term Loan Agreement and the draw of Tranche A.</w:t>
      </w:r>
    </w:p>
    <w:p>
      <w:pPr>
        <w:spacing w:after="0" w:line="192"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assessed the terms and features of the 2025 Trinity Term Loans and determined that the 2025 Trinity Term Loans constituted a debt modification under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or ASC 450. As such, the 2025 Trinity Term Loans are accounted for as a continuation of the original debt, and no gain or loss on extinguishment was recognized. We continue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or ASC 825, which was initially elected at the time of the 2023 Trinity Term Loan Agreement. The 2025 Trinity Term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contains various embedded features and the election of the fair value option allows us to bypass analysis of potential embedded derivatives and further analysis of bifurcation of any recognized financial liabilities. Under the fair value option, the financial liability is initially measured at its fair value on the issue date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ind w:right="220"/>
        <w:spacing w:after="0" w:line="258" w:lineRule="auto"/>
        <w:rPr>
          <w:sz w:val="20"/>
          <w:szCs w:val="20"/>
          <w:color w:val="auto"/>
        </w:rPr>
      </w:pPr>
      <w:r>
        <w:rPr>
          <w:rFonts w:ascii="Times New Roman" w:cs="Times New Roman" w:eastAsia="Times New Roman" w:hAnsi="Times New Roman"/>
          <w:sz w:val="18"/>
          <w:szCs w:val="18"/>
          <w:color w:val="auto"/>
        </w:rPr>
        <w:t>subsequently remeasured at estimated fair value on a recurring basis at each reporting date. Changes in the fair value of the 2025 Trinity Term Loans, which include accrued interest, if any, are recorded as a component of other expense (income) in the consolidated statements of operations and comprehensive loss. We have not elected to present interest expense separately from changes in fair value and therefore will not present interest expense associated with the 2025 Trinity Term Loans. Any changes in fair value caused by instrument-specific credit risk are presented separately in other comprehensive income or loss if material. Under the fair value option, debt issuance costs are expensed as incurred.</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connection with the 2025 Trinity Term Loans, we entered into the 2025 Success Fee Agreement with Trinity which specifies the terms regarding a fee in the amount of $0.5 million plus 5% of the principal amount of the funded 2025 Trinity Term Loans under Tranche B. The 2025 Success Fee is payable upon the achievement of certain corporate development value-inflection milestones. The 2025 Success Fee survives the termination of the 2025 Trinity Term Loans and expires on the earlier of ten years, or payment in full in cash of the 2025 Success Fee. In connection with the 2023 Trinity Term Loans, we entered into the 2023 Success Fee Agreement with Trinity which specifies the terms regarding a fee in the amount of 10% of the principal amount of the funded 2023 Trinity Term Loans. The 2023 Success Fee is payable upon the achievement of certain corporate development value-inflection milestones. The 2023 Success Fee survives the termination of the 2023 Trinity Term Loans and expires on the earlier of ten years, or payment in full in cash of the 2023 Success Fee. We determined that the Success Fees represents a freestanding financial instrument and should be accounted for as a derivative liability under ASC 815 and recorded a liability within other non-current liabilities on the consolidated balance sheet, at fair value on the 2025 Trinity Closing Date and will be marked-to-market at the end of each reporting period with gains and losses recognized as a component of other income (expense) in the consolidated statements of operations. The proceeds from the 2025 Trinity Term Loans were allocated to the 2025 Success Fee and 2025 Trinity Term Loans based on their respective fair values on the Trinity Refinance Date. The fair values were determined utilizing a probability-weighted income approach, including variables for the timing of a success event and other probability estimates. The fair value of the 2025 Trinity Term Loans is determined to be $49.8 million and the fair value of the Success Fees liability is determined to be $0.2 million in the consolidated balance sheet at issuance. We calculated the discounted cash flows of the Success Fees liability, then adjusted for the probability of achievement of certain corporate development value-inflection milestones.</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See Note 2 to our audited consolidated financial statements located in Part IV, Item 15 of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We will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33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Taysha Gene Therapies,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Taysha Gene Therapies, Inc. and subsidiaries (the “Company”) as of December 31, 2025 and 2024, the related consolidated statements of operations, comprehensive loss,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Term Loan — Refer to Notes 3 and 7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entered into a Loan and Security Agreement (the “2025 Trinity Term Loan Agreement”) and drew $50.0 million in term loans (the “Trinity Term Loan”) on August 7, 2025. The Company elected to apply the fair value option to the Trinity Term Loan under ASC 825, which resulted in the Trinity Term Loan being measured at its fair value of $50.1 million as of December 31, 2025. The fair value of the Trinity Term Loan was measured using a probability weighted income approach. The Company calculated the discounted cash flows for the Trinity Term Loan using a discount rate of 14.24% and adjusted for the probability of achievement of certain corporate development value-inflection milestones.</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identified management’s estimate of the fair value of the Trinity Term Loan as a critical audit matter due to the significant estimates and assumptions made by management to determine the fair value. This required a high degree of auditor judgment and an increased extent of effort, including the need to involve our fair value specialists, when performing audit procedures to evaluate the reasonableness of management’s assumptions.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fair value of the term loan included the following, among others:</w:t>
      </w:r>
    </w:p>
    <w:p>
      <w:pPr>
        <w:spacing w:after="0" w:line="117"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appropriateness of management’s application of the probability weighted income approach.</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evaluated the reasonableness of the valuation assumptions including the discount rate by developing an independent range and comparing that to the valuation assumption selected by management.</w:t>
      </w:r>
    </w:p>
    <w:p>
      <w:pPr>
        <w:spacing w:after="0" w:line="53" w:lineRule="exact"/>
        <w:rPr>
          <w:rFonts w:ascii="Times New Roman" w:cs="Times New Roman" w:eastAsia="Times New Roman" w:hAnsi="Times New Roman"/>
          <w:sz w:val="18"/>
          <w:szCs w:val="18"/>
          <w:color w:val="auto"/>
        </w:rPr>
      </w:pPr>
    </w:p>
    <w:p>
      <w:pPr>
        <w:ind w:left="380" w:hanging="372"/>
        <w:spacing w:after="0" w:line="375"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cash flow projections and probabilities assigned to the various repayment scenarios by comparing: o the cash flow projections to the terms of the 2025 Trinity Term Loan Agreement.</w:t>
      </w:r>
    </w:p>
    <w:p>
      <w:pPr>
        <w:spacing w:after="0" w:line="1"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confirming the terms of the 2025 Trinity Term Loan Agreement directly with the counterparty.</w:t>
      </w:r>
    </w:p>
    <w:p>
      <w:pPr>
        <w:spacing w:after="0" w:line="11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probabilities utilized against historical estimates and 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source information underlying the determination of the valuation assumptions as well as the mathematical accuracy of the calculation.</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319,767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142,130</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 and December 31, 2024</w:t>
            </w: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700,000,000 shares authorized and 285,051,648 issued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2025 and 400,000,000 shares authorized and 204,943,306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December 31, 2024</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(602,305)</w:t>
            </w: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343,320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-3968115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Year</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December 31,</w:t>
      </w:r>
    </w:p>
    <w:tbl>
      <w:tblPr>
        <w:tblLayout w:type="fixed"/>
        <w:tblInd w:w="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shd w:val="clear" w:color="auto" w:fill="CFF0FC"/>
          </w:tcPr>
          <w:p>
            <w:pPr>
              <w:spacing w:after="0"/>
              <w:rPr>
                <w:sz w:val="18"/>
                <w:szCs w:val="18"/>
                <w:color w:val="auto"/>
              </w:rPr>
            </w:pPr>
          </w:p>
        </w:tc>
      </w:tr>
      <w:tr>
        <w:trPr>
          <w:trHeight w:val="209"/>
        </w:trPr>
        <w:tc>
          <w:tcPr>
            <w:tcW w:w="62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120,271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99,792</w:t>
            </w:r>
          </w:p>
        </w:tc>
        <w:tc>
          <w:tcPr>
            <w:tcW w:w="100" w:type="dxa"/>
            <w:vAlign w:val="bottom"/>
            <w:tcBorders>
              <w:top w:val="single" w:sz="8" w:color="CFF0FC"/>
            </w:tcBorders>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(110,498)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(91,459)</w:t>
            </w:r>
          </w:p>
        </w:tc>
      </w:tr>
      <w:tr>
        <w:trPr>
          <w:trHeight w:val="209"/>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5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62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15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Borders>
              <w:top w:val="single" w:sz="8" w:color="CFF0FC"/>
            </w:tcBorders>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(108,995)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(89,298)</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r>
      <w:tr>
        <w:trPr>
          <w:trHeight w:val="249"/>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319,711,972</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250,134,421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-1731010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-1439545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-607695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6" w:name="page107"/>
    <w:bookmarkEnd w:id="10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56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(108,995)</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(89,298)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 risk</w:t>
            </w:r>
          </w:p>
        </w:tc>
        <w:tc>
          <w:tcPr>
            <w:tcW w:w="5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(4,031)</w:t>
            </w:r>
          </w:p>
        </w:tc>
      </w:tr>
      <w:tr>
        <w:trPr>
          <w:trHeight w:val="20"/>
        </w:trPr>
        <w:tc>
          <w:tcPr>
            <w:tcW w:w="75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(105,156)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(93,329)</w:t>
            </w:r>
          </w:p>
        </w:tc>
      </w:tr>
      <w:tr>
        <w:trPr>
          <w:trHeight w:val="20"/>
        </w:trPr>
        <w:tc>
          <w:tcPr>
            <w:tcW w:w="75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40" w:type="dxa"/>
            <w:vAlign w:val="bottom"/>
          </w:tcPr>
          <w:p>
            <w:pPr>
              <w:spacing w:after="0"/>
              <w:rPr>
                <w:sz w:val="13"/>
                <w:szCs w:val="13"/>
                <w:color w:val="auto"/>
              </w:rPr>
            </w:pPr>
          </w:p>
        </w:tc>
        <w:tc>
          <w:tcPr>
            <w:tcW w:w="148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0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0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186,960,193</w:t>
            </w:r>
          </w:p>
        </w:tc>
        <w:tc>
          <w:tcPr>
            <w:tcW w:w="460" w:type="dxa"/>
            <w:vAlign w:val="bottom"/>
            <w:gridSpan w:val="2"/>
            <w:shd w:val="clear" w:color="auto" w:fill="CFF0FC"/>
          </w:tcPr>
          <w:p>
            <w:pPr>
              <w:jc w:val="right"/>
              <w:ind w:right="124"/>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2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587,942</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(513,007)</w:t>
            </w:r>
          </w:p>
        </w:tc>
        <w:tc>
          <w:tcPr>
            <w:tcW w:w="460" w:type="dxa"/>
            <w:vAlign w:val="bottom"/>
            <w:shd w:val="clear" w:color="auto" w:fill="CFF0FC"/>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gridSpan w:val="2"/>
            <w:shd w:val="clear" w:color="auto" w:fill="CFF0FC"/>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74,937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13,103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pre-funded warrants upon closing of underwritten</w:t>
            </w: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public offering, net of underwriting discounts and commissions, and other offering</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costs of $5,566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17,596,113</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76,694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76,694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and settlement of restricted stock units, net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234,198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93,970</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58,832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Loss on instrument-specific credit risk</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(4,031)</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(4,031)</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(89,298)</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(89,298)</w:t>
            </w:r>
          </w:p>
        </w:tc>
        <w:tc>
          <w:tcPr>
            <w:tcW w:w="0" w:type="dxa"/>
            <w:vAlign w:val="bottom"/>
          </w:tcPr>
          <w:p>
            <w:pPr>
              <w:spacing w:after="0"/>
              <w:rPr>
                <w:sz w:val="1"/>
                <w:szCs w:val="1"/>
                <w:color w:val="auto"/>
              </w:rPr>
            </w:pPr>
          </w:p>
        </w:tc>
      </w:tr>
      <w:tr>
        <w:trPr>
          <w:trHeight w:val="168"/>
        </w:trPr>
        <w:tc>
          <w:tcPr>
            <w:tcW w:w="45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0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204,943,306</w:t>
            </w: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677,859</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(602,305)</w:t>
            </w:r>
          </w:p>
        </w:tc>
        <w:tc>
          <w:tcPr>
            <w:tcW w:w="220" w:type="dxa"/>
            <w:vAlign w:val="bottom"/>
            <w:tcBorders>
              <w:bottom w:val="single" w:sz="8" w:color="CFF0FC"/>
            </w:tcBorders>
            <w:shd w:val="clear" w:color="auto" w:fill="CFF0FC"/>
          </w:tcPr>
          <w:p>
            <w:pPr>
              <w:spacing w:after="0"/>
              <w:rPr>
                <w:sz w:val="14"/>
                <w:szCs w:val="14"/>
                <w:color w:val="auto"/>
              </w:rPr>
            </w:pPr>
          </w:p>
        </w:tc>
        <w:tc>
          <w:tcPr>
            <w:tcW w:w="460" w:type="dxa"/>
            <w:vAlign w:val="bottom"/>
            <w:tcBorders>
              <w:top w:val="single" w:sz="8" w:color="auto"/>
              <w:bottom w:val="single" w:sz="8" w:color="auto"/>
            </w:tcBorders>
            <w:shd w:val="clear" w:color="auto" w:fill="CFF0FC"/>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(4,031)</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71,525</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54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13,298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0"/>
                <w:szCs w:val="10"/>
                <w:color w:val="auto"/>
              </w:rPr>
            </w:pPr>
          </w:p>
        </w:tc>
        <w:tc>
          <w:tcPr>
            <w:tcW w:w="940" w:type="dxa"/>
            <w:vAlign w:val="bottom"/>
            <w:gridSpan w:val="2"/>
          </w:tcPr>
          <w:p>
            <w:pPr>
              <w:jc w:val="right"/>
              <w:ind w:right="2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9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13,298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54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pre-funded warrants upon closing of underwritten</w:t>
            </w: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public offering, net of underwriting discounts and commissions, and other offering</w:t>
            </w: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costs of $14,329</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57,777,777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215,645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215,646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 ATM Agreement, net of sales commissions and</w:t>
            </w: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40" w:type="dxa"/>
            <w:vAlign w:val="bottom"/>
          </w:tcPr>
          <w:p>
            <w:pPr>
              <w:spacing w:after="0"/>
              <w:rPr>
                <w:sz w:val="20"/>
                <w:szCs w:val="20"/>
                <w:color w:val="auto"/>
              </w:rPr>
            </w:pPr>
            <w:r>
              <w:rPr>
                <w:rFonts w:ascii="Times New Roman" w:cs="Times New Roman" w:eastAsia="Times New Roman" w:hAnsi="Times New Roman"/>
                <w:sz w:val="13"/>
                <w:szCs w:val="13"/>
                <w:color w:val="auto"/>
              </w:rPr>
              <w:t>other offering costs of $1,565</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10,230,186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pre-funded warrants</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9,607,145</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warrants</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316,667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1,862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vesting and settlement of restricted stock units, net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1,299,156</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stock upon exercise of stock options</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754,260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ESPP</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123,151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 on instrument-specific credit risk</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(108,995)</w:t>
            </w:r>
          </w:p>
        </w:tc>
        <w:tc>
          <w:tcPr>
            <w:tcW w:w="46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(108,995)</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0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285,051,648</w:t>
            </w:r>
          </w:p>
        </w:tc>
        <w:tc>
          <w:tcPr>
            <w:tcW w:w="220" w:type="dxa"/>
            <w:vAlign w:val="bottom"/>
          </w:tcPr>
          <w:p>
            <w:pPr>
              <w:spacing w:after="0"/>
              <w:rPr>
                <w:sz w:val="11"/>
                <w:szCs w:val="11"/>
                <w:color w:val="auto"/>
              </w:rPr>
            </w:pP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958,427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(711,300)</w:t>
            </w:r>
          </w:p>
        </w:tc>
        <w:tc>
          <w:tcPr>
            <w:tcW w:w="460" w:type="dxa"/>
            <w:vAlign w:val="bottom"/>
          </w:tcPr>
          <w:p>
            <w:pPr>
              <w:jc w:val="right"/>
              <w:ind w:right="34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(192)</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246,938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-1259840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-1242695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-1259840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-1242695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-1259840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-1242695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-1259840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-1242695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-1259840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-1242695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-1242695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-119380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-119380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-119380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-119380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-119380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4"/>
          </w:tcPr>
          <w:p>
            <w:pPr>
              <w:jc w:val="right"/>
              <w:ind w:right="340"/>
              <w:spacing w:after="0" w:line="133" w:lineRule="exact"/>
              <w:rPr>
                <w:sz w:val="20"/>
                <w:szCs w:val="20"/>
                <w:color w:val="auto"/>
              </w:rPr>
            </w:pPr>
            <w:r>
              <w:rPr>
                <w:rFonts w:ascii="Times New Roman" w:cs="Times New Roman" w:eastAsia="Times New Roman" w:hAnsi="Times New Roman"/>
                <w:sz w:val="14"/>
                <w:szCs w:val="14"/>
                <w:b w:val="1"/>
                <w:bCs w:val="1"/>
                <w:color w:val="auto"/>
              </w:rPr>
              <w:t>For the Year</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(108,995)</w:t>
            </w: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Debt issuance costs expensed under the fair value option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(9,773)</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(8,333)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(93,090)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from underwritten public</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net of underwriting discounts and sales commissions and other offering costs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pursuant to at-the-market offering, net of sales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commissions and other offering costs</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Prepayment of 2023 Trinity term loan</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(40,612)</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2025 Trinity term loan, net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warrants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274,589</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2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322,531</w:t>
            </w:r>
          </w:p>
        </w:tc>
        <w:tc>
          <w:tcPr>
            <w:tcW w:w="140" w:type="dxa"/>
            <w:vAlign w:val="bottom"/>
          </w:tcPr>
          <w:p>
            <w:pPr>
              <w:spacing w:after="0"/>
              <w:rPr>
                <w:sz w:val="18"/>
                <w:szCs w:val="18"/>
                <w:color w:val="auto"/>
              </w:rPr>
            </w:pPr>
          </w:p>
        </w:tc>
        <w:tc>
          <w:tcPr>
            <w:tcW w:w="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FF0FC"/>
          </w:tcPr>
          <w:p>
            <w:pPr>
              <w:ind w:left="24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319,767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139,036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2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322,531</w:t>
            </w:r>
          </w:p>
        </w:tc>
        <w:tc>
          <w:tcPr>
            <w:tcW w:w="1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2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allocated to Success Fee liability</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 not yet paid</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Non-cash impact of exercise of liability classified warrants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5586730</wp:posOffset>
            </wp:positionH>
            <wp:positionV relativeFrom="paragraph">
              <wp:posOffset>-4794250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-4794250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-4228465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-4228465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-2282825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-2282825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-1999615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-1999615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-1408430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-1391285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-1408430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-1391285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81" w:right="4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(the “ATM”),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w:t>
      </w:r>
    </w:p>
    <w:p>
      <w:pPr>
        <w:spacing w:after="0" w:line="188"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could be offered and sold pursuant to the Sales Agreement.</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November 4, 2025, the Company and Leerink Partners LLC entered into an Amendment to the Sales Agreement pursuant to which the Sales Agreement was terminated solely with respect to Leerink Partners LLC. In addition, on November 4, 2025, the Company and Goldman Sachs &amp; Co. LLC and Wells Fargo Securities, LLC, as sales agents (the “Remaining Sales Agents”), entered into an Amendment to the Sales Agreement (together with the Sales Agreement, the “Amended Sales Agreement”), to provide for an increase in the aggregate offering amount under the Sales Agreement, such that as of November 4, 2025, the Company may offer and sell shares of common stock having an aggregate offering price of up to $212.0 million under the Amended Sales Agreement. The material terms and conditions of the Sales Agreement otherwise remain unchanged. In November and December 2025, the Company sold 10,230,186 shares of common stock under the Amended Sales Agreement and received $48.4 million in net proceeds.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December 31, 2025, the Company had an accumulated deficit of $711.3 million. The Company expects to continue to incur significant expenses and operating losses for the foreseeable future.</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May 28, 2025, the Company entered into an underwriting agreement (the “May 2025 Underwriting Agreement”) with Jefferies LLC, BofA Securities, Inc., Piper Sandler &amp; Co. and Barclays Capital Inc, as representatives of the several underwriters set forth therein (collectively, the “Underwriters”), to issue and sell 46,868,687 shares of the Company’s common stock and, in lieu of common stock to certain investors, pre-funded warrants to purchase 25,858,586 shares of its common stock in an underwritten public offering (the “May 2025 Offering”), pursuant to an effective shelf registration statement on Form S-3 and a related prospectus and prospectus supplement. The offering price to the public was $2.75 per share of common stock and $2.749 per pre-funded warrant, which was the price to the public of each share of common stock sold in the May 2025 Offering minus the $0.001 exercise price per pre-funded warrant. The Underwriters purchased the shares and the pre-funded warrants from the Company pursuant to the May 2025 Underwriting Agreement at a price of $2.585 per share and $2.584 per pre-funded warrant, respectively. See Note 10 for additional information. The initial closing of the May 2025 Offering occurred on May 30, 2025. In addition, the Company granted the Underwriters an option to purchase, for a period of 30 days, up to an additional 10,909,090 shares of common stock, which the Underwriters exercised in full on June 6, 2025. The total net proceeds from the May 2025 Offering were approximately $215.6 million, including full exercise of the Underwriters’ option to purchase additional shares, after deducting underwriting discounts and commissions and offering expenses.</w:t>
      </w:r>
    </w:p>
    <w:p>
      <w:pPr>
        <w:spacing w:after="0" w:line="190"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0" w:name="page111"/>
    <w:bookmarkEnd w:id="110"/>
    <w:p>
      <w:pPr>
        <w:ind w:right="60"/>
        <w:spacing w:after="0" w:line="254" w:lineRule="auto"/>
        <w:rPr>
          <w:sz w:val="20"/>
          <w:szCs w:val="20"/>
          <w:color w:val="auto"/>
        </w:rPr>
      </w:pPr>
      <w:r>
        <w:rPr>
          <w:rFonts w:ascii="Times New Roman" w:cs="Times New Roman" w:eastAsia="Times New Roman" w:hAnsi="Times New Roman"/>
          <w:sz w:val="18"/>
          <w:szCs w:val="18"/>
          <w:color w:val="auto"/>
        </w:rPr>
        <w:t>studies and launch and commercialize any product candidates for which it receives regulatory approval. There can be no assurance that such financing will be available or will be on terms acceptable to the Company. As of December 31, 2025, the Company had cash and cash equivalents of $319.8 million which the Company believes will be sufficient to fund its planned operations for a period of at least twelve months from the date of issuance of these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Company’s financial statements have been prepared in conformity with accounting principles generally accepted in the United States of America (“U.S. GAAP”) as determined by the Financial Accounting Standards Board (“FASB”) Accounting Standards Codification (“ASC”) and include all adjustments necessary for the fair presentation of the Company’s financial position for the periods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(i) the value of our voting and non-voting common stock held by non-affiliates is less than $250.0 million measured on the last business day of our most recently completed second fiscal quarter or (ii) our annual revenue is less than $100.0 million during the most recently completed fiscal year and our the value of voting and non-voting common stock held by non-affiliates is less than $700.0 million measured on the last business day of our most recently completed second fiscal quarter.</w:t>
      </w:r>
    </w:p>
    <w:p>
      <w:pPr>
        <w:spacing w:after="0" w:line="183"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As a smaller reporting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estimating manufacturing accruals and accrued or prepaid research and development expenses, the measurement of impairment of long-lived assets, and the valuation of the Trinity Term Loans that are carried at fair value.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540" w:firstLine="749"/>
        <w:spacing w:after="0" w:line="289"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5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and manages its business as a single operating segment, the gene therapy segment, which is the business of developing AAV-based gene therapies for the treatment of rare monogenic diseases of the central nervous system. See Note 15 for additional information.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2025 and 2024, the Company did not have any significant long-lived assets located outside of the United States.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8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consist of activities in connection with the Astellas Transactions, including the exclusive option to license intellectual property and the performance of research and development activities. See Note 7 for additional information.</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evaluates the agreement to determine if the other party is a customer, and then determines the units of account within the agreement to determine which promised goods or services are distinct. In order for a promised good or service to be considered “distinct” under ASC 606,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83" w:lineRule="exact"/>
        <w:rPr>
          <w:sz w:val="20"/>
          <w:szCs w:val="20"/>
          <w:color w:val="auto"/>
        </w:rPr>
      </w:pPr>
    </w:p>
    <w:p>
      <w:pPr>
        <w:ind w:right="440" w:firstLine="749"/>
        <w:spacing w:after="0" w:line="261" w:lineRule="auto"/>
        <w:rPr>
          <w:sz w:val="20"/>
          <w:szCs w:val="20"/>
          <w:color w:val="auto"/>
        </w:rPr>
      </w:pPr>
      <w:r>
        <w:rPr>
          <w:rFonts w:ascii="Times New Roman" w:cs="Times New Roman" w:eastAsia="Times New Roman" w:hAnsi="Times New Roman"/>
          <w:sz w:val="18"/>
          <w:szCs w:val="18"/>
          <w:color w:val="auto"/>
        </w:rPr>
        <w:t>For any units of account that fall within the scope of ASC 606, where the other party is a customer, the Company (i) evaluates the separate performance obligation(s) under each contract, (ii) determines the transaction price, (iii) allocates the transaction price to each performance obligation considering the estimated standalone selling prices of the services and (iv) recognizes revenue when, or as, the Company satisfies the performance obligation(s).</w:t>
      </w:r>
    </w:p>
    <w:p>
      <w:pPr>
        <w:spacing w:after="0" w:line="180"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At the inception of an arrangement that includes options for a customer to purchase additional services or products at agreed upon prices in the future, the Company evaluates whether each option provides a material right. An option that provides a material right will be accounted for as a separate performance obligation.</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 of the accounting for arrangements under ASC 606, the Company must use significant judgment to determine the performance obligations, the transaction price, and the standalone selling price (“SSP”) for each performance obligation identified in the contract for the allocation of the transaction price. The SSP is the price at which an entity would sell a promised good or service separately to a customer. Management estimates the SSP of each of the identified performance obligations, maximizing the use of observable inputs. Because the Company has not sold the same goods or services in its contracts separately to any customers on a standalone basis, the Company utilizes similar observable transactions in the marketplace or estimates the SSP of each performance obligation in its customer arrangements at contract inception based on either (1) its estimate of costs to be incurred to fulfill its obligations associated with the performance obligation, plus a reasonable margin, or (2) an estimate that reflects the discount that the customer would obtain when exercising its option adjusted for (i) any discount that the customer could receive without exercising the option and (ii) the likelihood that the option will be exercised. The Company allocates the transaction price to each performance obligation in proportion to its SSP.</w:t>
      </w:r>
    </w:p>
    <w:p>
      <w:pPr>
        <w:spacing w:after="0" w:line="18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 performance obligation is satisfied and revenue is recognized when “control” of the promised good or service is transferred, either over time or at a point in time, to the customer. A customer obtains control of a good or service if it has the ability to (1) direct its use and (2) obtain substantially all of the remaining benefits from it.</w:t>
      </w:r>
    </w:p>
    <w:p>
      <w:pPr>
        <w:spacing w:after="0" w:line="176"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listed above are recorded as deferred revenue in the accompanying consolidated balance sheets. Amounts expected to be recognized as revenue within 12 months of the balance sheet date are classified as current deferred revenue, including the amounts allocated to material rights which are subject to customer exercise at any point. Amounts not expected to be recognized as revenue within the following 12 months of the balance sheet date are classified as deferred revenue, net of current portion. The Company does not incur commission or other costs to fulfill customer contracts and as such, no capitalized contract costs are recorded on the consolidated balance sheets.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funds held in a standard checking account, a standard savings account and a money market fund. The Company considers all highly liquid investments with an original maturity of three months or less at the date of purchase to be cash equivalents. As of December 31, 2025 and 2024, the Company had $317.1 million and $138.3 million in cash equivalents,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Restricted cash consists of cash that the Company has placed in an escrow account which is pledged as collateral under certain lease agreements and letters of credit.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continues to believe to be of high credit quality. The Company has not experienced any losses on these deposits.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Company’s financial assets and liabilities are accounted for in accordance with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w:t>
      </w:r>
    </w:p>
    <w:p>
      <w:pPr>
        <w:spacing w:after="0" w:line="225"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Level 2—Inputs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in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carrying values reported in the Company’s consolidated balance sheets for cash and cash equivalents, prepaid expenses and other current assets, accounts payable, accrued expenses and other current liabilities are reasonable estimates of their fair values due to the short-term nature of these items.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fair value option provides an election that allows a company to irrevocably elect to record certain financial assets and liabilities at fair value on an instrument-by-instrument basis at initial recognition. The Company has elected to apply the fair value option to the Trinity Term Loans.</w:t>
      </w:r>
    </w:p>
    <w:p>
      <w:pPr>
        <w:spacing w:after="0" w:line="162"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term loans accounted for under the fair value option election are each a debt host financial instrument containing embedded features that would otherwise be required to be bifurcated from the debt-host and recognized as separate derivative liabilities subject to initial and subsequent periodic estimated fair value measurements in accordance with GAAP. Notwithstanding, when the fair value option election is applied to financial liabilities, bifurcation of an embedded derivative is not required, and the financial liability is initially measured at its issue-date estimated fair value and then subsequently remeasured at estimated fair value on a recurring basis as of each reporting period date.</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portion of the change in fair value attributed to a change in the instrument-specific credit risk is recognized as a component of other comprehensive income or loss if material and the remaining amount of the fair value adjustment is recognized as a component of other income (expense) in the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costs directly associated with equity financings until such financings are consummated, at which time such costs are recorded in additional paid-in capital against the gross proceeds of the equity financings. Costs associated with the shelf registration statement on Form S-3, filed with the SEC on December 13, 2024 were capitalized and reclassified to additional paid-in capital on a pro rata basis when the Company completed offerings under the shelf registration. On November 2, 2025, the Company entered into a new shelf registration on Form S-3. The Company capitalized costs associated with the shelf registration statement on Form S-3 filed 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jc w:val="both"/>
        <w:ind w:right="760"/>
        <w:spacing w:after="0" w:line="282" w:lineRule="auto"/>
        <w:rPr>
          <w:sz w:val="20"/>
          <w:szCs w:val="20"/>
          <w:color w:val="auto"/>
        </w:rPr>
      </w:pPr>
      <w:r>
        <w:rPr>
          <w:rFonts w:ascii="Times New Roman" w:cs="Times New Roman" w:eastAsia="Times New Roman" w:hAnsi="Times New Roman"/>
          <w:sz w:val="18"/>
          <w:szCs w:val="18"/>
          <w:color w:val="auto"/>
        </w:rPr>
        <w:t>the SEC on November 2, 2025 and reclassifies to additional paid-in capital on a pro rata basis as the Company completes offering under the shelf registration. At the end of the three-year term of the shelf registration, the remaining deferred offering costs, if any, will be charged to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are stated at cost less accumulated depreciation and consist of computer equipment, laboratory equipment and leasehold improvements. Depreciation expense is recognized using the straight-line method over its estimated useful life of three to seven years.</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right="44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its lease agreements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w:t>
      </w:r>
    </w:p>
    <w:p>
      <w:pPr>
        <w:spacing w:after="0" w:line="17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 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Company has elected to account for lease and non-lease components together as a single lease component for all underlying assets.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 evaluates its long-lived assets, which consist of property, plant and equipment as well as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group exceeds the fair value of the asset group. The Company performed an undiscounted cash flow analysis over the long-lived assets associated with the manufacturing facility and determined that the carrying value of the asset group is not recoverable. During the year ended December 31, 2024, the Company recorded a non-cash impairment charge of $4.8 million in connection with the North Carolina manufacturing facility. The impairment charge was estimated using a discounted cash flow model. Significant assumptions used to determine this non-recurring fair value measurement include the time to sublease the facility, the amount of sublease income expected to be generated over the remaining lease term, and the discount rate used to measure the present value of the net cash flows associated with this asset group. See Note 4 for additional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Debt issuance costs related to the Trinity Term Loans are expensed as incurred due to the election of the fair value option.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Company has entered into research and development contracts with research institutions and other companies. These agreements are generally cancelable, and related payments are recorded as research and development expenses as incurred. Payments for these activities are based on the terms of the individual agreements, which may differ from the pattern of costs incurred, and are reflected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4" w:name="page115"/>
    <w:bookmarkEnd w:id="114"/>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the consolidated balance sheets as prepaid or accrued expenses. The Company records accruals for estimated ongoing research costs. When evaluating the adequacy of the accrued liabilities, the Company analyzes progress of the studies, including the phase or completion of events, invoices received and contracted costs.</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costs primarily consist of payroll, stock-based compensation, certain manufacturing costs, laboratory costs and other supplies, and the cost to acquire third-party licenses. Costs incurred in obtaining technology licenses through asset acquisitions are charged to research and development expense if the licensed technology has not reached technological feasibility and has no alternative future use. Payments of such upfront license fees and subsequent development milestones are included as investing cash outflows in the consolidated statements of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restricted stock awards (“RSAs”), and restricted stock units (“RSUs”), based on their respective grant date fair values. The Company estimates the fair value of stock option grants using the Black-Scholes option pricing model, which is affected principally by the estimated fair value of shares of the Company’s common stock and requires management to make a number of other assumptions, including the expected life of the option, the volatility of the underlying shares, the risk-free interest rate and expected dividends. Expected volatility is based on the historical share volatility of a set of comparable publicly traded companies over a period of time equal to the expected term of the options. Due to the lack of historical exercise history, the expected term of the Company’s stock options is determined using the “simplified” method.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8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RSAs and RSUs are valued based on the fair value of the Company’s common stock on the date of grant. The Company expenses stock-based compensation related to stock options, RSAs and RSUs which contain only service-based vesting conditions over the requisite service period using the straight-line method. For awards which contain only performance conditions, the Company recognizes expense based on the fair value of the awards in the period in which the achievement of the related performance conditions is estimated to be probable. For awards with both performance and service conditions, the Company recognizes expense based on the fair value of the performance awards over the estimated service period using the accelerated attribution method to the extent the achievement of the related performance criteria is estimated to be probable. At each reporting date, the Company evaluates whether any performance conditions related to a performance-based award have changed. The effect of any change in performance conditions is recognized as a cumulative catch-up adjustment in the period such change occurs. Stock-based compensation costs are initially recorded in research and development expense or general and administrative expense in the consolidated statements of operations in a manner consistent with the classification of the respective employee’s payroll costs. Forfeitures are recorded as they occur.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The assessment considers whether the warrants are freestanding financial instruments pursuant to ASC 480, meet the definition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reporting period while the warrants are outstanding.</w:t>
      </w:r>
    </w:p>
    <w:p>
      <w:pPr>
        <w:spacing w:after="0" w:line="189"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or when the conditions for equity classification are met, and are not remeasured. For issued or modified warrants that do not meet all the criteria for equity classification, the warrants are required to be recorded at their initial fair value on the date of issuance, and each balance sheet date thereafter. Liability-classified warrants are recorded at their fair value, and the Company adjusts such warrants to fair value at each reporting period. This liability is subject to remeasurement at each balance sheet date until the warrants are exercised or expire, and any change in fair value is recognized in the Company’s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and net operating loss (“NOL”) carryforwards and research and development tax credit (“R&amp;D Credit”) carryforwards. Valuation allowances are provided if, based upon the weight of available evidence, it is more likely than not that some or all</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15" w:name="page116"/>
    <w:bookmarkEnd w:id="115"/>
    <w:p>
      <w:pPr>
        <w:ind w:right="120"/>
        <w:spacing w:after="0" w:line="266" w:lineRule="auto"/>
        <w:rPr>
          <w:sz w:val="20"/>
          <w:szCs w:val="20"/>
          <w:color w:val="auto"/>
        </w:rPr>
      </w:pPr>
      <w:r>
        <w:rPr>
          <w:rFonts w:ascii="Times New Roman" w:cs="Times New Roman" w:eastAsia="Times New Roman" w:hAnsi="Times New Roman"/>
          <w:sz w:val="18"/>
          <w:szCs w:val="18"/>
          <w:color w:val="auto"/>
        </w:rPr>
        <w:t>of the deferred tax assets will not be realized. The Company has recorded a full valuation allowance to reduce its net deferred income tax assets to zero. In the event the Company were to determine that it would be able to realize some or all of its deferred income tax assets in the future, an adjustment to the deferred income tax asset valuation allowance would increase income in the period such determination was made.</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During the year ended December 31, 2025 the Company recorded increases in the amount of gross unrecognized tax benefits of $2.2 million. During the year ended December 31, 2024, the Company recorded increases in the amount of unrecognized tax benefits of $1.8 million. The Company also reduced its uncertain tax positions during 2023 by $7.8 million related to prior year positions largely as a result of the Section 382 ownership shift analysis performed during 2023 (see Note 12). The unrecognized tax benefits, if recognized, would not affect the effective income tax rate due to the valuation allowance that currently offsets deferred tax assets. The Company does not expect the unrecognized tax benefits to change significantly over the next 12 months. The Company would recognize any corresponding interest and penalties associated with its income tax positions in income tax expense. There was no income tax interest or penalties incurred for the years ended December 31, 2025 and 2024.</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Comprehensive income includes charges and credits to shareholders' equity that are not the result of transactions with shareholders. Our total comprehensive loss consists of net income and changes in fair value attributed to instrument-specific credit risk from the 2025 Trinity Term Loans (as defined below). The items of comprehensive loss, with the exception of net loss, are included in accumulated other comprehensive loss in the consolidated balance sheets and statements of shareholders' equity.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2025, the Company adopted this new ASU retrospectively with all the revised disclosures as required by this ASU in Note 12.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 Income</w:t>
      </w:r>
      <w:r>
        <w:rPr>
          <w:rFonts w:ascii="Times New Roman" w:cs="Times New Roman" w:eastAsia="Times New Roman" w:hAnsi="Times New Roman"/>
          <w:sz w:val="18"/>
          <w:szCs w:val="18"/>
          <w:color w:val="auto"/>
        </w:rPr>
        <w:t>, through enhancing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guidance requires entities to provide 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 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6" w:name="page117"/>
    <w:bookmarkEnd w:id="116"/>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317,127</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1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liabilities</w:t>
            </w:r>
          </w:p>
        </w:tc>
        <w:tc>
          <w:tcPr>
            <w:tcW w:w="1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51,658</w:t>
            </w:r>
          </w:p>
        </w:tc>
        <w:tc>
          <w:tcPr>
            <w:tcW w:w="100" w:type="dxa"/>
            <w:vAlign w:val="bottom"/>
            <w:shd w:val="clear" w:color="auto" w:fill="CFF0FC"/>
          </w:tcPr>
          <w:p>
            <w:pPr>
              <w:spacing w:after="0"/>
              <w:rPr>
                <w:sz w:val="19"/>
                <w:szCs w:val="19"/>
                <w:color w:val="auto"/>
              </w:rPr>
            </w:pP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-607695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-591185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-607695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-591185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-607695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-591185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-744855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-728345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liabilities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6 for additional information on the Trinity Term Loans and Success Fees (as defined below).</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Company’s SSI Warrant liability was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In December 2025, all outstanding liability classified warrants were exercised. See Note 10 for additional information on the SSI Warrants.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4—Supplemental Financial Information</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(3,584)</w:t>
            </w:r>
          </w:p>
        </w:tc>
      </w:tr>
      <w:tr>
        <w:trPr>
          <w:trHeight w:val="20"/>
        </w:trPr>
        <w:tc>
          <w:tcPr>
            <w:tcW w:w="77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includes $0.3 million and $0.7 million of assets capitalized as finance leases as of December 31, 2025 and December 31, 2024, respectively. During the year ended December 31, 2025, the Company sold equipment with a book value of zero and recorded a gain on the disposal of $0.1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$1.1 million and $1.2 million for the years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September 2024, the Company recorded an impairment loss of $4.8 million in connection with its North Carolina manufacturing facility. The impairment charge was estimated using a discounted cash flow model and recorded in the consolidated statements of operations for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21"/>
                <w:szCs w:val="21"/>
                <w:color w:val="auto"/>
              </w:rPr>
            </w:pPr>
          </w:p>
        </w:tc>
      </w:tr>
      <w:tr>
        <w:trPr>
          <w:trHeight w:val="413"/>
        </w:trPr>
        <w:tc>
          <w:tcPr>
            <w:tcW w:w="774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02"/>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-1490980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8" w:name="page119"/>
    <w:bookmarkEnd w:id="118"/>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consolidated balance sheets as of December 31, 2025 and 2024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year ended December 31, 2025 and 2024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760" w:type="dxa"/>
            <w:vAlign w:val="bottom"/>
            <w:gridSpan w:val="8"/>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8"/>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8"/>
                <w:szCs w:val="18"/>
                <w:color w:val="auto"/>
              </w:rPr>
            </w:pP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7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58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2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8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10.57%</w:t>
            </w:r>
          </w:p>
        </w:tc>
        <w:tc>
          <w:tcPr>
            <w:tcW w:w="2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c>
          <w:tcPr>
            <w:tcW w:w="2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-1425575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-1425575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operating leases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10"/>
        </w:trPr>
        <w:tc>
          <w:tcPr>
            <w:tcW w:w="594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future minimum commitments under ASC 842 under the Company’s operating and finance leases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40" w:type="dxa"/>
            <w:vAlign w:val="bottom"/>
          </w:tcPr>
          <w:p>
            <w:pPr>
              <w:spacing w:after="0"/>
              <w:rPr>
                <w:sz w:val="20"/>
                <w:szCs w:val="20"/>
                <w:color w:val="auto"/>
              </w:rPr>
            </w:pPr>
          </w:p>
        </w:tc>
        <w:tc>
          <w:tcPr>
            <w:tcW w:w="21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0"/>
        </w:trPr>
        <w:tc>
          <w:tcPr>
            <w:tcW w:w="3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4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28,068</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(8,410)</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5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21"/>
                <w:szCs w:val="21"/>
                <w:color w:val="auto"/>
              </w:rPr>
            </w:pPr>
          </w:p>
        </w:tc>
      </w:tr>
      <w:tr>
        <w:trPr>
          <w:trHeight w:val="197"/>
        </w:trPr>
        <w:tc>
          <w:tcPr>
            <w:tcW w:w="3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204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top w:val="single" w:sz="8" w:color="CFF0FC"/>
            </w:tcBorders>
          </w:tcPr>
          <w:p>
            <w:pPr>
              <w:spacing w:after="0"/>
              <w:rPr>
                <w:sz w:val="17"/>
                <w:szCs w:val="17"/>
                <w:color w:val="auto"/>
              </w:rPr>
            </w:pPr>
          </w:p>
        </w:tc>
      </w:tr>
      <w:tr>
        <w:trPr>
          <w:trHeight w:val="21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780" w:type="dxa"/>
            <w:vAlign w:val="bottom"/>
          </w:tcPr>
          <w:p>
            <w:pPr>
              <w:spacing w:after="0"/>
              <w:rPr>
                <w:sz w:val="24"/>
                <w:szCs w:val="24"/>
                <w:color w:val="auto"/>
              </w:rPr>
            </w:pPr>
          </w:p>
        </w:tc>
        <w:tc>
          <w:tcPr>
            <w:tcW w:w="25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F-17</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37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-1516380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-1499235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-1216660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906"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6 – Term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Loan with Trinity Capital</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7, 2025 (the “Trinity Refinance Date”), the Company entered into a Loan and Security Agreement (the “2025 Trinity Term Loan Agreement”), by and among the Company, the lenders party thereto from time to time (the “2025 Trinity Lenders”) and Trinity Capital Inc., as administrative agent and collateral agent for the 2025 Trinity Lenders (“Trinity”). The 2025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the Company has submitted a biologics license application (“BLA”) to the FDA for TSHA-102 in Rett Syndrome (“Tranche B”), (iii) from the Trinity Refinance Date until March 31, 2029, an additional $25.0 million term loan facility contingent on delivering evidence satisfactory to Trinity that the Company has received BLA approval from the FDA for TSHA-102 in Rett Syndrome (collectively, the “2025 Trinity Term Loans”). The Company drew $50.0 million in term loans on the Trinity Refinance Date. The existing 2023 Trinity Term Loan Agreement was terminated and the existing 2023 Trinity Term Loans were repaid concurrently with entry into the 2025 Trinity Term Loan Agreement and the draw of Tranche A.</w:t>
      </w:r>
    </w:p>
    <w:p>
      <w:pPr>
        <w:spacing w:after="0" w:line="194"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2025 Trinity Term Loans is the greater of (a) the WSJ Prime Rate plus 4.00% or (b) 11.50% per annum. The 2025 Trinity Term Loans are interest only from the Trinity Refinance Date through 48 months from the Trinity Refinance Date, which may be extended to 60 months from the Trinity Refinance Date upon the satisfaction of certain milestones set forth in the 2025 Trinity Term Loan Agreement, after which the Company is required to pay equal monthly installments of principal through August 1, 2030 (the “New Maturity Date”). As of December 31, 2025, $50.0 million was outstanding on the 2025 Trinity Term Loans, recorded as Term Loan, net on the consolidated balance sheet.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2025 Trinity Term Loan Agreement as of December 31, 2025 are as follows (in thousands):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tcBorders>
              <w:top w:val="single" w:sz="8" w:color="auto"/>
            </w:tcBorders>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9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0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9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100" w:type="dxa"/>
            <w:vAlign w:val="bottom"/>
          </w:tcPr>
          <w:p>
            <w:pPr>
              <w:spacing w:after="0"/>
              <w:rPr>
                <w:sz w:val="18"/>
                <w:szCs w:val="18"/>
                <w:color w:val="auto"/>
              </w:rPr>
            </w:pPr>
          </w:p>
        </w:tc>
      </w:tr>
      <w:tr>
        <w:trPr>
          <w:trHeight w:val="22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44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FF0FC"/>
          </w:tcPr>
          <w:p>
            <w:pPr>
              <w:spacing w:after="0"/>
              <w:rPr>
                <w:sz w:val="19"/>
                <w:szCs w:val="19"/>
                <w:color w:val="auto"/>
              </w:rPr>
            </w:pPr>
          </w:p>
        </w:tc>
      </w:tr>
      <w:tr>
        <w:trPr>
          <w:trHeight w:val="20"/>
        </w:trPr>
        <w:tc>
          <w:tcPr>
            <w:tcW w:w="5720" w:type="dxa"/>
            <w:vAlign w:val="bottom"/>
            <w:tcBorders>
              <w:top w:val="single" w:sz="8" w:color="CFF0FC"/>
            </w:tcBorders>
            <w:shd w:val="clear" w:color="auto" w:fill="CFF0FC"/>
          </w:tcPr>
          <w:p>
            <w:pPr>
              <w:spacing w:after="0" w:line="20" w:lineRule="exact"/>
              <w:rPr>
                <w:sz w:val="1"/>
                <w:szCs w:val="1"/>
                <w:color w:val="auto"/>
              </w:rPr>
            </w:pPr>
          </w:p>
        </w:tc>
        <w:tc>
          <w:tcPr>
            <w:tcW w:w="39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On the Trinity Refinance Date, the Company paid a commitment fee of $0.1 million to Trinity. Upon any future draw of 2025 Trinity Term Loans, the Company is required to pay an additional commitment fee of 1.00% of the aggregate principal amount of such 2025 Trinity Term Loans then funded.</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2025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2025 Trinity Term Loans, the Company will pay to Trinity an end of term payment equal to 5.00% of the original principal amount of the 2025 Trinity Term Loans.</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obligations under the 2025 Trinity Term Loan Agreement are secured by a perfected security interest in all of the Company’s assets except for certain customarily excluded property pursuant to the terms of the 2025 Trinity Term Loan Agreement. There are no financial or minimum cash balance covenants and no warrants associated with the 2025 Trinity Term Loan Agreement. The 2025 Trinity Term Loan Agreement contains various covenants that limit the Company’s ability to engage in specified types of transactions without the consent of Trinity and the 2025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paying cash dividends; and entering into certain transactions with the Company’s affiliates, in each case subject to customary exceptions.</w:t>
      </w:r>
    </w:p>
    <w:p>
      <w:pPr>
        <w:spacing w:after="0" w:line="19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2025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2025 Trinity Lenders may declare all outstanding obligations immediately due and payable and exercise all of its rights and remedies as set forth in the 2025 Trinity Term Loan Agreement and under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20" w:name="page121"/>
    <w:bookmarkEnd w:id="120"/>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2025 Trinity Term Loans and determined that the 2025 Trinity Term Loan constituted a debt modification under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450”). As such, the 2025 Trinity Term Loans are accounted for as a continuation of the original debt, and no gain or loss on extinguishment was recognized. The Company continues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which was initially elected at the time of the 2023 Trinity Term Loan Agreement.</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Under the fair value option, the 2025 Trinity Term Loans are measured at fair value on a recurring basis, with changes in fair value recognized in other income (expense) in the consolidated statements of operations. The Company has not elected to present interest expense separately from changes in fair value and therefore will not present interest expense associated with the 2025 Trinity Term Loans. Any changes in fair value attributable to instrument-specific credit risk are presented in other comprehensive income or loss, if material. Under the fair value option, debt issuance costs are expensed as incurred. The Company incurred $1.1 million of debt issuance costs, of which $0.1 million were paid to Trinity and $1.0 million were paid to third parties associated with the 2025 Trinity Term Loans. The debt issuance costs were recorded within general and administrative expense in the consolidated statements of operations for the year ended December 31, 2025.</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2025 Trinity Term Loan Agreement, the Company entered into a Success Fee Agreement with Trinity which specifies the terms regarding a fee in the amount of $0.5 million plus 5% of the principal amount of the funded 2025 Trinity Term Loans under Tranche B (the “2025 Success Fee”). The 2025 Success Fee is payable upon the achievement of certain corporate development value-inflection milestones. The 2025 Success Fee survives the termination of the 2025 Trinity Term Loans and expires on the earlier of ten years from the Trinity Refinance Date, or payment in full in cash of the 2025 Success Fee. The Company determined that the 2025 Success Fee represents a freestanding financial instrument and should be accounted for as a derivative liability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recorded a liability within other non-current liabilities on the consolidated balance sheet, at fair value on the Trinity Refinance Date and will be marked-to-market at the end of each reporting period with gains and losses recognized as a component of other income (expense) in the consolidated statements of operations.</w:t>
      </w:r>
    </w:p>
    <w:p>
      <w:pPr>
        <w:spacing w:after="0" w:line="19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2025 Trinity Term Loans were allocated to the 2025 Success Fee and 2025 Trinity Term Loans based on their respective fair values on the Trinity Refinance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2025 Trinity Term Loans and the 2025 Success Fee using a probability-weighted income approach and recorded the loan at fair value of $49.8 million and the 2025 Success Fee liability at fair value of $0.2 million in the consolidated balance sheet at issuance. The Company calculated the discounted cash flows of the 2025 Trinity Term Loans using a discount rate of 13.86% and adjusted for the probability of various repayment scenarios. The Company calculated the discounted cash flows of the 2025 Success Fee liability using a discount rate of 13.86% then adjusted for the probability of achievement of certain corporate development value-inflection milestones.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Loan with Trinity Capital</w:t>
      </w:r>
    </w:p>
    <w:p>
      <w:pPr>
        <w:spacing w:after="0" w:line="12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“2023 Trinity Term Loan Agreement”), by and among the Company, the lenders party thereto from time to time (the “Trinity Lenders”) and Trinity Capital Inc., as administrative agent and collateral agent for the Trinity Lenders (“Trinity”). The 2023 Trinity Term Loan Agreement provided for, on the Trinity Closing Date, $40.0 million aggregate principal amount of term loans (collectively, the “2023 Trinity Term Loans”). The Company drew the Trinity Term Loans in full on the Trinity Closing Date.</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2023 Trinity Term Loans was the greater of (a) the Wall Street Journal (“WSJ”) Prime Rate plus 4.50% or (b) 12.75% per annum. The 2023 Trinity Term Loans were interest only from the Trinity Closing Date through 36 months from the Trinity Closing Date, which could have been extended to 48 months from the Trinity Closing Date upon the satisfaction of certain milestones set forth in the 2023 Trinity Term Loan Agreement, after which the Company was required to pay equal monthly installments of principal through November 13, 2028 (the “Maturity Date”).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2023 Trinity Term Loans could have been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 the 2023 Trinity Term Loans. Upon repayment in full of the 2023 Trinity Term Loans, the Company paid to Trinity an end of term payment equal to $0.6 million.</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obligations under the 2023 Trinity Term Loan Agreement were secured by a perfected security interest in all of the Company’s assets except for certain customarily excluded property pursuant to the terms of the 2023 Trinity Term Loan Agreement.</w:t>
      </w:r>
    </w:p>
    <w:p>
      <w:pPr>
        <w:spacing w:after="0" w:line="162"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Company assessed the terms and features of the 2023 Trinity Term Loans and determined that the Company was eligible to elect the fair value option under ASC 825. The 2023 Trinity Term Loans contain various embedded features and the election of the fair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spacing w:after="0" w:line="256" w:lineRule="auto"/>
        <w:rPr>
          <w:sz w:val="20"/>
          <w:szCs w:val="20"/>
          <w:color w:val="auto"/>
        </w:rPr>
      </w:pPr>
      <w:r>
        <w:rPr>
          <w:rFonts w:ascii="Times New Roman" w:cs="Times New Roman" w:eastAsia="Times New Roman" w:hAnsi="Times New Roman"/>
          <w:sz w:val="18"/>
          <w:szCs w:val="18"/>
          <w:color w:val="auto"/>
        </w:rPr>
        <w:t>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2023 Trinity Term Loans, which include accrued interest, if any, are recorded as a component of other expense (income) in the consolidated statements of operations. The Company did not elect to present interest expense separately from changes in fair value and therefore did not present interest expense associated with the 2023 Trinity Term Loans. Any changes in fair value caused by instrument-specific credit risk were presented separately in other comprehensive income or loss if material.</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2023 Trinity Term Loans, the Company entered into a Success Fee Agreement with Trinity which specifies the terms regarding a fee in the amount of 10% of the principal amount of the funded 2023 Trinity Term Loans (the “2023 Success Fee”). The 2023 Success Fee is payable upon the achievement of certain corporate development value-inflection milestones. The 2023 Success Fee survives the termination of the 2023 Trinity Term Loans and expires on the earlier of ten years, or payment in full in cash of the Success Fee. The 2023 Success Fee remains in effect after the termination of the 2023 Trinity Term Loans upon entry into the 2025 Trinity Term Loan Agreement and the draw of Tranche A.</w:t>
      </w:r>
    </w:p>
    <w:p>
      <w:pPr>
        <w:spacing w:after="0" w:line="183"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2023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2025 Trinity Term Loans are accounted for as a continuation of the original debt in accordance with ASC 450, and the Company continues to apply the fair value option under ASC 825, which was initially elected at the time of the 2023 Trinity Term Loan Agreement. The Company remeasured the 2025 Trinity Term Loans, 2025 Success Fee and 2023 Success Fee as of December 31, 2025 using a probability weighted income approach. The Company calculated the discounted cash flows of the 2025 Trinity Term Loans using a discount rate of 14.24% and adjusted for the probability of various repayment scenarios. The Company calculated the discounted cash flows of the 2023 Success Fee and 2025 Success Fee, (the “Success Fees”), using a discount rate of 14.24% then adjusted for the probability of achievement of certain corporate development value-inflection milestones. As of December 31, 2025, the Company recorded the Tranche A Loan at a fair value of $50.1 million and the Success Fees at $1.5 million in the consolidated balance sheet.</w:t>
      </w:r>
    </w:p>
    <w:p>
      <w:pPr>
        <w:spacing w:after="0" w:line="18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2023 Trinity Term Loans and 2025 Trinity Term Loans, (the “Trinity Term Loans”), during the years ended December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2024</w:t>
            </w: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6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8"/>
                <w:szCs w:val="18"/>
                <w:color w:val="auto"/>
              </w:rPr>
            </w:pPr>
          </w:p>
        </w:tc>
      </w:tr>
      <w:tr>
        <w:trPr>
          <w:trHeight w:val="209"/>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620" w:type="dxa"/>
            <w:vAlign w:val="bottom"/>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2023 Term Loan</w:t>
            </w:r>
          </w:p>
        </w:tc>
        <w:tc>
          <w:tcPr>
            <w:tcW w:w="6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(40,612)</w:t>
            </w:r>
          </w:p>
        </w:tc>
      </w:tr>
      <w:tr>
        <w:trPr>
          <w:trHeight w:val="216"/>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of 2025 Trinity Term Loan on August 7, 2025</w:t>
            </w:r>
          </w:p>
        </w:tc>
        <w:tc>
          <w:tcPr>
            <w:tcW w:w="6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49,783</w:t>
            </w:r>
          </w:p>
        </w:tc>
        <w:tc>
          <w:tcPr>
            <w:tcW w:w="100" w:type="dxa"/>
            <w:vAlign w:val="bottom"/>
            <w:shd w:val="clear" w:color="auto" w:fill="CFF0F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18"/>
                <w:szCs w:val="18"/>
                <w:color w:val="auto"/>
              </w:rPr>
            </w:pPr>
          </w:p>
        </w:tc>
      </w:tr>
      <w:tr>
        <w:trPr>
          <w:trHeight w:val="216"/>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6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(3,839)</w:t>
            </w:r>
          </w:p>
        </w:tc>
      </w:tr>
      <w:tr>
        <w:trPr>
          <w:trHeight w:val="210"/>
        </w:trPr>
        <w:tc>
          <w:tcPr>
            <w:tcW w:w="9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fair value balance as of December 31, 2025</w:t>
            </w: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50,106</w:t>
            </w:r>
          </w:p>
        </w:tc>
        <w:tc>
          <w:tcPr>
            <w:tcW w:w="100" w:type="dxa"/>
            <w:vAlign w:val="bottom"/>
            <w:tcBorders>
              <w:top w:val="single" w:sz="8" w:color="CFF0FC"/>
            </w:tcBorders>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$5.4 million of interest expense within change in fair value of term loans, all of which was paid as of December 31, 2025. During the year ended December 31, 2024 the Company recorded $5.2 million of interest expense within change in fair value of term loans, all of which was paid as of December 31, 2024.</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Fees liability during the years ended December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Fees</w:t>
            </w:r>
          </w:p>
        </w:tc>
        <w:tc>
          <w:tcPr>
            <w:tcW w:w="4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at January 1, 2024</w:t>
            </w:r>
          </w:p>
        </w:tc>
        <w:tc>
          <w:tcPr>
            <w:tcW w:w="50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2023 Success Fee</w:t>
            </w:r>
          </w:p>
        </w:tc>
        <w:tc>
          <w:tcPr>
            <w:tcW w:w="4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December 31, 2024</w:t>
            </w:r>
          </w:p>
        </w:tc>
        <w:tc>
          <w:tcPr>
            <w:tcW w:w="50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Beginning fair value balance of 2025 Success Fee on August 7, 2025</w:t>
            </w:r>
          </w:p>
        </w:tc>
        <w:tc>
          <w:tcPr>
            <w:tcW w:w="4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Success Fees</w:t>
            </w:r>
          </w:p>
        </w:tc>
        <w:tc>
          <w:tcPr>
            <w:tcW w:w="44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Ending fair value balance as of December 31, 2025</w:t>
            </w:r>
          </w:p>
        </w:tc>
        <w:tc>
          <w:tcPr>
            <w:tcW w:w="5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220" w:type="dxa"/>
            <w:vAlign w:val="bottom"/>
          </w:tcPr>
          <w:p>
            <w:pPr>
              <w:spacing w:after="0"/>
              <w:rPr>
                <w:sz w:val="24"/>
                <w:szCs w:val="24"/>
                <w:color w:val="auto"/>
              </w:rPr>
            </w:pPr>
          </w:p>
        </w:tc>
        <w:tc>
          <w:tcPr>
            <w:tcW w:w="502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color w:val="auto"/>
              </w:rPr>
              <w:t>F-20</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52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96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Note 7—Astellas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Subject to certain extensions, the Rett Option was exercisable from the Effective Date through a specified period of time following Astellas’ receipt of (i) certain clinical data from the female pediatric trial and (ii)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 The Company delivered the Rett Data Package to Astellas in mid-2025. Under the Option Agreement, Astellas was required to decide whether to exercise the Rett Option within 90 days after Astellas’ receipt of the Rett Data Package. In October 2025, the Rett Option expired without being exercised. Following the expiration of the Option Agreement, the Company now holds unencumbered rights to the TSHA-102 program.</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During the Rett Option Period, which has now expired, the Company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failed or declined to submit any such offer within a specified period after the receipt of such notice, the Company would have the ability to solicit third party bids for a Change of Control transaction. If Astellas delivered an offer to the Company for a transaction that would result in a Change of Control, the Company and Astellas would have attempted to negotiate in good faith the potential terms and conditions for such potential transaction that would have resulted in a Change of Control for a specified period, which period may have been shortened or extended by mutual agreement. All of Astellas’ rights with respect to a Change of Control of the Company terminated as a result of the expiration of the Rett Option Period and the Option Agreement in October 2025.</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had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Astellas Private Placement.</w:t>
      </w:r>
    </w:p>
    <w:p>
      <w:pPr>
        <w:spacing w:after="0" w:line="184"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 million transaction price was recorded as deferred revenue on the consolidated balance sheet at the inception of the Astellas Transactions.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4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40" w:type="dxa"/>
            <w:vAlign w:val="bottom"/>
            <w:tcBorders>
              <w:bottom w:val="single" w:sz="8" w:color="auto"/>
            </w:tcBorders>
            <w:shd w:val="clear" w:color="auto" w:fill="CFF0FC"/>
          </w:tcPr>
          <w:p>
            <w:pPr>
              <w:spacing w:after="0"/>
              <w:rPr>
                <w:sz w:val="18"/>
                <w:szCs w:val="18"/>
                <w:color w:val="auto"/>
              </w:rPr>
            </w:pPr>
          </w:p>
        </w:tc>
        <w:tc>
          <w:tcPr>
            <w:tcW w:w="2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was recognized at a point in time when each option period expired or when a decision was made by Astellas to exercise or not exercise each option. Revenue from the Rett research and development activities was recognized as activities were performed using an input method, according to the costs incurred as related to the total costs expected to be incurred to satisfy the performance obligation. The transfer of control occurred over this time period and was a reliable measure of progress towards satisfying the performance obligation.</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$4.3 million and $8.3 million from Rett research and development activities for the year ended December 31, 2025 and 2024, respectively. In October 2025, Astellas provided written notice of its decision not to exercise the Rett Option. The Company recognized revenue of $5.5 million from the Rett Option during the year ended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IND-enabling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24" w:name="page125"/>
    <w:bookmarkEnd w:id="124"/>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throughout 2024 and 2025, we transferred rights to specific indications back to UT.</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9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No additional milestone payments were triggered in connection with this agreement during the years ended December 31, 2025 and 2024. In February 2026, the Abeona CLN1 Agreement was mutually terminated.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5" w:name="page126"/>
    <w:bookmarkEnd w:id="125"/>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consolidated statements of operations for the year ended December 31, 2023. In December 2025, the Company dosed the first patient with TSHA-102 in the Phase 1/2 Part B REVEAL pivotal trial and therefore triggered a milestone payment in connection with the Abeona Rett Agreement. The Company recorded $3.0 million within research and development expenses in the consolidated statements of operations for the year ended December 31, 2025. This milestone fee was paid in January 2026. No additional milestone payments were made or triggered in connection with this agreement during the year ended December 31,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(the “New Plan Evergreen Provision”). Pursuant to this provision, on January 1, 2026, the Company increased the number of shares of common stock reserved for issuance under the New Plan by 14,252,582 shares.</w:t>
      </w:r>
    </w:p>
    <w:p>
      <w:pPr>
        <w:spacing w:after="0" w:line="187"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2026, the Company increased the number of shares of common stock reserved for issuance under the ESPP by 724,000. The Company has issued an aggregate of 358,514 shares of common stock under the ESPP as of December 31, 2025.</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 Company reserved an additional 2,000,000 shares of the Company’s common stock for issuance under the Inducement Plan. On November 14, 2025, the Company reserved an additional 3,000,000 shares of the Company’s common stock for issuance under the Inducement Plan.</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26" w:name="page127"/>
    <w:bookmarkEnd w:id="126"/>
    <w:p>
      <w:pPr>
        <w:ind w:right="120"/>
        <w:spacing w:after="0" w:line="282" w:lineRule="auto"/>
        <w:rPr>
          <w:sz w:val="20"/>
          <w:szCs w:val="20"/>
          <w:color w:val="auto"/>
        </w:rPr>
      </w:pPr>
      <w:r>
        <w:rPr>
          <w:rFonts w:ascii="Times New Roman" w:cs="Times New Roman" w:eastAsia="Times New Roman" w:hAnsi="Times New Roman"/>
          <w:sz w:val="18"/>
          <w:szCs w:val="18"/>
          <w:color w:val="auto"/>
        </w:rPr>
        <w:t>property granted under the Inducement Plan (including nonstatutory stock options, restricted stock awards, restricted stock unit awards, stock appreciation rights, performance stock awards, performance cash awards or other stock-based awards).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7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9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2024</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3,162,725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7,162,725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9,348,009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(12,442,262)</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(3,774,300)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(16,216,562)</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December 31, 2024</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2,999,700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(15,999,976)</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(4,141,600)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(20,141,576)</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1,283,950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net of reserve - December 31, 2025</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(3,915,288)</w:t>
            </w: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3,142,050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(773,238)</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-25400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7683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August 2025, the Company’s board of directors approved the grant of 5,765,000 PSUs (as defined below) under the New Plan that are eligible to vest upon the achievement of various clinical and regulatory performance conditions. The grant of these awards exhausted the existing share reserve under the New Plan, and the Company used 3,915,288 shares of the shares to be issued on January 1, 2026 under the New Plan Evergreen Provision, which is permissible under section 2(c) of the New Plan, which limits the number of shares of common stock that may be issued pursuant to awards but does not limit the granting of awards. The Company increased the shares of common stock reserved for issuance under the New Plan by 14,252,582 on January 1, 2026 pursuant to the New Plan Evergreen Provision.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11,005,584 shares of common stock under the New Plan and Inducement Plan were awarded with a weighted-average grant date fair value per share of $1.59. The stock options vest over one to four years and have a ten-year contractual term.</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years ended December 31, 2025 and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76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84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4.24%</w:t>
            </w: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3"/>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years ended December 31, 2025 and 2024:</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5,960,922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11,719,421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(58,832)</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(1,327,123)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(73,783)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16,220,605</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11,005,584</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(629,478)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(1,931,407)</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(96,043)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24,569,261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December 31,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8,707,033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-1053465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-1053465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-1053465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December 31, 2025, the total unrecognized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ind w:right="480"/>
        <w:spacing w:after="0" w:line="266" w:lineRule="auto"/>
        <w:rPr>
          <w:sz w:val="20"/>
          <w:szCs w:val="20"/>
          <w:color w:val="auto"/>
        </w:rPr>
      </w:pPr>
      <w:r>
        <w:rPr>
          <w:rFonts w:ascii="Times New Roman" w:cs="Times New Roman" w:eastAsia="Times New Roman" w:hAnsi="Times New Roman"/>
          <w:sz w:val="18"/>
          <w:szCs w:val="18"/>
          <w:color w:val="auto"/>
        </w:rPr>
        <w:t>compensation related to unvested time-based vesting stock option awards granted was $21.0 million, which the Company expects to recognize over a weighted-average period of approximately 2.7 years. During the years ended December 31, 2025 and 2024, 629,478 and 58,832 stock options were exercised,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During the year ended December 31, 2025, 1,065 performance-based stock options were exercised. As of December 31, 2025, 57,281 of the shares subject to the performance-based options were vested and outstanding. No performance-based stock options were exercised during the year ended December 31, 2024.</w:t>
      </w:r>
    </w:p>
    <w:p>
      <w:pPr>
        <w:spacing w:after="0" w:line="183"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 is equal to the modification date fair value. The Modified Options have a grant date fair value per share of $1.28. The following assumptions were used to estimate the fair value of the Modified Options: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$0.5 million and $1.2 million for the years ended December 31, 2025 and 2024, respectively, related to the Modified Options. As of December 31, 2025, the total unrecognized compensation expense related to the Modified Options was $0.2 million, which the Company expects to recognize over a weighted average period of approximately 1.0 year using the accelerated attribution method. During the year ended December 31, 2025, 123,717 of the Modified Options were exercised. As of December 31, 2025, 1,392,938 of the Modified Options were outstanding, of which 887,386 were vested.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issued 3,370,992 RSUs to employees under the New Plan. The RSUs are subject to a service-based vesting condition. The service-based RSUs vest in equal annual installments over a one to four-year period. The Company at any time may accelerate the vesting of the RSUs. Such shares are not accounted for as outstanding until they vest.</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 For RSUs granted in 2024 and later, the Company’s tax withholding policy allows the RSU holder to choose to either pay cash to the Company for the tax withholding obligation or to elect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The Company adopted a mandatory sell-to-cover policy for settlement of any outstanding RSUs vesting on or after January 1, 2026.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8" w:name="page129"/>
    <w:bookmarkEnd w:id="128"/>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years ended December 31, 2025 and 2024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375,044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4,497,141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(323,031)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(1,246,218)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6,311,178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compensation cost related to the unvested RSUs was $8.1 million which is expected to be amortized on a straight-line basis over a weighted-average period of approximately 2.5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21"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In August 2025, the Company issued 5,765,000 performance-based restricted stock units (“PSUs”) to employees under the New Plan that are eligible to vest upon the achievement of certain clinical and regulatory performance conditions. The grant date fair value of the PSUs was $17.3 million, which is expected to be recognized at a point in time when achievement of the underlying performance conditions is considered probable, using management’s best estimates, which consider the inherent risk and uncertainty regarding the future outcomes of the performance conditions. During the year ended December 31, 2025, no compensation expense was recorded related to the PSUs as achievement of the performance conditions was not considered probable. As of December 31, 2025, 5,765,000 of the PSUs were unvested and outstanding.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the years ended December 31, 2025 and 2024, stock-based compensation expense related to the ESPP was not 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and RSUs recorded in the consolidated statements of operations for the years ended December 31, 2025 and 2024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920" w:type="dxa"/>
            <w:vAlign w:val="bottom"/>
            <w:vMerge w:val="restart"/>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1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260" w:type="dxa"/>
            <w:vAlign w:val="bottom"/>
            <w:vMerge w:val="restart"/>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18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8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9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1280" w:type="dxa"/>
            <w:vAlign w:val="bottom"/>
            <w:gridSpan w:val="2"/>
            <w:shd w:val="clear" w:color="auto" w:fill="CFF0FC"/>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May 2025</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May 28, 2025, the Company entered into the May 2025 Underwriting Agreement with the Underwriters to issue and sell 46,868,687 shares of common stock, and, in lieu of common stock to certain investors, pre-funded warrants to purchase 25,858,586 shares of common stock (the “May 2025 Pre-Funded Warrants”) in the May 2025 Offering. The offering price to the public was $2.75 per share of common stock and $2.749 per May 2025 Pre-Funded Warrant, which was the price to the public of each share of common stock sold in the May 2025 Offering, minus the $0.001 exercise price per May 2025 Pre-Funded Warrant. The Underwriters agreed to purchase the shares and the May 2025 Pre-Funded Warrants from the Company pursuant to the May 2025 Underwriting Agreement at a price of $2.585 per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9" w:name="page130"/>
    <w:bookmarkEnd w:id="129"/>
    <w:p>
      <w:pPr>
        <w:ind w:right="180"/>
        <w:spacing w:after="0" w:line="282" w:lineRule="auto"/>
        <w:rPr>
          <w:sz w:val="20"/>
          <w:szCs w:val="20"/>
          <w:color w:val="auto"/>
        </w:rPr>
      </w:pPr>
      <w:r>
        <w:rPr>
          <w:rFonts w:ascii="Times New Roman" w:cs="Times New Roman" w:eastAsia="Times New Roman" w:hAnsi="Times New Roman"/>
          <w:sz w:val="18"/>
          <w:szCs w:val="18"/>
          <w:color w:val="auto"/>
        </w:rPr>
        <w:t>share and $2.584 per May 2025 Pre-Funded Warrant, respectively. The initial closing of the May 2025 Offering occurred on May 30, 2025; no additional May 2025 Pre-Funded Warrants were sold upon the exercise of the Underwriters’ option in June 2025.</w:t>
      </w:r>
    </w:p>
    <w:p>
      <w:pPr>
        <w:spacing w:after="0" w:line="16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May 2025 Pre-Funded Warrant has an initial exercise price per share of $0.001, subject to certain adjustments. The May 2025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May 2025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May 2025 Pre-Funded Warrants meet the criteria for equity classification at issuance and were recorded as a component of stockholders’ equity within additional paid-in capital. The May 2025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w:t>
      </w:r>
    </w:p>
    <w:p>
      <w:pPr>
        <w:spacing w:after="0" w:line="187"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0" w:name="page131"/>
    <w:bookmarkEnd w:id="130"/>
    <w:p>
      <w:pPr>
        <w:ind w:right="80"/>
        <w:spacing w:after="0" w:line="282" w:lineRule="auto"/>
        <w:rPr>
          <w:sz w:val="20"/>
          <w:szCs w:val="20"/>
          <w:color w:val="auto"/>
        </w:rPr>
      </w:pPr>
      <w:r>
        <w:rPr>
          <w:rFonts w:ascii="Times New Roman" w:cs="Times New Roman" w:eastAsia="Times New Roman" w:hAnsi="Times New Roman"/>
          <w:sz w:val="18"/>
          <w:szCs w:val="18"/>
          <w:color w:val="auto"/>
        </w:rPr>
        <w:t>following such exercise would exceed a specified beneficial ownership limitation; provided, however, that a holder may increase or decrease the beneficial ownership limitation by giving 61 days’ notice to the Company, but not to any percentage in excess of 19.99%.</w:t>
      </w:r>
    </w:p>
    <w:p>
      <w:pPr>
        <w:spacing w:after="0" w:line="16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2025, 9,615,000 of the 2023 Pre-Funded Warrants were exercised on a cashless basis in exchange for 9,607,145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consolidated statements of operations.</w:t>
      </w:r>
    </w:p>
    <w:p>
      <w:pPr>
        <w:spacing w:after="0" w:line="183" w:lineRule="exact"/>
        <w:rPr>
          <w:sz w:val="20"/>
          <w:szCs w:val="20"/>
          <w:color w:val="auto"/>
        </w:rPr>
      </w:pPr>
    </w:p>
    <w:p>
      <w:pPr>
        <w:ind w:right="20" w:firstLine="794"/>
        <w:spacing w:after="0" w:line="258" w:lineRule="auto"/>
        <w:rPr>
          <w:sz w:val="20"/>
          <w:szCs w:val="20"/>
          <w:color w:val="auto"/>
        </w:rPr>
      </w:pPr>
      <w:r>
        <w:rPr>
          <w:rFonts w:ascii="Times New Roman" w:cs="Times New Roman" w:eastAsia="Times New Roman" w:hAnsi="Times New Roman"/>
          <w:sz w:val="18"/>
          <w:szCs w:val="18"/>
          <w:color w:val="auto"/>
        </w:rPr>
        <w:t>In December 2025, all 316,667 of the SSI Warrants were exercised and the Company received proceeds of $0.2 million. The Company remeasured the fair value of the SSI Warrants at each balance sheet date and immediately prior to the exercise and recorded fair value adjustments of $1.2 million for the year ended December 31, 2025, using the Black-Scholes-Merton option pricing model. After the SSI Warrants were exercised, the Company reclassified the warrant liability to additional paid-in capital as a component of stockholders’ equity. There were no outstanding liability classified warrants as of December 31, 2025.</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prior to the exercise using the following assumptions: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5.66</w:t>
            </w:r>
          </w:p>
        </w:tc>
      </w:tr>
    </w:tbl>
    <w:p>
      <w:pPr>
        <w:spacing w:after="0" w:line="198"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fair value adjustment was less than $0.1 million as of December 31, 2024, using the Black-Scholes-Merton option pricing model. The Company estimated the fair value of the SSI Warrant liability using the following assumptions as of 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years ended December 31, 2025 and 2024 (in thousands):</w:t>
      </w:r>
    </w:p>
    <w:p>
      <w:pPr>
        <w:sectPr>
          <w:pgSz w:w="11900" w:h="16838" w:orient="portrait"/>
          <w:cols w:equalWidth="0" w:num="1">
            <w:col w:w="11240"/>
          </w:cols>
          <w:pgMar w:left="320" w:top="1201" w:right="339" w:bottom="1440" w:gutter="0" w:footer="0" w:header="0"/>
        </w:sect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SSI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191"/>
        </w:trPr>
        <w:tc>
          <w:tcPr>
            <w:tcW w:w="2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454</w:t>
            </w:r>
          </w:p>
        </w:tc>
        <w:tc>
          <w:tcPr>
            <w:tcW w:w="6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191"/>
        </w:trPr>
        <w:tc>
          <w:tcPr>
            <w:tcW w:w="20" w:type="dxa"/>
            <w:vAlign w:val="bottom"/>
          </w:tcPr>
          <w:p>
            <w:pPr>
              <w:spacing w:after="0"/>
              <w:rPr>
                <w:sz w:val="16"/>
                <w:szCs w:val="16"/>
                <w:color w:val="auto"/>
              </w:rPr>
            </w:pPr>
          </w:p>
        </w:tc>
        <w:tc>
          <w:tcPr>
            <w:tcW w:w="340" w:type="dxa"/>
            <w:vAlign w:val="bottom"/>
            <w:tcBorders>
              <w:top w:val="single" w:sz="8" w:color="auto"/>
            </w:tcBorders>
          </w:tcPr>
          <w:p>
            <w:pPr>
              <w:jc w:val="right"/>
              <w:ind w:right="1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09"/>
        </w:trPr>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-5544185</wp:posOffset>
            </wp:positionH>
            <wp:positionV relativeFrom="paragraph">
              <wp:posOffset>-864870</wp:posOffset>
            </wp:positionV>
            <wp:extent cx="713232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-582295</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-5544185</wp:posOffset>
            </wp:positionH>
            <wp:positionV relativeFrom="paragraph">
              <wp:posOffset>-307975</wp:posOffset>
            </wp:positionV>
            <wp:extent cx="713232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500"/>
          </w:cols>
          <w:pgMar w:left="320" w:top="120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31" w:name="page132"/>
    <w:bookmarkEnd w:id="1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121"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both periods presented, basic and diluted net loss per common share are the same.</w:t>
      </w:r>
    </w:p>
    <w:p>
      <w:pPr>
        <w:spacing w:after="0" w:line="174"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shares issuable for little to no cash consideration should be included in the number of outstanding shares used to calculate basic loss per share as long as all conditions necessary for exercise are met. The 2023 Pre-Funded Warrants, the June 2024 Pre-Funded Warrants and the May 2025 Pre-Funded Warrants are therefore included as outstanding shares as of December 31, 2025 to calculate the weighted average number of shares outstanding to calculate basic loss per share.</w:t>
      </w:r>
    </w:p>
    <w:p>
      <w:pPr>
        <w:spacing w:after="0" w:line="18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years ended December 31, 2025 and 2024, respectively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0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(108,995)</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(89,298)</w:t>
            </w:r>
          </w:p>
        </w:tc>
        <w:tc>
          <w:tcPr>
            <w:tcW w:w="0" w:type="dxa"/>
            <w:vAlign w:val="bottom"/>
          </w:tcPr>
          <w:p>
            <w:pPr>
              <w:spacing w:after="0"/>
              <w:rPr>
                <w:sz w:val="1"/>
                <w:szCs w:val="1"/>
                <w:color w:val="auto"/>
              </w:rPr>
            </w:pPr>
          </w:p>
        </w:tc>
      </w:tr>
      <w:tr>
        <w:trPr>
          <w:trHeight w:val="178"/>
        </w:trPr>
        <w:tc>
          <w:tcPr>
            <w:tcW w:w="70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w:t>
            </w:r>
          </w:p>
        </w:tc>
        <w:tc>
          <w:tcPr>
            <w:tcW w:w="30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319,711,972</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250,134,421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-445135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-427990</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right="16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December 31, 2025 and 2024, respectively,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7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6,311,178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26,019,480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17,795,606</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32,330,658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22,661,427</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0"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OBBBA did not have a material impact on the Company’s consolidated financial statements. The Company generated a deferred tax asset for capitalized R&amp;E expenditures for the years ended December 31, 2025 and 2024 which are fully offset by valuation allowances for each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ind w:left="760"/>
        <w:spacing w:after="0"/>
        <w:rPr>
          <w:sz w:val="20"/>
          <w:szCs w:val="20"/>
          <w:color w:val="auto"/>
        </w:rPr>
      </w:pPr>
      <w:r>
        <w:rPr>
          <w:rFonts w:ascii="Times New Roman" w:cs="Times New Roman" w:eastAsia="Times New Roman" w:hAnsi="Times New Roman"/>
          <w:sz w:val="18"/>
          <w:szCs w:val="18"/>
          <w:color w:val="auto"/>
        </w:rPr>
        <w:t>The effective tax rate of the Company’s provision (benefit) for income taxes differs from the federal statutory rate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8"/>
                <w:szCs w:val="18"/>
                <w:color w:val="auto"/>
              </w:rPr>
            </w:pPr>
          </w:p>
        </w:tc>
      </w:tr>
      <w:tr>
        <w:trPr>
          <w:trHeight w:val="185"/>
        </w:trPr>
        <w:tc>
          <w:tcPr>
            <w:tcW w:w="4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20" w:type="dxa"/>
            <w:vAlign w:val="bottom"/>
          </w:tcPr>
          <w:p>
            <w:pPr>
              <w:spacing w:after="0"/>
              <w:rPr>
                <w:sz w:val="16"/>
                <w:szCs w:val="16"/>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(22,886)</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(18,748)</w:t>
            </w: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(6,681)</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(5,257)</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5.89%</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 and note</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Worldwide changes in unrecognized tax benefits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1460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4605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1454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14541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Deferred tax assets and valuation allowance</w:t>
      </w:r>
    </w:p>
    <w:p>
      <w:pPr>
        <w:spacing w:after="0" w:line="11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Deferred tax assets reflect the tax effects of NOLs, tax credit carryovers, and temporary differences between the carrying amounts of assets and liabilities for financial reporting purposes and the amounts used for income tax purposes. At December 31, 2025 and 2024, the significant components of the Company’s net deferred tax assets and liabilities are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32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4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69,455</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R&amp;E expenditures</w:t>
            </w: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1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(619)</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(137,725)</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(114,132)</w:t>
            </w:r>
          </w:p>
        </w:tc>
        <w:tc>
          <w:tcPr>
            <w:tcW w:w="0" w:type="dxa"/>
            <w:vAlign w:val="bottom"/>
          </w:tcPr>
          <w:p>
            <w:pPr>
              <w:spacing w:after="0"/>
              <w:rPr>
                <w:sz w:val="1"/>
                <w:szCs w:val="1"/>
                <w:color w:val="auto"/>
              </w:rPr>
            </w:pPr>
          </w:p>
        </w:tc>
      </w:tr>
      <w:tr>
        <w:trPr>
          <w:trHeight w:val="20"/>
        </w:trPr>
        <w:tc>
          <w:tcPr>
            <w:tcW w:w="7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taxes</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-1010920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-453390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valuation allowance is equal to the total net deferred tax asset amounts as of December 31, 2025 and 2024.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net of liabilities arising from the above-mentioned future tax benefits is currently not likely to be realized and, accordingly, has provided a valuation allowance.</w:t>
      </w:r>
    </w:p>
    <w:p>
      <w:pPr>
        <w:spacing w:after="0" w:line="187"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$23.6 million during the year ended December 31, 2025, and increased by $22.1 million during the year ended December 31, 2024.</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As of December 31, 2025, there were gross federal NOLs of $327.1 million, gross state NOLs of $13.6 million, federal tax credit carryforward of $17.4 million, and state tax credit carryforward of $1.3 million. The net operating losses and state tax credit carryforward do not expire. As of December 31, 2024, there were gross federal NOLs of $268.3 million, gross state NOLs of $11.7 million, federal tax credit carryforward of $8.7 million, and state tax credit carryforward of $1.3 million. The federal tax credit carryforward will expire in 2040. The Company files federal, foreign and state income tax returns and, in the normal course of business, the Company is subject to examination by these taxing authorities. All periods since inception are subject to examination by these taxing authorities, where applicable. There are currently no pending income tax examinations.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3" w:name="page134"/>
    <w:bookmarkEnd w:id="133"/>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Pursuant to Section 382 of the Internal Revenue Code, certain substantial changes in the Company’s ownership may result in a limitation on the amount of NOL carryforwards and tax credit carryforwards that may be used in future years. Utilization of the NOL and tax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tax credit carryforwards that can be utilized annually to offset future taxable income and tax, respectively. The Company has completed studies to assess whether an ownership change has occurred through December 31, 2023. Based on these analyses, several ownership changes were identified in 2020 and an additional ownership change occurred in 2023. As a result of the ownership shift that occurred in August 2023, the Company has determined that $217.9 million of its gross federal NOLs are subject to an annual utilization limitation of $3.1 million, which can be increased in the five year period post change date for any realized built-in gain. Additionally, there were $27.1 million of research credits that will expire due to such limitations, resulting in a write-off of the related deferred tax assets and reversal of the corresponding uncertain tax positions and valuation allowance in 2023. The Company will continue to monitor equity movement and its impact on the utilization of the NOLs and credits as the Company could experience additional ownership changes subsequent to December 31, 2023, which may result in additional limitations on the utilization of NOL carryforwards and credits.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Among other things,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March 3, 2026, the special litigation committee moved to terminate the action, stating its conclusion that dismissal is in the best interest of the company and its stockholders.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December 31, 2025. The Company does not anticipate recognizing any significant losses relating to these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Retirement Plan</w:t>
      </w:r>
    </w:p>
    <w:p>
      <w:pPr>
        <w:spacing w:after="0" w:line="121"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$0.5 million to the 401(k) retirement savings plan for each of the years ended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rare monogenic diseases of the central nervous system.</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derives revenue solely from the Astellas Agreements (see Note 7). The accounting policies of the gene therapy segment are the same as those described in the summary of significant accounting policies.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4" w:name="page135"/>
    <w:bookmarkEnd w:id="134"/>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years ended December 31,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33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the Twelve Months Ended December 31,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1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expense</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24,646</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15,204</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expense</w:t>
            </w:r>
          </w:p>
        </w:tc>
        <w:tc>
          <w:tcPr>
            <w:tcW w:w="1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36,372</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(108,995)</w:t>
            </w:r>
          </w:p>
        </w:tc>
        <w:tc>
          <w:tcPr>
            <w:tcW w:w="14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(89,298)</w:t>
            </w:r>
          </w:p>
        </w:tc>
      </w:tr>
      <w:tr>
        <w:trPr>
          <w:trHeight w:val="20"/>
        </w:trPr>
        <w:tc>
          <w:tcPr>
            <w:tcW w:w="7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8"/>
        <w:spacing w:after="0" w:line="281" w:lineRule="auto"/>
        <w:tabs>
          <w:tab w:leader="none" w:pos="22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16—Subsequent Events</w:t>
      </w:r>
    </w:p>
    <w:p>
      <w:pPr>
        <w:spacing w:after="0" w:line="121"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In January 2026, the Company granted options under the New Plan to purchase an aggregate of 2.5 million shares of its common stock at an exercise price of $4.86 per share, and also granted 5.8 million RSUs. These equity awards vest over a four-year period and are subject to service-based vesting conditions.</w:t>
      </w:r>
    </w:p>
    <w:p>
      <w:pPr>
        <w:spacing w:after="0" w:line="176"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 February and March 2026, the Company issued 0.5 million RSUs to employees under the Inducement Plan. The RSUs vest in equal annual installments over a four-year period and are subject to service-based vesting conditions. In March 2026, the Company granted options under the Inducement Plan to purchase 0.1 million shares of its common stock at an exercise price of $4.53 per share. These equity awards vest over a four-year period and are subject to service-based vesting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Form 10-K. Based on such evaluation, our Chief Executive Officer and Chief Financial Officer have concluded that as of December 31, 2025,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firstLine="666"/>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Control-Integrated Framework. Based on the assessment, management concluded that, as of December 31, 2025, our internal control over financial reporting was effective.</w:t>
      </w:r>
    </w:p>
    <w:p>
      <w:pPr>
        <w:spacing w:after="0" w:line="180" w:lineRule="exact"/>
        <w:rPr>
          <w:sz w:val="20"/>
          <w:szCs w:val="20"/>
          <w:color w:val="auto"/>
        </w:rPr>
      </w:pPr>
    </w:p>
    <w:p>
      <w:pPr>
        <w:ind w:right="120" w:firstLine="666"/>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smaller reporting company under the Exchange Act, management’s report was not subject to attestation by our independent registered public accounting firm.</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quarter ended December 31, 2025 that materially affected, or are reasonably likely to materially affect, our internal control over financial reporting.</w:t>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our definitive proxy statement to be filed with the SEC in connection with our 2026 annual meeting of stockholders, or the Proxy Statement, which is expected to be filed not later than 120 days after the end of our fiscal year ended December 31, 2025, under the captions “Information Regarding the Board of Directors and Corporate Governance,” “Election of Directors” and “Executive Officers” and is incorporated herein by reference.</w:t>
      </w:r>
    </w:p>
    <w:p>
      <w:pPr>
        <w:spacing w:after="0" w:line="180"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We have adopted the Taysha Code of Business Conduct and Ethics that applies to all officers, directors and employees. The Code of Business Conduct and Ethics is available on our website at www.tayshagtx.com. If we make any substantive amendments to the Code of Business Conduct and Ethics or grants any waiver from a provision of the Code to any executive officer or director, we will promptly disclose the nature of the amendment or waiver on our website.</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the Company’s securities by directors, officers, employees and consultants that is designed to promote compliance with insider trading laws, rules and regulations, as well as procedures designed to further the foregoing purposes. A copy of our insider trading policy is incorporated by reference as Exhibit 19.1 to this Annual Report on Form 10-K. In addition, it is the Company’s intent to comply with applicable laws and regulations relating to insider trading.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“Executive Compensation” and “Director Compensation”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620" w:firstLine="74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captions “Transactions with Related Persons and Indemnification” and “Information Regarding the Board of Directors and Corporate Governance—Independence of the Board of Directors”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report and financial statements of the Company are included in this Annual Report on Form 10-K:</w:t>
      </w:r>
    </w:p>
    <w:p>
      <w:pPr>
        <w:spacing w:after="0" w:line="117" w:lineRule="exact"/>
        <w:rPr>
          <w:sz w:val="20"/>
          <w:szCs w:val="20"/>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(PCAOB ID No. 34)</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Schedules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as they are not required, they are not applicable, or the required information is included in the financial statements or notes to the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700" w:type="dxa"/>
            <w:vAlign w:val="bottom"/>
            <w:gridSpan w:val="2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10000" w:type="dxa"/>
            <w:vAlign w:val="bottom"/>
            <w:tcBorders>
              <w:bottom w:val="single" w:sz="8" w:color="0563C1"/>
            </w:tcBorders>
            <w:gridSpan w:val="28"/>
          </w:tcPr>
          <w:p>
            <w:pPr>
              <w:spacing w:after="0" w:line="169" w:lineRule="exact"/>
              <w:rPr>
                <w:rFonts w:ascii="Times New Roman" w:cs="Times New Roman" w:eastAsia="Times New Roman" w:hAnsi="Times New Roman"/>
                <w:sz w:val="18"/>
                <w:szCs w:val="18"/>
                <w:color w:val="0563C1"/>
                <w:w w:val="99"/>
              </w:rPr>
            </w:pPr>
            <w:hyperlink r:id="rId336">
              <w:r>
                <w:rPr>
                  <w:rFonts w:ascii="Times New Roman" w:cs="Times New Roman" w:eastAsia="Times New Roman" w:hAnsi="Times New Roman"/>
                  <w:sz w:val="18"/>
                  <w:szCs w:val="18"/>
                  <w:color w:val="0563C1"/>
                  <w:w w:val="99"/>
                </w:rPr>
                <w:t>Amended and Restated Certificate of Incorporation (incorporated by reference to Exhibit 3.1 to the Company’s Current Report on Form 8-</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563C1"/>
              </w:rPr>
            </w:pPr>
            <w:hyperlink r:id="rId336">
              <w:r>
                <w:rPr>
                  <w:rFonts w:ascii="Times New Roman" w:cs="Times New Roman" w:eastAsia="Times New Roman" w:hAnsi="Times New Roman"/>
                  <w:sz w:val="18"/>
                  <w:szCs w:val="18"/>
                  <w:color w:val="0563C1"/>
                </w:rPr>
                <w:t>K (File No. 001-39536), filed with the Securities and Exchange Commission on September 29, 2020).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720" w:type="dxa"/>
            <w:vAlign w:val="bottom"/>
            <w:tcBorders>
              <w:righ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000" w:type="dxa"/>
            <w:vAlign w:val="bottom"/>
            <w:shd w:val="clear" w:color="auto" w:fill="0563C1"/>
          </w:tcPr>
          <w:p>
            <w:pPr>
              <w:spacing w:after="0" w:line="20" w:lineRule="exact"/>
              <w:rPr>
                <w:sz w:val="1"/>
                <w:szCs w:val="1"/>
                <w:color w:val="auto"/>
              </w:rPr>
            </w:pPr>
          </w:p>
        </w:tc>
        <w:tc>
          <w:tcPr>
            <w:tcW w:w="266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9840" w:type="dxa"/>
            <w:vAlign w:val="bottom"/>
            <w:tcBorders>
              <w:bottom w:val="single" w:sz="8" w:color="0563C1"/>
            </w:tcBorders>
            <w:gridSpan w:val="24"/>
          </w:tcPr>
          <w:p>
            <w:pPr>
              <w:spacing w:after="0" w:line="196" w:lineRule="exact"/>
              <w:rPr>
                <w:rFonts w:ascii="Times New Roman" w:cs="Times New Roman" w:eastAsia="Times New Roman" w:hAnsi="Times New Roman"/>
                <w:sz w:val="18"/>
                <w:szCs w:val="18"/>
                <w:color w:val="0563C1"/>
              </w:rPr>
            </w:pPr>
            <w:hyperlink r:id="rId337">
              <w:r>
                <w:rPr>
                  <w:rFonts w:ascii="Times New Roman" w:cs="Times New Roman" w:eastAsia="Times New Roman" w:hAnsi="Times New Roman"/>
                  <w:sz w:val="18"/>
                  <w:szCs w:val="18"/>
                  <w:color w:val="0563C1"/>
                </w:rPr>
                <w:t>Amended and Restated Bylaws (incorporated by reference to Exhibit 3.4 to the Company’s to the Company’s Registration Statement on</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tcBorders>
              <w:bottom w:val="single" w:sz="8" w:color="0563C1"/>
            </w:tcBorders>
            <w:gridSpan w:val="13"/>
          </w:tcPr>
          <w:p>
            <w:pPr>
              <w:spacing w:after="0" w:line="196" w:lineRule="exact"/>
              <w:rPr>
                <w:rFonts w:ascii="Times New Roman" w:cs="Times New Roman" w:eastAsia="Times New Roman" w:hAnsi="Times New Roman"/>
                <w:sz w:val="18"/>
                <w:szCs w:val="18"/>
                <w:color w:val="0563C1"/>
                <w:w w:val="99"/>
              </w:rPr>
            </w:pPr>
            <w:hyperlink r:id="rId337">
              <w:r>
                <w:rPr>
                  <w:rFonts w:ascii="Times New Roman" w:cs="Times New Roman" w:eastAsia="Times New Roman" w:hAnsi="Times New Roman"/>
                  <w:sz w:val="18"/>
                  <w:szCs w:val="18"/>
                  <w:color w:val="0563C1"/>
                  <w:w w:val="99"/>
                </w:rPr>
                <w:t>Form S-1 (File No. 333-248559), filed with the Securities and Exchange Commission on September 17, 2020).</w:t>
              </w:r>
            </w:hyperlink>
          </w:p>
        </w:tc>
        <w:tc>
          <w:tcPr>
            <w:tcW w:w="2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97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Certificate of Amendment to the Amended and Restated Certificate of Incorporation of (incorporated by reference to Exhibit 3.1 to the</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Company’s Current Report on Form 8-K (File No. 001-39536), filed with the Securities and Exchange Commission on November 15,</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38">
              <w:r>
                <w:rPr>
                  <w:rFonts w:ascii="Times New Roman" w:cs="Times New Roman" w:eastAsia="Times New Roman" w:hAnsi="Times New Roman"/>
                  <w:sz w:val="18"/>
                  <w:szCs w:val="18"/>
                  <w:color w:val="0000FF"/>
                  <w:w w:val="94"/>
                </w:rPr>
                <w:t>2023).</w:t>
              </w:r>
            </w:hyperlink>
          </w:p>
        </w:tc>
        <w:tc>
          <w:tcPr>
            <w:tcW w:w="20" w:type="dxa"/>
            <w:vAlign w:val="bottom"/>
            <w:tcBorders>
              <w:bottom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95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Company’s Current Report on Form 8-K (File No. 001-39536), filed with the Securities and Exchange Commission on June 3, 2025).</w:t>
              </w:r>
            </w:hyperlink>
          </w:p>
        </w:tc>
        <w:tc>
          <w:tcPr>
            <w:tcW w:w="4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958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Amended and Restated Investors’ Rights Agreement, by and among the Company and certain of its stockholders, dated July 2, 2020</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563C1"/>
            </w:tcBorders>
            <w:gridSpan w:val="20"/>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(incorporated by reference to Exhibit 4.1 to the Company’s Registration Statement on Form S-1 (File No. 333-248559), filed with the</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Securities and Exchange Commission on September 2, 2020)</w:t>
              </w:r>
            </w:hyperlink>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4.2*</w:t>
            </w:r>
          </w:p>
        </w:tc>
        <w:tc>
          <w:tcPr>
            <w:tcW w:w="120" w:type="dxa"/>
            <w:vAlign w:val="bottom"/>
          </w:tcPr>
          <w:p>
            <w:pPr>
              <w:spacing w:after="0"/>
              <w:rPr>
                <w:sz w:val="17"/>
                <w:szCs w:val="17"/>
                <w:color w:val="auto"/>
              </w:rPr>
            </w:pPr>
          </w:p>
        </w:tc>
        <w:tc>
          <w:tcPr>
            <w:tcW w:w="4400" w:type="dxa"/>
            <w:vAlign w:val="bottom"/>
            <w:tcBorders>
              <w:top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Description of the Company’s Common Stock</w:t>
            </w:r>
          </w:p>
        </w:tc>
        <w:tc>
          <w:tcPr>
            <w:tcW w:w="57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98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Form of Pre-Funded Warrant to Purchase Common Stock (incorporated by reference to Exhibit 4.1 to the Company’s Current Report on</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Form 8-K (File No. 001-39536), filed with the Securities and Exchange Commission on August 14,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00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Warrant to Purchase Common Stock dated April 5, 2023 (incorporated by reference to Exhibit 4.5 to the Company’s Registration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Statement on Form S-3 (File No. 333-271144), filed with the Securities Exchange Commission on April 5, 2023).</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100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2024 Pre-Funded Warrant to Purchase Common Stock (incorporated by reference to Exhibit 4.1 to the Company’s Current Report on Form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8-K (File No. 001-39536), filed with the Securities and Exchange Commission on June 26, 2024).</w:t>
              </w:r>
            </w:hyperlink>
          </w:p>
        </w:tc>
        <w:tc>
          <w:tcPr>
            <w:tcW w:w="20" w:type="dxa"/>
            <w:vAlign w:val="bottom"/>
            <w:tcBorders>
              <w:bottom w:val="single" w:sz="8" w:color="0000EE"/>
            </w:tcBorders>
          </w:tcPr>
          <w:p>
            <w:pPr>
              <w:spacing w:after="0"/>
              <w:rPr>
                <w:sz w:val="17"/>
                <w:szCs w:val="17"/>
                <w:color w:val="auto"/>
              </w:rPr>
            </w:pPr>
          </w:p>
        </w:tc>
        <w:tc>
          <w:tcPr>
            <w:tcW w:w="30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98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Pre-Funded Warrant to Purchase Common Stock (incorporated by reference to Exhibit 4.1 to the Company’s Current Report on</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5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Form 8-K (File No. 001-39536), filed with the Securities and Exchange Commission on May 29, 2025).</w:t>
              </w:r>
            </w:hyperlink>
          </w:p>
        </w:tc>
        <w:tc>
          <w:tcPr>
            <w:tcW w:w="26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563C1"/>
            </w:tcBorders>
            <w:gridSpan w:val="30"/>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Research, Collaboration &amp; License Agreement, by and between the Company and The Board of Regents of the University of Texas System</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on behalf of The University of Texas Southwestern Medical Center, dated as of November 19, 2019 (incorporated by reference to Exhibit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40" w:type="dxa"/>
            <w:vAlign w:val="bottom"/>
            <w:tcBorders>
              <w:bottom w:val="single" w:sz="8" w:color="0563C1"/>
            </w:tcBorders>
            <w:gridSpan w:val="29"/>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10.</w:t>
              </w:r>
              <w:r>
                <w:rPr>
                  <w:rFonts w:ascii="Times New Roman" w:cs="Times New Roman" w:eastAsia="Times New Roman" w:hAnsi="Times New Roman"/>
                  <w:sz w:val="18"/>
                  <w:szCs w:val="18"/>
                  <w:u w:val="single" w:color="auto"/>
                  <w:color w:val="0563C1"/>
                </w:rPr>
                <w:t>1</w:t>
              </w:r>
              <w:r>
                <w:rPr>
                  <w:rFonts w:ascii="Times New Roman" w:cs="Times New Roman" w:eastAsia="Times New Roman" w:hAnsi="Times New Roman"/>
                  <w:sz w:val="18"/>
                  <w:szCs w:val="18"/>
                  <w:color w:val="0563C1"/>
                </w:rPr>
                <w:t xml:space="preserve"> to the Company’s Registration Statement on Form S-1 (File No. 333-248559), filed with the Securities and Exchange Commission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10.2</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563C1"/>
              </w:rPr>
            </w:pPr>
            <w:hyperlink r:id="rId345">
              <w:r>
                <w:rPr>
                  <w:rFonts w:ascii="Times New Roman" w:cs="Times New Roman" w:eastAsia="Times New Roman" w:hAnsi="Times New Roman"/>
                  <w:sz w:val="18"/>
                  <w:szCs w:val="18"/>
                  <w:color w:val="0563C1"/>
                </w:rPr>
                <w:t>September 2, 2020).</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3"/>
            <w:shd w:val="clear" w:color="auto" w:fill="0563C1"/>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563C1"/>
            </w:tcBorders>
            <w:gridSpan w:val="28"/>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Amendment to Research, Collaboration &amp; License Agreement, by and between the Registrant and The Board of Regents of the University</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563C1"/>
            </w:tcBorders>
            <w:gridSpan w:val="27"/>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of Texas System on behalf of The University of Texas Southwestern Medical Center, dated as of April 2, 2020 (incorporated by reference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563C1"/>
            </w:tcBorders>
            <w:gridSpan w:val="18"/>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to Exhibit 10.2 to the Company’s Registration Statement on Form S-1 (File No. 333-248559), filed with the Securities and Exchange</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10.3</w:t>
            </w: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100" w:type="dxa"/>
            <w:vAlign w:val="bottom"/>
            <w:gridSpan w:val="31"/>
          </w:tcPr>
          <w:p>
            <w:pPr>
              <w:spacing w:after="0" w:line="196" w:lineRule="exact"/>
              <w:rPr>
                <w:rFonts w:ascii="Times New Roman" w:cs="Times New Roman" w:eastAsia="Times New Roman" w:hAnsi="Times New Roman"/>
                <w:sz w:val="18"/>
                <w:szCs w:val="18"/>
                <w:color w:val="0563C1"/>
              </w:rPr>
            </w:pPr>
            <w:hyperlink r:id="rId346">
              <w:r>
                <w:rPr>
                  <w:rFonts w:ascii="Times New Roman" w:cs="Times New Roman" w:eastAsia="Times New Roman" w:hAnsi="Times New Roman"/>
                  <w:sz w:val="18"/>
                  <w:szCs w:val="18"/>
                  <w:color w:val="0563C1"/>
                </w:rPr>
                <w:t>Commission on September 2, 2020).</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shd w:val="clear" w:color="auto" w:fill="0563C1"/>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180" w:type="dxa"/>
            <w:vAlign w:val="bottom"/>
            <w:gridSpan w:val="11"/>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563C1"/>
            </w:tcBorders>
            <w:gridSpan w:val="23"/>
          </w:tcPr>
          <w:p>
            <w:pPr>
              <w:spacing w:after="0" w:line="196" w:lineRule="exact"/>
              <w:rPr>
                <w:rFonts w:ascii="Times New Roman" w:cs="Times New Roman" w:eastAsia="Times New Roman" w:hAnsi="Times New Roman"/>
                <w:sz w:val="18"/>
                <w:szCs w:val="18"/>
                <w:color w:val="0563C1"/>
              </w:rPr>
            </w:pPr>
            <w:hyperlink r:id="rId347">
              <w:r>
                <w:rPr>
                  <w:rFonts w:ascii="Times New Roman" w:cs="Times New Roman" w:eastAsia="Times New Roman" w:hAnsi="Times New Roman"/>
                  <w:sz w:val="18"/>
                  <w:szCs w:val="18"/>
                  <w:color w:val="0563C1"/>
                </w:rPr>
                <w:t>License Agreement, by and between the Company and Queen’s University at Kingston, dated as of February 21, 2020 (incorporated by</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8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rPr>
            </w:pPr>
            <w:hyperlink r:id="rId347">
              <w:r>
                <w:rPr>
                  <w:rFonts w:ascii="Times New Roman" w:cs="Times New Roman" w:eastAsia="Times New Roman" w:hAnsi="Times New Roman"/>
                  <w:sz w:val="18"/>
                  <w:szCs w:val="18"/>
                  <w:color w:val="0563C1"/>
                </w:rPr>
                <w:t>reference to Exhibit 10.3 to the Company’s Registration Statement on Form S-1 (File No. 333-248559), filed with the Securities and</w:t>
              </w:r>
            </w:hyperlink>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Borders>
              <w:bottom w:val="single" w:sz="8" w:color="0563C1"/>
            </w:tcBorders>
            <w:gridSpan w:val="6"/>
          </w:tcPr>
          <w:p>
            <w:pPr>
              <w:spacing w:after="0" w:line="196" w:lineRule="exact"/>
              <w:rPr>
                <w:rFonts w:ascii="Times New Roman" w:cs="Times New Roman" w:eastAsia="Times New Roman" w:hAnsi="Times New Roman"/>
                <w:sz w:val="18"/>
                <w:szCs w:val="18"/>
                <w:color w:val="0563C1"/>
                <w:w w:val="99"/>
              </w:rPr>
            </w:pPr>
            <w:hyperlink r:id="rId347">
              <w:r>
                <w:rPr>
                  <w:rFonts w:ascii="Times New Roman" w:cs="Times New Roman" w:eastAsia="Times New Roman" w:hAnsi="Times New Roman"/>
                  <w:sz w:val="18"/>
                  <w:szCs w:val="18"/>
                  <w:color w:val="0563C1"/>
                  <w:w w:val="99"/>
                </w:rPr>
                <w:t>Exchange Commission on September 2, 2020).</w:t>
              </w:r>
            </w:hyperlink>
          </w:p>
        </w:tc>
        <w:tc>
          <w:tcPr>
            <w:tcW w:w="67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020" w:type="dxa"/>
            <w:vAlign w:val="bottom"/>
          </w:tcPr>
          <w:p>
            <w:pPr>
              <w:spacing w:after="0"/>
              <w:rPr>
                <w:sz w:val="24"/>
                <w:szCs w:val="24"/>
                <w:color w:val="auto"/>
              </w:rPr>
            </w:pPr>
          </w:p>
        </w:tc>
        <w:tc>
          <w:tcPr>
            <w:tcW w:w="7180" w:type="dxa"/>
            <w:vAlign w:val="bottom"/>
            <w:gridSpan w:val="9"/>
          </w:tcPr>
          <w:p>
            <w:pPr>
              <w:jc w:val="right"/>
              <w:ind w:right="2368"/>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ind w:left="880" w:hanging="891"/>
        <w:spacing w:after="0" w:line="257"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r>
        <w:rPr>
          <w:sz w:val="20"/>
          <w:szCs w:val="20"/>
          <w:color w:val="auto"/>
        </w:rPr>
        <w:tab/>
      </w:r>
      <w:hyperlink r:id="rId350">
        <w:r>
          <w:rPr>
            <w:rFonts w:ascii="Times New Roman" w:cs="Times New Roman" w:eastAsia="Times New Roman" w:hAnsi="Times New Roman"/>
            <w:sz w:val="18"/>
            <w:szCs w:val="18"/>
            <w:u w:val="single" w:color="auto"/>
            <w:color w:val="0563C1"/>
          </w:rPr>
          <w:t>License Agreement, by and between the Company and Abeona Therapeutics Inc., dated as of August 14, 2020 (incorporated by reference to</w:t>
        </w:r>
      </w:hyperlink>
      <w:r>
        <w:rPr>
          <w:rFonts w:ascii="Times New Roman" w:cs="Times New Roman" w:eastAsia="Times New Roman" w:hAnsi="Times New Roman"/>
          <w:sz w:val="18"/>
          <w:szCs w:val="18"/>
          <w:u w:val="single" w:color="auto"/>
          <w:color w:val="0563C1"/>
        </w:rPr>
        <w:t xml:space="preserve"> </w:t>
      </w:r>
      <w:hyperlink r:id="rId350">
        <w:r>
          <w:rPr>
            <w:rFonts w:ascii="Times New Roman" w:cs="Times New Roman" w:eastAsia="Times New Roman" w:hAnsi="Times New Roman"/>
            <w:sz w:val="18"/>
            <w:szCs w:val="18"/>
            <w:u w:val="single" w:color="auto"/>
            <w:color w:val="0563C1"/>
          </w:rPr>
          <w:t>Exhibit 10.4 to the Company’s Registration Statement on Form S-1 (File No. 333-248559), filed with the Securities and Exchange</w:t>
        </w:r>
      </w:hyperlink>
      <w:r>
        <w:rPr>
          <w:rFonts w:ascii="Times New Roman" w:cs="Times New Roman" w:eastAsia="Times New Roman" w:hAnsi="Times New Roman"/>
          <w:sz w:val="18"/>
          <w:szCs w:val="18"/>
          <w:u w:val="single" w:color="auto"/>
          <w:color w:val="0563C1"/>
        </w:rPr>
        <w:t xml:space="preserve"> </w:t>
      </w:r>
      <w:hyperlink r:id="rId350">
        <w:r>
          <w:rPr>
            <w:rFonts w:ascii="Times New Roman" w:cs="Times New Roman" w:eastAsia="Times New Roman" w:hAnsi="Times New Roman"/>
            <w:sz w:val="18"/>
            <w:szCs w:val="18"/>
            <w:u w:val="single" w:color="auto"/>
            <w:color w:val="0563C1"/>
          </w:rPr>
          <w:t>Commission on September 2, 2020).</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4039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640397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59912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599122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167576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jc w:val="both"/>
        <w:ind w:left="880" w:right="100" w:hanging="891"/>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r>
        <w:rPr>
          <w:sz w:val="20"/>
          <w:szCs w:val="20"/>
          <w:color w:val="auto"/>
        </w:rPr>
        <w:tab/>
      </w:r>
      <w:hyperlink r:id="rId354">
        <w:r>
          <w:rPr>
            <w:rFonts w:ascii="Times New Roman" w:cs="Times New Roman" w:eastAsia="Times New Roman" w:hAnsi="Times New Roman"/>
            <w:sz w:val="18"/>
            <w:szCs w:val="18"/>
            <w:u w:val="single" w:color="auto"/>
            <w:color w:val="0563C1"/>
          </w:rPr>
          <w:t>License Agreement, by and between the Company and Abeona Therapeutics Inc., dated as of October 29, 2020 (incorporated by reference</w:t>
        </w:r>
      </w:hyperlink>
      <w:r>
        <w:rPr>
          <w:rFonts w:ascii="Times New Roman" w:cs="Times New Roman" w:eastAsia="Times New Roman" w:hAnsi="Times New Roman"/>
          <w:sz w:val="18"/>
          <w:szCs w:val="18"/>
          <w:u w:val="single" w:color="auto"/>
          <w:color w:val="0563C1"/>
        </w:rPr>
        <w:t xml:space="preserve"> </w:t>
      </w:r>
      <w:hyperlink r:id="rId354">
        <w:r>
          <w:rPr>
            <w:rFonts w:ascii="Times New Roman" w:cs="Times New Roman" w:eastAsia="Times New Roman" w:hAnsi="Times New Roman"/>
            <w:sz w:val="18"/>
            <w:szCs w:val="18"/>
            <w:u w:val="single" w:color="auto"/>
            <w:color w:val="0563C1"/>
          </w:rPr>
          <w:t>to Exhibit 10.5 to the Company’s Annual Report on Form 10-K (File No. 001-39536), filed with the Securities and Exchange Commission</w:t>
        </w:r>
      </w:hyperlink>
      <w:r>
        <w:rPr>
          <w:rFonts w:ascii="Times New Roman" w:cs="Times New Roman" w:eastAsia="Times New Roman" w:hAnsi="Times New Roman"/>
          <w:sz w:val="18"/>
          <w:szCs w:val="18"/>
          <w:u w:val="single" w:color="auto"/>
          <w:color w:val="0563C1"/>
        </w:rPr>
        <w:t xml:space="preserve"> </w:t>
      </w:r>
      <w:hyperlink r:id="rId354">
        <w:r>
          <w:rPr>
            <w:rFonts w:ascii="Times New Roman" w:cs="Times New Roman" w:eastAsia="Times New Roman" w:hAnsi="Times New Roman"/>
            <w:sz w:val="18"/>
            <w:szCs w:val="18"/>
            <w:u w:val="single" w:color="auto"/>
            <w:color w:val="0563C1"/>
          </w:rPr>
          <w:t>on March 2,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-297815</wp:posOffset>
            </wp:positionV>
            <wp:extent cx="63512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635127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-160655</wp:posOffset>
            </wp:positionV>
            <wp:extent cx="63658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6">
                      <a:extLst>
                        <a:ext uri="{28A0092B-C50C-407E-A947-70E740481C1C}"/>
                      </a:extLst>
                    </a:blip>
                    <a:srcRect/>
                    <a:stretch>
                      <a:fillRect/>
                    </a:stretch>
                  </pic:blipFill>
                  <pic:spPr bwMode="auto">
                    <a:xfrm>
                      <a:off x="0" y="0"/>
                      <a:ext cx="636587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-23495</wp:posOffset>
            </wp:positionV>
            <wp:extent cx="8407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ind w:left="880" w:right="200" w:hanging="841"/>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10.6+</w:t>
      </w:r>
      <w:r>
        <w:rPr>
          <w:sz w:val="20"/>
          <w:szCs w:val="20"/>
          <w:color w:val="auto"/>
        </w:rPr>
        <w:tab/>
      </w:r>
      <w:hyperlink r:id="rId358">
        <w:r>
          <w:rPr>
            <w:rFonts w:ascii="Times New Roman" w:cs="Times New Roman" w:eastAsia="Times New Roman" w:hAnsi="Times New Roman"/>
            <w:sz w:val="18"/>
            <w:szCs w:val="18"/>
            <w:u w:val="single" w:color="auto"/>
            <w:color w:val="0563C1"/>
          </w:rPr>
          <w:t>2020 Equity Incentive Plan and Forms of Stock Option Grant Notice, Stock Option Agreement and Restricted Stock Award Grant Notice</w:t>
        </w:r>
      </w:hyperlink>
      <w:r>
        <w:rPr>
          <w:rFonts w:ascii="Times New Roman" w:cs="Times New Roman" w:eastAsia="Times New Roman" w:hAnsi="Times New Roman"/>
          <w:sz w:val="18"/>
          <w:szCs w:val="18"/>
          <w:u w:val="single" w:color="auto"/>
          <w:color w:val="0563C1"/>
        </w:rPr>
        <w:t xml:space="preserve"> </w:t>
      </w:r>
      <w:hyperlink r:id="rId358">
        <w:r>
          <w:rPr>
            <w:rFonts w:ascii="Times New Roman" w:cs="Times New Roman" w:eastAsia="Times New Roman" w:hAnsi="Times New Roman"/>
            <w:sz w:val="18"/>
            <w:szCs w:val="18"/>
            <w:u w:val="single" w:color="auto"/>
            <w:color w:val="0563C1"/>
          </w:rPr>
          <w:t>(incorporated by reference to Exhibit 10.5 to the Company’s Registration Statement on Form S-1 (File No. 333-248559), filed with the</w:t>
        </w:r>
      </w:hyperlink>
      <w:r>
        <w:rPr>
          <w:rFonts w:ascii="Times New Roman" w:cs="Times New Roman" w:eastAsia="Times New Roman" w:hAnsi="Times New Roman"/>
          <w:sz w:val="18"/>
          <w:szCs w:val="18"/>
          <w:u w:val="single" w:color="auto"/>
          <w:color w:val="0563C1"/>
        </w:rPr>
        <w:t xml:space="preserve"> </w:t>
      </w:r>
      <w:hyperlink r:id="rId358">
        <w:r>
          <w:rPr>
            <w:rFonts w:ascii="Times New Roman" w:cs="Times New Roman" w:eastAsia="Times New Roman" w:hAnsi="Times New Roman"/>
            <w:sz w:val="18"/>
            <w:szCs w:val="18"/>
            <w:u w:val="single" w:color="auto"/>
            <w:color w:val="0563C1"/>
          </w:rPr>
          <w:t>Securities and Exchange Commission on September 17, 2020).</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3049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1969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19696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28841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2884170" cy="8255"/>
                    </a:xfrm>
                    <a:prstGeom prst="rect">
                      <a:avLst/>
                    </a:prstGeom>
                    <a:noFill/>
                  </pic:spPr>
                </pic:pic>
              </a:graphicData>
            </a:graphic>
          </wp:anchor>
        </w:drawing>
      </w:r>
    </w:p>
    <w:p>
      <w:pPr>
        <w:ind w:left="880" w:right="100" w:hanging="841"/>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10.7+</w:t>
      </w:r>
      <w:r>
        <w:rPr>
          <w:sz w:val="20"/>
          <w:szCs w:val="20"/>
          <w:color w:val="auto"/>
        </w:rPr>
        <w:tab/>
      </w:r>
      <w:hyperlink r:id="rId362">
        <w:r>
          <w:rPr>
            <w:rFonts w:ascii="Times New Roman" w:cs="Times New Roman" w:eastAsia="Times New Roman" w:hAnsi="Times New Roman"/>
            <w:sz w:val="18"/>
            <w:szCs w:val="18"/>
            <w:u w:val="single" w:color="auto"/>
            <w:color w:val="0563C1"/>
          </w:rPr>
          <w:t>2020 Stock Incentive Plan and Forms of Stock Option Grant Notice, Stock Option Agreement, Restricted Stock Unit Grant Notice and</w:t>
        </w:r>
      </w:hyperlink>
      <w:r>
        <w:rPr>
          <w:rFonts w:ascii="Times New Roman" w:cs="Times New Roman" w:eastAsia="Times New Roman" w:hAnsi="Times New Roman"/>
          <w:sz w:val="18"/>
          <w:szCs w:val="18"/>
          <w:u w:val="single" w:color="auto"/>
          <w:color w:val="0563C1"/>
        </w:rPr>
        <w:t xml:space="preserve"> </w:t>
      </w:r>
      <w:hyperlink r:id="rId362">
        <w:r>
          <w:rPr>
            <w:rFonts w:ascii="Times New Roman" w:cs="Times New Roman" w:eastAsia="Times New Roman" w:hAnsi="Times New Roman"/>
            <w:sz w:val="18"/>
            <w:szCs w:val="18"/>
            <w:u w:val="single" w:color="auto"/>
            <w:color w:val="0563C1"/>
          </w:rPr>
          <w:t>Restricted Stock Unit Award Agreement (incorporated by reference to Exhibit 10.6 to the Company’s Registration Statement on Form S-1</w:t>
        </w:r>
      </w:hyperlink>
      <w:r>
        <w:rPr>
          <w:rFonts w:ascii="Times New Roman" w:cs="Times New Roman" w:eastAsia="Times New Roman" w:hAnsi="Times New Roman"/>
          <w:sz w:val="18"/>
          <w:szCs w:val="18"/>
          <w:u w:val="single" w:color="auto"/>
          <w:color w:val="0563C1"/>
        </w:rPr>
        <w:t xml:space="preserve"> </w:t>
      </w:r>
      <w:hyperlink r:id="rId362">
        <w:r>
          <w:rPr>
            <w:rFonts w:ascii="Times New Roman" w:cs="Times New Roman" w:eastAsia="Times New Roman" w:hAnsi="Times New Roman"/>
            <w:sz w:val="18"/>
            <w:szCs w:val="18"/>
            <w:u w:val="single" w:color="auto"/>
            <w:color w:val="0563C1"/>
          </w:rPr>
          <w:t>(File No. 333-248559), filed with the Securities and Exchange Commission on September 17, 2020).</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1810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618109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35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635889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46107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4610735" cy="8255"/>
                    </a:xfrm>
                    <a:prstGeom prst="rect">
                      <a:avLst/>
                    </a:prstGeom>
                    <a:noFill/>
                  </pic:spPr>
                </pic:pic>
              </a:graphicData>
            </a:graphic>
          </wp:anchor>
        </w:drawing>
      </w:r>
    </w:p>
    <w:p>
      <w:pPr>
        <w:ind w:left="880" w:hanging="841"/>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10.8+</w:t>
      </w:r>
      <w:r>
        <w:rPr>
          <w:sz w:val="20"/>
          <w:szCs w:val="20"/>
          <w:color w:val="auto"/>
        </w:rPr>
        <w:tab/>
      </w:r>
      <w:hyperlink r:id="rId366">
        <w:r>
          <w:rPr>
            <w:rFonts w:ascii="Times New Roman" w:cs="Times New Roman" w:eastAsia="Times New Roman" w:hAnsi="Times New Roman"/>
            <w:sz w:val="18"/>
            <w:szCs w:val="18"/>
            <w:u w:val="single" w:color="auto"/>
            <w:color w:val="0563C1"/>
          </w:rPr>
          <w:t>2020 Employee Stock Purchase Plan (incorporated by reference to Exhibit 10.7 to the Company’s Registration Statement on Form S-1 (File</w:t>
        </w:r>
      </w:hyperlink>
      <w:r>
        <w:rPr>
          <w:rFonts w:ascii="Times New Roman" w:cs="Times New Roman" w:eastAsia="Times New Roman" w:hAnsi="Times New Roman"/>
          <w:sz w:val="18"/>
          <w:szCs w:val="18"/>
          <w:u w:val="single" w:color="auto"/>
          <w:color w:val="0563C1"/>
        </w:rPr>
        <w:t xml:space="preserve"> </w:t>
      </w:r>
      <w:hyperlink r:id="rId366">
        <w:r>
          <w:rPr>
            <w:rFonts w:ascii="Times New Roman" w:cs="Times New Roman" w:eastAsia="Times New Roman" w:hAnsi="Times New Roman"/>
            <w:sz w:val="18"/>
            <w:szCs w:val="18"/>
            <w:u w:val="single" w:color="auto"/>
            <w:color w:val="0563C1"/>
          </w:rPr>
          <w:t>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64039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640397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-24765</wp:posOffset>
            </wp:positionV>
            <wp:extent cx="43662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4366260" cy="8255"/>
                    </a:xfrm>
                    <a:prstGeom prst="rect">
                      <a:avLst/>
                    </a:prstGeom>
                    <a:noFill/>
                  </pic:spPr>
                </pic:pic>
              </a:graphicData>
            </a:graphic>
          </wp:anchor>
        </w:drawing>
      </w:r>
    </w:p>
    <w:p>
      <w:pPr>
        <w:jc w:val="right"/>
        <w:ind w:left="40" w:right="180"/>
        <w:spacing w:after="0" w:line="250" w:lineRule="auto"/>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 xml:space="preserve">10.9+     </w:t>
      </w:r>
      <w:hyperlink r:id="rId369">
        <w:r>
          <w:rPr>
            <w:rFonts w:ascii="Times New Roman" w:cs="Times New Roman" w:eastAsia="Times New Roman" w:hAnsi="Times New Roman"/>
            <w:sz w:val="18"/>
            <w:szCs w:val="18"/>
            <w:u w:val="single" w:color="auto"/>
            <w:color w:val="0563C1"/>
          </w:rPr>
          <w:t>Form of Indemnification Agreement with Executive Officers and Directors ((incorporated by reference to Exhibit 10.8 to the Company’s</w:t>
        </w:r>
      </w:hyperlink>
      <w:r>
        <w:rPr>
          <w:rFonts w:ascii="Times New Roman" w:cs="Times New Roman" w:eastAsia="Times New Roman" w:hAnsi="Times New Roman"/>
          <w:sz w:val="18"/>
          <w:szCs w:val="18"/>
          <w:color w:val="auto"/>
        </w:rPr>
        <w:t xml:space="preserve"> </w:t>
      </w:r>
      <w:hyperlink r:id="rId369">
        <w:r>
          <w:rPr>
            <w:rFonts w:ascii="Times New Roman" w:cs="Times New Roman" w:eastAsia="Times New Roman" w:hAnsi="Times New Roman"/>
            <w:sz w:val="18"/>
            <w:szCs w:val="18"/>
            <w:u w:val="single" w:color="auto"/>
            <w:color w:val="0563C1"/>
          </w:rPr>
          <w:t>Registration Statement on Form S-1 (File 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6291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29158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-24765</wp:posOffset>
            </wp:positionV>
            <wp:extent cx="628967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extLst>
                        <a:ext uri="{28A0092B-C50C-407E-A947-70E740481C1C}"/>
                      </a:extLst>
                    </a:blip>
                    <a:srcRect/>
                    <a:stretch>
                      <a:fillRect/>
                    </a:stretch>
                  </pic:blipFill>
                  <pic:spPr bwMode="auto">
                    <a:xfrm>
                      <a:off x="0" y="0"/>
                      <a:ext cx="6289675" cy="8255"/>
                    </a:xfrm>
                    <a:prstGeom prst="rect">
                      <a:avLst/>
                    </a:prstGeom>
                    <a:noFill/>
                  </pic:spPr>
                </pic:pic>
              </a:graphicData>
            </a:graphic>
          </wp:anchor>
        </w:drawing>
      </w:r>
    </w:p>
    <w:p>
      <w:pPr>
        <w:ind w:left="880" w:right="40" w:hanging="88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72">
        <w:r>
          <w:rPr>
            <w:rFonts w:ascii="Times New Roman" w:cs="Times New Roman" w:eastAsia="Times New Roman" w:hAnsi="Times New Roman"/>
            <w:sz w:val="18"/>
            <w:szCs w:val="18"/>
            <w:u w:val="single" w:color="auto"/>
            <w:color w:val="0000FF"/>
          </w:rPr>
          <w:t>Amended and Restated Non-employee director compensation policy (incorporated by reference to Exhibit 10.1 to the Company's Quarterly</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Report on Form 10-Q (File No. 001-39536), filed with the Securities and Exchange Committee on August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63976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3">
                      <a:extLst>
                        <a:ext uri="{28A0092B-C50C-407E-A947-70E740481C1C}"/>
                      </a:extLst>
                    </a:blip>
                    <a:srcRect/>
                    <a:stretch>
                      <a:fillRect/>
                    </a:stretch>
                  </pic:blipFill>
                  <pic:spPr bwMode="auto">
                    <a:xfrm>
                      <a:off x="0" y="0"/>
                      <a:ext cx="639762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-24765</wp:posOffset>
            </wp:positionV>
            <wp:extent cx="53467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4">
                      <a:extLst>
                        <a:ext uri="{28A0092B-C50C-407E-A947-70E740481C1C}"/>
                      </a:extLst>
                    </a:blip>
                    <a:srcRect/>
                    <a:stretch>
                      <a:fillRect/>
                    </a:stretch>
                  </pic:blipFill>
                  <pic:spPr bwMode="auto">
                    <a:xfrm>
                      <a:off x="0" y="0"/>
                      <a:ext cx="5346700" cy="8255"/>
                    </a:xfrm>
                    <a:prstGeom prst="rect">
                      <a:avLst/>
                    </a:prstGeom>
                    <a:noFill/>
                  </pic:spPr>
                </pic:pic>
              </a:graphicData>
            </a:graphic>
          </wp:anchor>
        </w:drawing>
      </w:r>
    </w:p>
    <w:p>
      <w:pPr>
        <w:ind w:left="880" w:right="180" w:hanging="886"/>
        <w:spacing w:after="0" w:line="265" w:lineRule="auto"/>
        <w:tabs>
          <w:tab w:leader="none" w:pos="860" w:val="left"/>
        </w:tabs>
        <w:rPr>
          <w:rFonts w:ascii="Times New Roman" w:cs="Times New Roman" w:eastAsia="Times New Roman" w:hAnsi="Times New Roman"/>
          <w:sz w:val="17"/>
          <w:szCs w:val="17"/>
          <w:u w:val="single" w:color="auto"/>
          <w:color w:val="0563C1"/>
        </w:rPr>
      </w:pPr>
      <w:r>
        <w:rPr>
          <w:rFonts w:ascii="Times New Roman" w:cs="Times New Roman" w:eastAsia="Times New Roman" w:hAnsi="Times New Roman"/>
          <w:sz w:val="18"/>
          <w:szCs w:val="18"/>
          <w:color w:val="auto"/>
        </w:rPr>
        <w:t>10.11+</w:t>
      </w:r>
      <w:r>
        <w:rPr>
          <w:sz w:val="20"/>
          <w:szCs w:val="20"/>
          <w:color w:val="auto"/>
        </w:rPr>
        <w:tab/>
      </w:r>
      <w:hyperlink r:id="rId375">
        <w:r>
          <w:rPr>
            <w:rFonts w:ascii="Times New Roman" w:cs="Times New Roman" w:eastAsia="Times New Roman" w:hAnsi="Times New Roman"/>
            <w:sz w:val="17"/>
            <w:szCs w:val="17"/>
            <w:u w:val="single" w:color="auto"/>
            <w:color w:val="0563C1"/>
          </w:rPr>
          <w:t>Change in Control Severance Plan and Form of Participation Agreement (incorporated by reference to Exhibit 10.11 to the Company’s</w:t>
        </w:r>
      </w:hyperlink>
      <w:r>
        <w:rPr>
          <w:rFonts w:ascii="Times New Roman" w:cs="Times New Roman" w:eastAsia="Times New Roman" w:hAnsi="Times New Roman"/>
          <w:sz w:val="17"/>
          <w:szCs w:val="17"/>
          <w:u w:val="single" w:color="auto"/>
          <w:color w:val="0563C1"/>
        </w:rPr>
        <w:t xml:space="preserve"> </w:t>
      </w:r>
      <w:hyperlink r:id="rId375">
        <w:r>
          <w:rPr>
            <w:rFonts w:ascii="Times New Roman" w:cs="Times New Roman" w:eastAsia="Times New Roman" w:hAnsi="Times New Roman"/>
            <w:sz w:val="17"/>
            <w:szCs w:val="17"/>
            <w:u w:val="single" w:color="auto"/>
            <w:color w:val="0563C1"/>
          </w:rPr>
          <w:t>Registration Statement on Form S-1 (File No. 333-248559), filed with the Securities and Exchange Commission on September 17,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61931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61931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-24765</wp:posOffset>
            </wp:positionV>
            <wp:extent cx="62896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6289675" cy="8255"/>
                    </a:xfrm>
                    <a:prstGeom prst="rect">
                      <a:avLst/>
                    </a:prstGeom>
                    <a:noFill/>
                  </pic:spPr>
                </pic:pic>
              </a:graphicData>
            </a:graphic>
          </wp:anchor>
        </w:drawing>
      </w:r>
    </w:p>
    <w:p>
      <w:pPr>
        <w:ind w:left="880" w:right="60" w:hanging="886"/>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10.12+</w:t>
      </w:r>
      <w:r>
        <w:rPr>
          <w:sz w:val="20"/>
          <w:szCs w:val="20"/>
          <w:color w:val="auto"/>
        </w:rPr>
        <w:tab/>
      </w:r>
      <w:hyperlink r:id="rId378">
        <w:r>
          <w:rPr>
            <w:rFonts w:ascii="Times New Roman" w:cs="Times New Roman" w:eastAsia="Times New Roman" w:hAnsi="Times New Roman"/>
            <w:sz w:val="18"/>
            <w:szCs w:val="18"/>
            <w:u w:val="single" w:color="auto"/>
            <w:color w:val="0563C1"/>
          </w:rPr>
          <w:t>Amended and Restated Offer Letter, effective as of September 24, 2020, by and between the Company and Kamran Alam (incorporated by</w:t>
        </w:r>
      </w:hyperlink>
      <w:r>
        <w:rPr>
          <w:rFonts w:ascii="Times New Roman" w:cs="Times New Roman" w:eastAsia="Times New Roman" w:hAnsi="Times New Roman"/>
          <w:sz w:val="18"/>
          <w:szCs w:val="18"/>
          <w:u w:val="single" w:color="auto"/>
          <w:color w:val="0563C1"/>
        </w:rPr>
        <w:t xml:space="preserve"> </w:t>
      </w:r>
      <w:hyperlink r:id="rId378">
        <w:r>
          <w:rPr>
            <w:rFonts w:ascii="Times New Roman" w:cs="Times New Roman" w:eastAsia="Times New Roman" w:hAnsi="Times New Roman"/>
            <w:sz w:val="18"/>
            <w:szCs w:val="18"/>
            <w:u w:val="single" w:color="auto"/>
            <w:color w:val="0563C1"/>
          </w:rPr>
          <w:t>reference to Exhibit 10.13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563C1"/>
        </w:rPr>
        <w:t xml:space="preserve"> </w:t>
      </w:r>
      <w:hyperlink r:id="rId378">
        <w:r>
          <w:rPr>
            <w:rFonts w:ascii="Times New Roman" w:cs="Times New Roman" w:eastAsia="Times New Roman" w:hAnsi="Times New Roman"/>
            <w:sz w:val="18"/>
            <w:szCs w:val="18"/>
            <w:u w:val="single" w:color="auto"/>
            <w:color w:val="0563C1"/>
          </w:rPr>
          <w:t>Commission on March 3,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3893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638937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2699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148526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ind w:left="40"/>
        <w:spacing w:after="0"/>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10.13</w:t>
      </w:r>
      <w:r>
        <w:rPr>
          <w:sz w:val="20"/>
          <w:szCs w:val="20"/>
          <w:color w:val="auto"/>
        </w:rPr>
        <w:tab/>
      </w:r>
      <w:hyperlink r:id="rId382">
        <w:r>
          <w:rPr>
            <w:rFonts w:ascii="Times New Roman" w:cs="Times New Roman" w:eastAsia="Times New Roman" w:hAnsi="Times New Roman"/>
            <w:sz w:val="18"/>
            <w:szCs w:val="18"/>
            <w:u w:val="single" w:color="auto"/>
            <w:color w:val="0563C1"/>
          </w:rPr>
          <w:t>Lease, dated December 17, 2020, by and between Patriot Park Partners II, LLC and the Company (incorporated by reference to Exhibit</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2090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3">
                      <a:extLst>
                        <a:ext uri="{28A0092B-C50C-407E-A947-70E740481C1C}"/>
                      </a:extLst>
                    </a:blip>
                    <a:srcRect/>
                    <a:stretch>
                      <a:fillRect/>
                    </a:stretch>
                  </pic:blipFill>
                  <pic:spPr bwMode="auto">
                    <a:xfrm>
                      <a:off x="0" y="0"/>
                      <a:ext cx="6209030" cy="8255"/>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563C1"/>
        </w:rPr>
      </w:pPr>
      <w:hyperlink r:id="rId382">
        <w:r>
          <w:rPr>
            <w:rFonts w:ascii="Times New Roman" w:cs="Times New Roman" w:eastAsia="Times New Roman" w:hAnsi="Times New Roman"/>
            <w:sz w:val="18"/>
            <w:szCs w:val="18"/>
            <w:u w:val="single" w:color="auto"/>
            <w:color w:val="0563C1"/>
          </w:rPr>
          <w:t>10.15 to the Company’s Annual Report on Form 10-K (File No. 001-39536), filed with the Securities and Exchange Commission on March</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40397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4">
                      <a:extLst>
                        <a:ext uri="{28A0092B-C50C-407E-A947-70E740481C1C}"/>
                      </a:extLst>
                    </a:blip>
                    <a:srcRect/>
                    <a:stretch>
                      <a:fillRect/>
                    </a:stretch>
                  </pic:blipFill>
                  <pic:spPr bwMode="auto">
                    <a:xfrm>
                      <a:off x="0" y="0"/>
                      <a:ext cx="6403975" cy="8255"/>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563C1"/>
        </w:rPr>
      </w:pPr>
      <w:hyperlink r:id="rId382">
        <w:r>
          <w:rPr>
            <w:rFonts w:ascii="Times New Roman" w:cs="Times New Roman" w:eastAsia="Times New Roman" w:hAnsi="Times New Roman"/>
            <w:sz w:val="18"/>
            <w:szCs w:val="18"/>
            <w:u w:val="single" w:color="auto"/>
            <w:color w:val="0563C1"/>
          </w:rPr>
          <w:t>3, 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40957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5">
                      <a:extLst>
                        <a:ext uri="{28A0092B-C50C-407E-A947-70E740481C1C}"/>
                      </a:extLst>
                    </a:blip>
                    <a:srcRect/>
                    <a:stretch>
                      <a:fillRect/>
                    </a:stretch>
                  </pic:blipFill>
                  <pic:spPr bwMode="auto">
                    <a:xfrm>
                      <a:off x="0" y="0"/>
                      <a:ext cx="409575" cy="8890"/>
                    </a:xfrm>
                    <a:prstGeom prst="rect">
                      <a:avLst/>
                    </a:prstGeom>
                    <a:noFill/>
                  </pic:spPr>
                </pic:pic>
              </a:graphicData>
            </a:graphic>
          </wp:anchor>
        </w:drawing>
      </w:r>
    </w:p>
    <w:p>
      <w:pPr>
        <w:ind w:left="880" w:hanging="836"/>
        <w:spacing w:after="0" w:line="250" w:lineRule="auto"/>
        <w:tabs>
          <w:tab w:leader="none" w:pos="860" w:val="left"/>
        </w:tabs>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color w:val="auto"/>
        </w:rPr>
        <w:t>10.14</w:t>
      </w:r>
      <w:r>
        <w:rPr>
          <w:sz w:val="20"/>
          <w:szCs w:val="20"/>
          <w:color w:val="auto"/>
        </w:rPr>
        <w:tab/>
      </w:r>
      <w:hyperlink r:id="rId386">
        <w:r>
          <w:rPr>
            <w:rFonts w:ascii="Times New Roman" w:cs="Times New Roman" w:eastAsia="Times New Roman" w:hAnsi="Times New Roman"/>
            <w:sz w:val="18"/>
            <w:szCs w:val="18"/>
            <w:u w:val="single" w:color="auto"/>
            <w:color w:val="0563C1"/>
          </w:rPr>
          <w:t>Lease Agreement, dated January 8, 2021, by and between Pegasus Park, LLC and the Company (incorporated by reference to Exhibit 10.1</w:t>
        </w:r>
      </w:hyperlink>
      <w:r>
        <w:rPr>
          <w:rFonts w:ascii="Times New Roman" w:cs="Times New Roman" w:eastAsia="Times New Roman" w:hAnsi="Times New Roman"/>
          <w:sz w:val="18"/>
          <w:szCs w:val="18"/>
          <w:u w:val="single" w:color="auto"/>
          <w:color w:val="0563C1"/>
        </w:rPr>
        <w:t xml:space="preserve"> </w:t>
      </w:r>
      <w:hyperlink r:id="rId386">
        <w:r>
          <w:rPr>
            <w:rFonts w:ascii="Times New Roman" w:cs="Times New Roman" w:eastAsia="Times New Roman" w:hAnsi="Times New Roman"/>
            <w:sz w:val="18"/>
            <w:szCs w:val="18"/>
            <w:u w:val="single" w:color="auto"/>
            <w:color w:val="0563C1"/>
          </w:rPr>
          <w:t>to the Company’s Quarterly Report on Form 10-Q (File No. 001-39536), filed with the Securities and Exchange Commission on August 16,</w:t>
        </w:r>
      </w:hyperlink>
      <w:r>
        <w:rPr>
          <w:rFonts w:ascii="Times New Roman" w:cs="Times New Roman" w:eastAsia="Times New Roman" w:hAnsi="Times New Roman"/>
          <w:sz w:val="18"/>
          <w:szCs w:val="18"/>
          <w:u w:val="single" w:color="auto"/>
          <w:color w:val="0563C1"/>
        </w:rPr>
        <w:t xml:space="preserve"> </w:t>
      </w:r>
      <w:hyperlink r:id="rId386">
        <w:r>
          <w:rPr>
            <w:rFonts w:ascii="Times New Roman" w:cs="Times New Roman" w:eastAsia="Times New Roman" w:hAnsi="Times New Roman"/>
            <w:sz w:val="18"/>
            <w:szCs w:val="18"/>
            <w:u w:val="single" w:color="auto"/>
            <w:color w:val="0563C1"/>
          </w:rPr>
          <w:t>2021).</w:t>
        </w:r>
      </w:hyperlink>
    </w:p>
    <w:p>
      <w:pPr>
        <w:spacing w:after="0" w:line="20" w:lineRule="exact"/>
        <w:rPr>
          <w:rFonts w:ascii="Times New Roman" w:cs="Times New Roman" w:eastAsia="Times New Roman" w:hAnsi="Times New Roman"/>
          <w:sz w:val="18"/>
          <w:szCs w:val="18"/>
          <w:u w:val="single" w:color="auto"/>
          <w:color w:val="0563C1"/>
        </w:rPr>
      </w:pPr>
      <w:r>
        <w:rPr>
          <w:rFonts w:ascii="Times New Roman" w:cs="Times New Roman" w:eastAsia="Times New Roman" w:hAnsi="Times New Roman"/>
          <w:sz w:val="18"/>
          <w:szCs w:val="18"/>
          <w:u w:val="single" w:color="auto"/>
          <w:color w:val="0563C1"/>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35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635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4039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640397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2952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ind w:left="880" w:right="180" w:hanging="83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90">
        <w:r>
          <w:rPr>
            <w:rFonts w:ascii="Times New Roman" w:cs="Times New Roman" w:eastAsia="Times New Roman" w:hAnsi="Times New Roman"/>
            <w:sz w:val="18"/>
            <w:szCs w:val="18"/>
            <w:u w:val="single" w:color="auto"/>
            <w:color w:val="0000FF"/>
          </w:rPr>
          <w:t>First Amendment to Lease Agreement, dated December 14, 2021, by and between Pegasus Park, LLC and the Company (incorporated by</w:t>
        </w:r>
      </w:hyperlink>
      <w:r>
        <w:rPr>
          <w:rFonts w:ascii="Times New Roman" w:cs="Times New Roman" w:eastAsia="Times New Roman" w:hAnsi="Times New Roman"/>
          <w:sz w:val="18"/>
          <w:szCs w:val="18"/>
          <w:u w:val="single" w:color="auto"/>
          <w:color w:val="0000FF"/>
        </w:rPr>
        <w:t xml:space="preserve"> </w:t>
      </w:r>
      <w:hyperlink r:id="rId390">
        <w:r>
          <w:rPr>
            <w:rFonts w:ascii="Times New Roman" w:cs="Times New Roman" w:eastAsia="Times New Roman" w:hAnsi="Times New Roman"/>
            <w:sz w:val="18"/>
            <w:szCs w:val="18"/>
            <w:u w:val="single" w:color="auto"/>
            <w:color w:val="0000FF"/>
          </w:rPr>
          <w:t>reference to Exhibit 10.18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000FF"/>
        </w:rPr>
        <w:t xml:space="preserve"> </w:t>
      </w:r>
      <w:hyperlink r:id="rId390">
        <w:r>
          <w:rPr>
            <w:rFonts w:ascii="Times New Roman" w:cs="Times New Roman" w:eastAsia="Times New Roman" w:hAnsi="Times New Roman"/>
            <w:sz w:val="18"/>
            <w:szCs w:val="18"/>
            <w:u w:val="single" w:color="auto"/>
            <w:color w:val="0000FF"/>
          </w:rPr>
          <w:t>Commission on March 31,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3138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631380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2522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625221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15424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1542415" cy="8255"/>
                    </a:xfrm>
                    <a:prstGeom prst="rect">
                      <a:avLst/>
                    </a:prstGeom>
                    <a:noFill/>
                  </pic:spPr>
                </pic:pic>
              </a:graphicData>
            </a:graphic>
          </wp:anchor>
        </w:drawing>
      </w:r>
    </w:p>
    <w:p>
      <w:pPr>
        <w:ind w:left="880" w:right="460" w:hanging="83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94">
        <w:r>
          <w:rPr>
            <w:rFonts w:ascii="Times New Roman" w:cs="Times New Roman" w:eastAsia="Times New Roman" w:hAnsi="Times New Roman"/>
            <w:sz w:val="18"/>
            <w:szCs w:val="18"/>
            <w:u w:val="single" w:color="auto"/>
            <w:color w:val="0000FF"/>
          </w:rPr>
          <w:t>Sales Agreement, dated as of October 5, 2021, by and among the Registrant, SVB Leerink LLC and Wells Fargo Securities, LLC</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(incorporated by reference to Exhibit 1.2 to the Company’s Registration Statement on Form S-3 (File No. 333-260069), filed with the</w:t>
        </w:r>
      </w:hyperlink>
      <w:r>
        <w:rPr>
          <w:rFonts w:ascii="Times New Roman" w:cs="Times New Roman" w:eastAsia="Times New Roman" w:hAnsi="Times New Roman"/>
          <w:sz w:val="18"/>
          <w:szCs w:val="18"/>
          <w:u w:val="single" w:color="auto"/>
          <w:color w:val="0000FF"/>
        </w:rPr>
        <w:t xml:space="preserve"> </w:t>
      </w:r>
      <w:hyperlink r:id="rId394">
        <w:r>
          <w:rPr>
            <w:rFonts w:ascii="Times New Roman" w:cs="Times New Roman" w:eastAsia="Times New Roman" w:hAnsi="Times New Roman"/>
            <w:sz w:val="18"/>
            <w:szCs w:val="18"/>
            <w:u w:val="single" w:color="auto"/>
            <w:color w:val="0000FF"/>
          </w:rPr>
          <w:t>Securities and Exchange Commission on October 5,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59397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593979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1398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613981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27063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2706370" cy="8255"/>
                    </a:xfrm>
                    <a:prstGeom prst="rect">
                      <a:avLst/>
                    </a:prstGeom>
                    <a:noFill/>
                  </pic:spPr>
                </pic:pic>
              </a:graphicData>
            </a:graphic>
          </wp:anchor>
        </w:drawing>
      </w:r>
    </w:p>
    <w:p>
      <w:pPr>
        <w:jc w:val="both"/>
        <w:ind w:left="880" w:right="220" w:hanging="83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98">
        <w:r>
          <w:rPr>
            <w:rFonts w:ascii="Times New Roman" w:cs="Times New Roman" w:eastAsia="Times New Roman" w:hAnsi="Times New Roman"/>
            <w:sz w:val="18"/>
            <w:szCs w:val="18"/>
            <w:u w:val="single" w:color="auto"/>
            <w:color w:val="0000FF"/>
          </w:rPr>
          <w:t>Amendment No. 1 to Sales Agreement, dated March 30, 2022, by and among the Company, Goldman Sachs &amp; Co. LLC, SVB Securities</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LLC and Wells Fargo Securities, LLC (incorporated by reference to Exhibit 10.19 to the Company's Annual Report on Form 10-K (File</w:t>
        </w:r>
      </w:hyperlink>
      <w:r>
        <w:rPr>
          <w:rFonts w:ascii="Times New Roman" w:cs="Times New Roman" w:eastAsia="Times New Roman" w:hAnsi="Times New Roman"/>
          <w:sz w:val="18"/>
          <w:szCs w:val="18"/>
          <w:u w:val="single" w:color="auto"/>
          <w:color w:val="0000FF"/>
        </w:rPr>
        <w:t xml:space="preserve"> </w:t>
      </w:r>
      <w:hyperlink r:id="rId398">
        <w:r>
          <w:rPr>
            <w:rFonts w:ascii="Times New Roman" w:cs="Times New Roman" w:eastAsia="Times New Roman" w:hAnsi="Times New Roman"/>
            <w:sz w:val="18"/>
            <w:szCs w:val="18"/>
            <w:u w:val="single" w:color="auto"/>
            <w:color w:val="0000FF"/>
          </w:rPr>
          <w:t>No. 001-39536), filed with the Securities and Exchange Commission on March 31,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2922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2426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624268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411861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4118610" cy="8255"/>
                    </a:xfrm>
                    <a:prstGeom prst="rect">
                      <a:avLst/>
                    </a:prstGeom>
                    <a:noFill/>
                  </pic:spPr>
                </pic:pic>
              </a:graphicData>
            </a:graphic>
          </wp:anchor>
        </w:drawing>
      </w:r>
    </w:p>
    <w:p>
      <w:pPr>
        <w:ind w:left="880" w:right="100" w:hanging="83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402">
        <w:r>
          <w:rPr>
            <w:rFonts w:ascii="Times New Roman" w:cs="Times New Roman" w:eastAsia="Times New Roman" w:hAnsi="Times New Roman"/>
            <w:sz w:val="18"/>
            <w:szCs w:val="18"/>
            <w:u w:val="single" w:color="auto"/>
            <w:color w:val="0000FF"/>
          </w:rPr>
          <w:t>Option Agreement, by and between the Company and Astellas, dated October 21, 2022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402">
        <w:r>
          <w:rPr>
            <w:rFonts w:ascii="Times New Roman" w:cs="Times New Roman" w:eastAsia="Times New Roman" w:hAnsi="Times New Roman"/>
            <w:sz w:val="18"/>
            <w:szCs w:val="18"/>
            <w:u w:val="single" w:color="auto"/>
            <w:color w:val="0000FF"/>
          </w:rPr>
          <w:t>Company’s Current Report on Form 8-K (File No. 001-39536), filed with the Securities and Exchange Commission on October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-161925</wp:posOffset>
            </wp:positionV>
            <wp:extent cx="62534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625348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-24765</wp:posOffset>
            </wp:positionV>
            <wp:extent cx="63309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6330950" cy="8255"/>
                    </a:xfrm>
                    <a:prstGeom prst="rect">
                      <a:avLst/>
                    </a:prstGeom>
                    <a:noFill/>
                  </pic:spPr>
                </pic:pic>
              </a:graphicData>
            </a:graphic>
          </wp:anchor>
        </w:drawing>
      </w:r>
    </w:p>
    <w:p>
      <w:pPr>
        <w:ind w:left="40"/>
        <w:spacing w:after="0"/>
        <w:tabs>
          <w:tab w:leader="none" w:pos="8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405">
        <w:r>
          <w:rPr>
            <w:rFonts w:ascii="Times New Roman" w:cs="Times New Roman" w:eastAsia="Times New Roman" w:hAnsi="Times New Roman"/>
            <w:sz w:val="17"/>
            <w:szCs w:val="17"/>
            <w:u w:val="single" w:color="auto"/>
            <w:color w:val="0000FF"/>
          </w:rPr>
          <w:t>Securities Purchase Agreement, by and between the Company and Astellas, dated October 21, 2022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3138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6313805" cy="8255"/>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405">
        <w:r>
          <w:rPr>
            <w:rFonts w:ascii="Times New Roman" w:cs="Times New Roman" w:eastAsia="Times New Roman" w:hAnsi="Times New Roman"/>
            <w:sz w:val="18"/>
            <w:szCs w:val="18"/>
            <w:u w:val="single" w:color="auto"/>
            <w:color w:val="0000FF"/>
          </w:rPr>
          <w:t>10.2 to the Company’s Current Report on Form 8-K (File No. 001-39536), filed with the Securities and Exchange Commission on October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3779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405">
        <w:r>
          <w:rPr>
            <w:rFonts w:ascii="Times New Roman" w:cs="Times New Roman" w:eastAsia="Times New Roman" w:hAnsi="Times New Roman"/>
            <w:sz w:val="18"/>
            <w:szCs w:val="18"/>
            <w:u w:val="single" w:color="auto"/>
            <w:color w:val="0000FF"/>
          </w:rPr>
          <w:t>31,2022).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4381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ind w:left="40"/>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409">
        <w:r>
          <w:rPr>
            <w:rFonts w:ascii="Times New Roman" w:cs="Times New Roman" w:eastAsia="Times New Roman" w:hAnsi="Times New Roman"/>
            <w:sz w:val="18"/>
            <w:szCs w:val="18"/>
            <w:u w:val="single" w:color="auto"/>
            <w:color w:val="0000FF"/>
          </w:rPr>
          <w:t>Registration Rights Agreement, by and between the Company and Astellas, dated October 21, 2022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3074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6307455" cy="889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409">
        <w:r>
          <w:rPr>
            <w:rFonts w:ascii="Times New Roman" w:cs="Times New Roman" w:eastAsia="Times New Roman" w:hAnsi="Times New Roman"/>
            <w:sz w:val="18"/>
            <w:szCs w:val="18"/>
            <w:u w:val="single" w:color="auto"/>
            <w:color w:val="0000FF"/>
          </w:rPr>
          <w:t>10.3 to the Company’s Current Report on Form 8-K (File No. 001-39536), filed with the Securities and Exchange Commission on October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37794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409">
        <w:r>
          <w:rPr>
            <w:rFonts w:ascii="Times New Roman" w:cs="Times New Roman" w:eastAsia="Times New Roman" w:hAnsi="Times New Roman"/>
            <w:sz w:val="18"/>
            <w:szCs w:val="18"/>
            <w:u w:val="single" w:color="auto"/>
            <w:color w:val="0000FF"/>
          </w:rPr>
          <w:t>31,2022).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43815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jc w:val="both"/>
        <w:ind w:left="880" w:right="240" w:hanging="88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413">
        <w:r>
          <w:rPr>
            <w:rFonts w:ascii="Times New Roman" w:cs="Times New Roman" w:eastAsia="Times New Roman" w:hAnsi="Times New Roman"/>
            <w:sz w:val="18"/>
            <w:szCs w:val="18"/>
            <w:u w:val="single" w:color="auto"/>
            <w:color w:val="0000FF"/>
          </w:rPr>
          <w:t>Executive Employment Agreement, effective as of December 30, 2022, by and between the Company and Sean Nolan (incorporated by</w:t>
        </w:r>
      </w:hyperlink>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reference to Exhibit 10.23 to the Company’s Annual Report on Form 10-K (File No. 001-39536), filed with the Securities and Exchange</w:t>
        </w:r>
      </w:hyperlink>
      <w:r>
        <w:rPr>
          <w:rFonts w:ascii="Times New Roman" w:cs="Times New Roman" w:eastAsia="Times New Roman" w:hAnsi="Times New Roman"/>
          <w:sz w:val="18"/>
          <w:szCs w:val="18"/>
          <w:u w:val="single" w:color="auto"/>
          <w:color w:val="0000FF"/>
        </w:rPr>
        <w:t xml:space="preserve"> </w:t>
      </w:r>
      <w:hyperlink r:id="rId413">
        <w:r>
          <w:rPr>
            <w:rFonts w:ascii="Times New Roman" w:cs="Times New Roman" w:eastAsia="Times New Roman" w:hAnsi="Times New Roman"/>
            <w:sz w:val="18"/>
            <w:szCs w:val="18"/>
            <w:u w:val="single" w:color="auto"/>
            <w:color w:val="0000FF"/>
          </w:rPr>
          <w:t>Commission on March 28,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62249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6224905"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2699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6269990"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15043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ind w:left="880" w:right="100" w:hanging="886"/>
        <w:spacing w:after="0" w:line="250" w:lineRule="auto"/>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417">
        <w:r>
          <w:rPr>
            <w:rFonts w:ascii="Times New Roman" w:cs="Times New Roman" w:eastAsia="Times New Roman" w:hAnsi="Times New Roman"/>
            <w:sz w:val="18"/>
            <w:szCs w:val="18"/>
            <w:u w:val="single" w:color="auto"/>
            <w:color w:val="0000FF"/>
          </w:rPr>
          <w:t>Executive Employment Agreement, effective as of December 30, 2022, by and between the Company and Sukumar Nagendran</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(incorporated by reference to Exhibit 10.24 to the Company's Annual Report on Form 10-K (File No. 001-39536), filed with the Securities</w:t>
        </w:r>
      </w:hyperlink>
      <w:r>
        <w:rPr>
          <w:rFonts w:ascii="Times New Roman" w:cs="Times New Roman" w:eastAsia="Times New Roman" w:hAnsi="Times New Roman"/>
          <w:sz w:val="18"/>
          <w:szCs w:val="18"/>
          <w:u w:val="single" w:color="auto"/>
          <w:color w:val="0000FF"/>
        </w:rPr>
        <w:t xml:space="preserve"> </w:t>
      </w:r>
      <w:hyperlink r:id="rId417">
        <w:r>
          <w:rPr>
            <w:rFonts w:ascii="Times New Roman" w:cs="Times New Roman" w:eastAsia="Times New Roman" w:hAnsi="Times New Roman"/>
            <w:sz w:val="18"/>
            <w:szCs w:val="18"/>
            <w:u w:val="single" w:color="auto"/>
            <w:color w:val="0000FF"/>
          </w:rPr>
          <w:t>and Exchange Commission on March 28,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-298450</wp:posOffset>
            </wp:positionV>
            <wp:extent cx="5850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585025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-161290</wp:posOffset>
            </wp:positionV>
            <wp:extent cx="636651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636651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-24130</wp:posOffset>
            </wp:positionV>
            <wp:extent cx="21767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2176780" cy="8890"/>
                    </a:xfrm>
                    <a:prstGeom prst="rect">
                      <a:avLst/>
                    </a:prstGeom>
                    <a:noFill/>
                  </pic:spPr>
                </pic:pic>
              </a:graphicData>
            </a:graphic>
          </wp:anchor>
        </w:drawing>
      </w:r>
    </w:p>
    <w:p>
      <w:pPr>
        <w:spacing w:after="0"/>
        <w:tabs>
          <w:tab w:leader="none" w:pos="8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421">
        <w:r>
          <w:rPr>
            <w:rFonts w:ascii="Times New Roman" w:cs="Times New Roman" w:eastAsia="Times New Roman" w:hAnsi="Times New Roman"/>
            <w:sz w:val="18"/>
            <w:szCs w:val="18"/>
            <w:u w:val="single" w:color="auto"/>
            <w:color w:val="0000FF"/>
          </w:rPr>
          <w:t>Taysha Gene Therapies, Inc. 2023 Inducement Plan (incorporated by reference to Exhibit 10.1 to the Company’s Current Report on Form</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63233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2">
                      <a:extLst>
                        <a:ext uri="{28A0092B-C50C-407E-A947-70E740481C1C}"/>
                      </a:extLst>
                    </a:blip>
                    <a:srcRect/>
                    <a:stretch>
                      <a:fillRect/>
                    </a:stretch>
                  </pic:blipFill>
                  <pic:spPr bwMode="auto">
                    <a:xfrm>
                      <a:off x="0" y="0"/>
                      <a:ext cx="6323330" cy="8890"/>
                    </a:xfrm>
                    <a:prstGeom prst="rect">
                      <a:avLst/>
                    </a:prstGeom>
                    <a:noFill/>
                  </pic:spPr>
                </pic:pic>
              </a:graphicData>
            </a:graphic>
          </wp:anchor>
        </w:drawing>
      </w:r>
    </w:p>
    <w:p>
      <w:pPr>
        <w:ind w:left="880"/>
        <w:spacing w:after="0"/>
        <w:rPr>
          <w:rFonts w:ascii="Times New Roman" w:cs="Times New Roman" w:eastAsia="Times New Roman" w:hAnsi="Times New Roman"/>
          <w:sz w:val="18"/>
          <w:szCs w:val="18"/>
          <w:u w:val="single" w:color="auto"/>
          <w:color w:val="0000FF"/>
        </w:rPr>
      </w:pPr>
      <w:hyperlink r:id="rId421">
        <w:r>
          <w:rPr>
            <w:rFonts w:ascii="Times New Roman" w:cs="Times New Roman" w:eastAsia="Times New Roman" w:hAnsi="Times New Roman"/>
            <w:sz w:val="18"/>
            <w:szCs w:val="18"/>
            <w:u w:val="single" w:color="auto"/>
            <w:color w:val="0000FF"/>
          </w:rPr>
          <w:t>8-K (File No. 001-39536) filed with the Securities and Exchange Commission on December 20, 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560070</wp:posOffset>
            </wp:positionH>
            <wp:positionV relativeFrom="paragraph">
              <wp:posOffset>-19050</wp:posOffset>
            </wp:positionV>
            <wp:extent cx="47123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3">
                      <a:extLst>
                        <a:ext uri="{28A0092B-C50C-407E-A947-70E740481C1C}"/>
                      </a:extLst>
                    </a:blip>
                    <a:srcRect/>
                    <a:stretch>
                      <a:fillRect/>
                    </a:stretch>
                  </pic:blipFill>
                  <pic:spPr bwMode="auto">
                    <a:xfrm>
                      <a:off x="0" y="0"/>
                      <a:ext cx="471233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FF"/>
        </w:rPr>
      </w:pPr>
    </w:p>
    <w:p>
      <w:pPr>
        <w:spacing w:after="0" w:line="203" w:lineRule="exact"/>
        <w:rPr>
          <w:rFonts w:ascii="Times New Roman" w:cs="Times New Roman" w:eastAsia="Times New Roman" w:hAnsi="Times New Roman"/>
          <w:sz w:val="18"/>
          <w:szCs w:val="18"/>
          <w:u w:val="single" w:color="auto"/>
          <w:color w:val="0000FF"/>
        </w:rPr>
      </w:pPr>
    </w:p>
    <w:p>
      <w:pPr>
        <w:jc w:val="center"/>
        <w:ind w:right="2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580" w:top="985"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10.24+</w:t>
            </w:r>
          </w:p>
        </w:tc>
        <w:tc>
          <w:tcPr>
            <w:tcW w:w="100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Form of RSU Award Grant Notice and RSU Award Agreement under the 2023 Inducement Plan (incorporated by reference to Exhibit 10.2</w:t>
              </w:r>
            </w:hyperlink>
          </w:p>
        </w:tc>
      </w:tr>
      <w:tr>
        <w:trPr>
          <w:trHeight w:val="196"/>
        </w:trPr>
        <w:tc>
          <w:tcPr>
            <w:tcW w:w="1140" w:type="dxa"/>
            <w:vAlign w:val="bottom"/>
          </w:tcPr>
          <w:p>
            <w:pPr>
              <w:spacing w:after="0"/>
              <w:rPr>
                <w:sz w:val="17"/>
                <w:szCs w:val="17"/>
                <w:color w:val="auto"/>
              </w:rPr>
            </w:pPr>
          </w:p>
        </w:tc>
        <w:tc>
          <w:tcPr>
            <w:tcW w:w="100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25">
              <w:r>
                <w:rPr>
                  <w:rFonts w:ascii="Times New Roman" w:cs="Times New Roman" w:eastAsia="Times New Roman" w:hAnsi="Times New Roman"/>
                  <w:sz w:val="18"/>
                  <w:szCs w:val="18"/>
                  <w:color w:val="0000FF"/>
                </w:rPr>
                <w:t>to the Company’s Current Report on Form 8-K (File No. 001-39536) filed with the Securities and Exchange Commission on December 20,</w:t>
              </w:r>
            </w:hyperlink>
          </w:p>
        </w:tc>
      </w:tr>
      <w:tr>
        <w:trPr>
          <w:trHeight w:val="196"/>
        </w:trPr>
        <w:tc>
          <w:tcPr>
            <w:tcW w:w="114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425">
              <w:r>
                <w:rPr>
                  <w:rFonts w:ascii="Times New Roman" w:cs="Times New Roman" w:eastAsia="Times New Roman" w:hAnsi="Times New Roman"/>
                  <w:sz w:val="18"/>
                  <w:szCs w:val="18"/>
                  <w:color w:val="0000FF"/>
                  <w:w w:val="94"/>
                </w:rPr>
                <w:t>2023).</w:t>
              </w:r>
            </w:hyperlink>
          </w:p>
        </w:tc>
        <w:tc>
          <w:tcPr>
            <w:tcW w:w="20" w:type="dxa"/>
            <w:vAlign w:val="bottom"/>
            <w:tcBorders>
              <w:bottom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8"/>
              </w:rPr>
              <w:t>10.25+</w:t>
            </w:r>
          </w:p>
        </w:tc>
        <w:tc>
          <w:tcPr>
            <w:tcW w:w="98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Form of Stock Option Grant Notice and Stock Option Agreement under the 2023 Inducement Plan (incorporated by reference to Exhibit</w:t>
              </w:r>
            </w:hyperlink>
          </w:p>
        </w:tc>
        <w:tc>
          <w:tcPr>
            <w:tcW w:w="22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8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Current Report on Form 8-K (File No. 001-39536) filed with the Securities and Exchange Commission on</w:t>
              </w:r>
            </w:hyperlink>
          </w:p>
        </w:tc>
        <w:tc>
          <w:tcPr>
            <w:tcW w:w="700" w:type="dxa"/>
            <w:vAlign w:val="bottom"/>
            <w:gridSpan w:val="1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33"/>
          </w:tcPr>
          <w:p>
            <w:pPr>
              <w:spacing w:after="0" w:line="196" w:lineRule="exact"/>
              <w:rPr>
                <w:rFonts w:ascii="Times New Roman" w:cs="Times New Roman" w:eastAsia="Times New Roman" w:hAnsi="Times New Roman"/>
                <w:sz w:val="18"/>
                <w:szCs w:val="18"/>
                <w:color w:val="0000FF"/>
              </w:rPr>
            </w:pPr>
            <w:hyperlink r:id="rId426">
              <w:r>
                <w:rPr>
                  <w:rFonts w:ascii="Times New Roman" w:cs="Times New Roman" w:eastAsia="Times New Roman" w:hAnsi="Times New Roman"/>
                  <w:sz w:val="18"/>
                  <w:szCs w:val="18"/>
                  <w:color w:val="0000FF"/>
                </w:rPr>
                <w:t>December 20, 2023).</w:t>
              </w:r>
            </w:hyperlink>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98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27">
              <w:r>
                <w:rPr>
                  <w:rFonts w:ascii="Times New Roman" w:cs="Times New Roman" w:eastAsia="Times New Roman" w:hAnsi="Times New Roman"/>
                  <w:sz w:val="18"/>
                  <w:szCs w:val="18"/>
                  <w:color w:val="0000FF"/>
                </w:rPr>
                <w:t>Amendment to 2023 Inducement Plan (incorporated by reference to Exhibit 99.6 to the Company’s Registration Statement on Form S-8</w:t>
              </w:r>
            </w:hyperlink>
          </w:p>
        </w:tc>
        <w:tc>
          <w:tcPr>
            <w:tcW w:w="26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69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27">
              <w:r>
                <w:rPr>
                  <w:rFonts w:ascii="Times New Roman" w:cs="Times New Roman" w:eastAsia="Times New Roman" w:hAnsi="Times New Roman"/>
                  <w:sz w:val="18"/>
                  <w:szCs w:val="18"/>
                  <w:color w:val="0000FF"/>
                  <w:w w:val="99"/>
                </w:rPr>
                <w:t>(File No. 333-284167) filed with the Securities and Exchange Commission on January 7, 2025).</w:t>
              </w:r>
            </w:hyperlink>
          </w:p>
        </w:tc>
        <w:tc>
          <w:tcPr>
            <w:tcW w:w="20" w:type="dxa"/>
            <w:vAlign w:val="bottom"/>
            <w:tcBorders>
              <w:bottom w:val="single" w:sz="8" w:color="0000EE"/>
            </w:tcBorders>
          </w:tcPr>
          <w:p>
            <w:pPr>
              <w:spacing w:after="0"/>
              <w:rPr>
                <w:sz w:val="17"/>
                <w:szCs w:val="17"/>
                <w:color w:val="auto"/>
              </w:rPr>
            </w:pPr>
          </w:p>
        </w:tc>
        <w:tc>
          <w:tcPr>
            <w:tcW w:w="3140" w:type="dxa"/>
            <w:vAlign w:val="bottom"/>
            <w:gridSpan w:val="19"/>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99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Loan and Security Agreement, dated August 7, 2025, by and among the Company, the lenders from time to time party thereto as lenders,</w:t>
              </w:r>
            </w:hyperlink>
          </w:p>
        </w:tc>
        <w:tc>
          <w:tcPr>
            <w:tcW w:w="18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28">
              <w:r>
                <w:rPr>
                  <w:rFonts w:ascii="Times New Roman" w:cs="Times New Roman" w:eastAsia="Times New Roman" w:hAnsi="Times New Roman"/>
                  <w:sz w:val="18"/>
                  <w:szCs w:val="18"/>
                  <w:color w:val="0000FF"/>
                </w:rPr>
                <w:t>and Trinity Capital Inc. as administrative agent and collateral agent (incorporated by reference to Exhibit 10.1 to the Company’s Quarterly</w:t>
              </w:r>
            </w:hyperlink>
          </w:p>
        </w:tc>
        <w:tc>
          <w:tcPr>
            <w:tcW w:w="6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6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28">
              <w:r>
                <w:rPr>
                  <w:rFonts w:ascii="Times New Roman" w:cs="Times New Roman" w:eastAsia="Times New Roman" w:hAnsi="Times New Roman"/>
                  <w:sz w:val="18"/>
                  <w:szCs w:val="18"/>
                  <w:color w:val="0000FF"/>
                  <w:w w:val="99"/>
                </w:rPr>
                <w:t>Report on Form 10-Q (File No. 001-39536) filed with the Securities and Exchange Commission on November 4, 2025).</w:t>
              </w:r>
            </w:hyperlink>
          </w:p>
        </w:tc>
        <w:tc>
          <w:tcPr>
            <w:tcW w:w="20" w:type="dxa"/>
            <w:vAlign w:val="bottom"/>
            <w:tcBorders>
              <w:bottom w:val="single" w:sz="8" w:color="0000EE"/>
            </w:tcBorders>
          </w:tcPr>
          <w:p>
            <w:pPr>
              <w:spacing w:after="0"/>
              <w:rPr>
                <w:sz w:val="17"/>
                <w:szCs w:val="17"/>
                <w:color w:val="auto"/>
              </w:rPr>
            </w:pPr>
          </w:p>
        </w:tc>
        <w:tc>
          <w:tcPr>
            <w:tcW w:w="1420" w:type="dxa"/>
            <w:vAlign w:val="bottom"/>
            <w:gridSpan w:val="15"/>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00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Amendment No. 2 to Sales Agreement, dated November 4, 2025, by and between the Company and Leerink Partners LLC (incorporated by</w:t>
              </w:r>
            </w:hyperlink>
          </w:p>
        </w:tc>
      </w:tr>
      <w:tr>
        <w:trPr>
          <w:trHeight w:val="196"/>
        </w:trPr>
        <w:tc>
          <w:tcPr>
            <w:tcW w:w="1140" w:type="dxa"/>
            <w:vAlign w:val="bottom"/>
          </w:tcPr>
          <w:p>
            <w:pPr>
              <w:spacing w:after="0"/>
              <w:rPr>
                <w:sz w:val="17"/>
                <w:szCs w:val="17"/>
                <w:color w:val="auto"/>
              </w:rPr>
            </w:pPr>
          </w:p>
        </w:tc>
        <w:tc>
          <w:tcPr>
            <w:tcW w:w="96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29">
              <w:r>
                <w:rPr>
                  <w:rFonts w:ascii="Times New Roman" w:cs="Times New Roman" w:eastAsia="Times New Roman" w:hAnsi="Times New Roman"/>
                  <w:sz w:val="18"/>
                  <w:szCs w:val="18"/>
                  <w:color w:val="0000FF"/>
                </w:rPr>
                <w:t>reference to Exhibit 1.1 to the Company's Current Report on Form 8-K (File No. 001-39536), filed with the Securities and Exchange</w:t>
              </w:r>
            </w:hyperlink>
          </w:p>
        </w:tc>
        <w:tc>
          <w:tcPr>
            <w:tcW w:w="48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429">
              <w:r>
                <w:rPr>
                  <w:rFonts w:ascii="Times New Roman" w:cs="Times New Roman" w:eastAsia="Times New Roman" w:hAnsi="Times New Roman"/>
                  <w:sz w:val="18"/>
                  <w:szCs w:val="18"/>
                  <w:color w:val="0000FF"/>
                  <w:w w:val="99"/>
                </w:rPr>
                <w:t>Commission on November 4, 2025).</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25"/>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96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Amendment No. 3 to Sales Agreement, dated November 4, 2025, by and among the Company, Goldman Sachs &amp; Co. LLC and Wells</w:t>
              </w:r>
            </w:hyperlink>
          </w:p>
        </w:tc>
        <w:tc>
          <w:tcPr>
            <w:tcW w:w="400" w:type="dxa"/>
            <w:vAlign w:val="bottom"/>
            <w:gridSpan w:val="8"/>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30">
              <w:r>
                <w:rPr>
                  <w:rFonts w:ascii="Times New Roman" w:cs="Times New Roman" w:eastAsia="Times New Roman" w:hAnsi="Times New Roman"/>
                  <w:sz w:val="18"/>
                  <w:szCs w:val="18"/>
                  <w:color w:val="0000FF"/>
                </w:rPr>
                <w:t>Fargo Securities, LLC (incorporated by reference to Exhibit 1.2 to the Company's Current Report on Form 8-K (File No. 001-39536), filed</w:t>
              </w:r>
            </w:hyperlink>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0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430">
              <w:r>
                <w:rPr>
                  <w:rFonts w:ascii="Times New Roman" w:cs="Times New Roman" w:eastAsia="Times New Roman" w:hAnsi="Times New Roman"/>
                  <w:sz w:val="18"/>
                  <w:szCs w:val="18"/>
                  <w:color w:val="0000FF"/>
                  <w:w w:val="99"/>
                </w:rPr>
                <w:t>with the Securities and Exchange Commission on November 4, 2025).</w:t>
              </w:r>
            </w:hyperlink>
          </w:p>
        </w:tc>
        <w:tc>
          <w:tcPr>
            <w:tcW w:w="20" w:type="dxa"/>
            <w:vAlign w:val="bottom"/>
            <w:tcBorders>
              <w:bottom w:val="single" w:sz="8" w:color="0000EE"/>
            </w:tcBorders>
          </w:tcPr>
          <w:p>
            <w:pPr>
              <w:spacing w:after="0"/>
              <w:rPr>
                <w:sz w:val="17"/>
                <w:szCs w:val="17"/>
                <w:color w:val="auto"/>
              </w:rPr>
            </w:pPr>
          </w:p>
        </w:tc>
        <w:tc>
          <w:tcPr>
            <w:tcW w:w="4980" w:type="dxa"/>
            <w:vAlign w:val="bottom"/>
            <w:gridSpan w:val="21"/>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998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31">
              <w:r>
                <w:rPr>
                  <w:rFonts w:ascii="Times New Roman" w:cs="Times New Roman" w:eastAsia="Times New Roman" w:hAnsi="Times New Roman"/>
                  <w:sz w:val="18"/>
                  <w:szCs w:val="18"/>
                  <w:color w:val="0000FF"/>
                </w:rPr>
                <w:t>Amendment No. 2 to 2023 Inducement Plan (incorporated by reference to Exhibit 99.7 to the Company’s Registration Statement on Form</w:t>
              </w:r>
            </w:hyperlink>
          </w:p>
        </w:tc>
        <w:tc>
          <w:tcPr>
            <w:tcW w:w="10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2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31">
              <w:r>
                <w:rPr>
                  <w:rFonts w:ascii="Times New Roman" w:cs="Times New Roman" w:eastAsia="Times New Roman" w:hAnsi="Times New Roman"/>
                  <w:sz w:val="18"/>
                  <w:szCs w:val="18"/>
                  <w:color w:val="0000FF"/>
                  <w:w w:val="99"/>
                </w:rPr>
                <w:t>S-8 (File No. 333-284167) filed with the Securities and Exchange Commission on January 6, 2026).</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17"/>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19.1</w:t>
            </w:r>
          </w:p>
        </w:tc>
        <w:tc>
          <w:tcPr>
            <w:tcW w:w="1008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432">
              <w:r>
                <w:rPr>
                  <w:rFonts w:ascii="Times New Roman" w:cs="Times New Roman" w:eastAsia="Times New Roman" w:hAnsi="Times New Roman"/>
                  <w:sz w:val="18"/>
                  <w:szCs w:val="18"/>
                  <w:color w:val="0000FF"/>
                </w:rPr>
                <w:t>Insider Trading Policy (incorporated by reference to Exhibit 19.1 to the Company’s Annual Report on Form 10-K, as filed with the SEC on</w:t>
              </w:r>
            </w:hyperlink>
          </w:p>
        </w:tc>
      </w:tr>
      <w:tr>
        <w:trPr>
          <w:trHeight w:val="196"/>
        </w:trPr>
        <w:tc>
          <w:tcPr>
            <w:tcW w:w="1140" w:type="dxa"/>
            <w:vAlign w:val="bottom"/>
          </w:tcPr>
          <w:p>
            <w:pPr>
              <w:spacing w:after="0"/>
              <w:rPr>
                <w:sz w:val="17"/>
                <w:szCs w:val="17"/>
                <w:color w:val="auto"/>
              </w:rPr>
            </w:pPr>
          </w:p>
        </w:tc>
        <w:tc>
          <w:tcPr>
            <w:tcW w:w="14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432">
              <w:r>
                <w:rPr>
                  <w:rFonts w:ascii="Times New Roman" w:cs="Times New Roman" w:eastAsia="Times New Roman" w:hAnsi="Times New Roman"/>
                  <w:sz w:val="18"/>
                  <w:szCs w:val="18"/>
                  <w:color w:val="0000FF"/>
                  <w:w w:val="99"/>
                </w:rPr>
                <w:t>February 26, 2025).</w:t>
              </w:r>
            </w:hyperlink>
          </w:p>
        </w:tc>
        <w:tc>
          <w:tcPr>
            <w:tcW w:w="8640" w:type="dxa"/>
            <w:vAlign w:val="bottom"/>
            <w:gridSpan w:val="29"/>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Power of Attorney (included on signature page)</w:t>
            </w:r>
          </w:p>
        </w:tc>
        <w:tc>
          <w:tcPr>
            <w:tcW w:w="6640" w:type="dxa"/>
            <w:vAlign w:val="bottom"/>
            <w:gridSpan w:val="24"/>
          </w:tcPr>
          <w:p>
            <w:pPr>
              <w:spacing w:after="0"/>
              <w:rPr>
                <w:sz w:val="17"/>
                <w:szCs w:val="17"/>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80" w:type="dxa"/>
            <w:vAlign w:val="bottom"/>
            <w:tcBorders>
              <w:right w:val="single" w:sz="8" w:color="0000EE"/>
            </w:tcBorders>
            <w:gridSpan w:val="7"/>
            <w:shd w:val="clear" w:color="auto" w:fill="0000FF"/>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46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FF"/>
            </w:tcBorders>
            <w:gridSpan w:val="3"/>
            <w:shd w:val="clear" w:color="auto" w:fill="0000FF"/>
          </w:tcPr>
          <w:p>
            <w:pPr>
              <w:spacing w:after="0" w:line="20" w:lineRule="exact"/>
              <w:rPr>
                <w:sz w:val="1"/>
                <w:szCs w:val="1"/>
                <w:color w:val="auto"/>
              </w:rPr>
            </w:pPr>
          </w:p>
        </w:tc>
        <w:tc>
          <w:tcPr>
            <w:tcW w:w="4080" w:type="dxa"/>
            <w:vAlign w:val="bottom"/>
            <w:tcBorders>
              <w:right w:val="single" w:sz="8" w:color="0000EE"/>
            </w:tcBorders>
            <w:gridSpan w:val="7"/>
            <w:shd w:val="clear" w:color="auto" w:fill="0000FF"/>
          </w:tcPr>
          <w:p>
            <w:pPr>
              <w:spacing w:after="0" w:line="20" w:lineRule="exact"/>
              <w:rPr>
                <w:sz w:val="1"/>
                <w:szCs w:val="1"/>
                <w:color w:val="auto"/>
              </w:rPr>
            </w:pPr>
          </w:p>
        </w:tc>
        <w:tc>
          <w:tcPr>
            <w:tcW w:w="40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32.1*##</w:t>
            </w:r>
          </w:p>
        </w:tc>
        <w:tc>
          <w:tcPr>
            <w:tcW w:w="1008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0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9"/>
              </w:rPr>
              <w:t>32.2*##</w:t>
            </w:r>
          </w:p>
        </w:tc>
        <w:tc>
          <w:tcPr>
            <w:tcW w:w="10040" w:type="dxa"/>
            <w:vAlign w:val="bottom"/>
            <w:tcBorders>
              <w:bottom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40" w:type="dxa"/>
            <w:vAlign w:val="bottom"/>
          </w:tcPr>
          <w:p>
            <w:pPr>
              <w:spacing w:after="0" w:line="20" w:lineRule="exact"/>
              <w:rPr>
                <w:sz w:val="1"/>
                <w:szCs w:val="1"/>
                <w:color w:val="auto"/>
              </w:rPr>
            </w:pPr>
          </w:p>
        </w:tc>
        <w:tc>
          <w:tcPr>
            <w:tcW w:w="920" w:type="dxa"/>
            <w:vAlign w:val="bottom"/>
            <w:tcBorders>
              <w:right w:val="single" w:sz="8" w:color="0000EE"/>
            </w:tcBorders>
            <w:gridSpan w:val="3"/>
            <w:shd w:val="clear" w:color="auto" w:fill="0000FF"/>
          </w:tcPr>
          <w:p>
            <w:pPr>
              <w:spacing w:after="0" w:line="20" w:lineRule="exact"/>
              <w:rPr>
                <w:sz w:val="1"/>
                <w:szCs w:val="1"/>
                <w:color w:val="auto"/>
              </w:rPr>
            </w:pPr>
          </w:p>
        </w:tc>
        <w:tc>
          <w:tcPr>
            <w:tcW w:w="81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196"/>
        </w:trPr>
        <w:tc>
          <w:tcPr>
            <w:tcW w:w="114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5"/>
              </w:rPr>
              <w:t>97.1</w:t>
            </w:r>
          </w:p>
        </w:tc>
        <w:tc>
          <w:tcPr>
            <w:tcW w:w="97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33">
              <w:r>
                <w:rPr>
                  <w:rFonts w:ascii="Times New Roman" w:cs="Times New Roman" w:eastAsia="Times New Roman" w:hAnsi="Times New Roman"/>
                  <w:sz w:val="18"/>
                  <w:szCs w:val="18"/>
                  <w:color w:val="0000FF"/>
                </w:rPr>
                <w:t>Taysha Gene Therapies, Inc. Incentive Compensation Recoupment Policy (incorporated by reference to Exhibit 97.1 to the Company's</w:t>
              </w:r>
            </w:hyperlink>
          </w:p>
        </w:tc>
        <w:tc>
          <w:tcPr>
            <w:tcW w:w="34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0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433">
              <w:r>
                <w:rPr>
                  <w:rFonts w:ascii="Times New Roman" w:cs="Times New Roman" w:eastAsia="Times New Roman" w:hAnsi="Times New Roman"/>
                  <w:sz w:val="18"/>
                  <w:szCs w:val="18"/>
                  <w:color w:val="0000FF"/>
                  <w:w w:val="99"/>
                </w:rPr>
                <w:t>Annual Report on Form 10-K (File No. 001-39536), filed with the Securities and Exchange Commission on March 19, 2024).</w:t>
              </w:r>
            </w:hyperlink>
          </w:p>
        </w:tc>
        <w:tc>
          <w:tcPr>
            <w:tcW w:w="20" w:type="dxa"/>
            <w:vAlign w:val="bottom"/>
            <w:tcBorders>
              <w:bottom w:val="single" w:sz="8" w:color="0000EE"/>
            </w:tcBorders>
          </w:tcPr>
          <w:p>
            <w:pPr>
              <w:spacing w:after="0"/>
              <w:rPr>
                <w:sz w:val="17"/>
                <w:szCs w:val="17"/>
                <w:color w:val="auto"/>
              </w:rPr>
            </w:pPr>
          </w:p>
        </w:tc>
        <w:tc>
          <w:tcPr>
            <w:tcW w:w="1000" w:type="dxa"/>
            <w:vAlign w:val="bottom"/>
            <w:gridSpan w:val="13"/>
          </w:tcPr>
          <w:p>
            <w:pPr>
              <w:spacing w:after="0"/>
              <w:rPr>
                <w:sz w:val="17"/>
                <w:szCs w:val="17"/>
                <w:color w:val="auto"/>
              </w:rPr>
            </w:pPr>
          </w:p>
        </w:tc>
      </w:tr>
      <w:tr>
        <w:trPr>
          <w:trHeight w:val="218"/>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140" w:type="dxa"/>
            <w:vAlign w:val="bottom"/>
          </w:tcPr>
          <w:p>
            <w:pPr>
              <w:spacing w:after="0"/>
              <w:rPr>
                <w:sz w:val="18"/>
                <w:szCs w:val="18"/>
                <w:color w:val="auto"/>
              </w:rPr>
            </w:pP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101.SCH</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101.CAL</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101.LAB</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6"/>
              </w:rPr>
              <w:t>104</w:t>
            </w:r>
          </w:p>
        </w:tc>
        <w:tc>
          <w:tcPr>
            <w:tcW w:w="100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9512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right="140" w:firstLine="8"/>
        <w:spacing w:after="0" w:line="282" w:lineRule="auto"/>
        <w:tabs>
          <w:tab w:leader="none" w:pos="1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agreement (indicated by asterisks) have been omitted because the registrant has determined they are not material and would likely cause competitive harm to the registrant if publicly disclosed.</w:t>
      </w:r>
    </w:p>
    <w:p>
      <w:pPr>
        <w:spacing w:after="0" w:line="54" w:lineRule="exact"/>
        <w:rPr>
          <w:sz w:val="20"/>
          <w:szCs w:val="20"/>
          <w:color w:val="auto"/>
        </w:rPr>
      </w:pPr>
    </w:p>
    <w:p>
      <w:pPr>
        <w:ind w:right="280" w:firstLine="8"/>
        <w:spacing w:after="0" w:line="282" w:lineRule="auto"/>
        <w:tabs>
          <w:tab w:leader="none" w:pos="1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601(b)(2) of Regulation S-K. A copy of any omitted schedules will be furnished supplementally to the SEC upon request.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17" w:lineRule="exact"/>
        <w:rPr>
          <w:sz w:val="20"/>
          <w:szCs w:val="20"/>
          <w:color w:val="auto"/>
        </w:rPr>
      </w:pPr>
    </w:p>
    <w:p>
      <w:pPr>
        <w:ind w:right="60" w:firstLine="8"/>
        <w:spacing w:after="0" w:line="266"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112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64" w:lineRule="exact"/>
        <w:rPr>
          <w:sz w:val="20"/>
          <w:szCs w:val="20"/>
          <w:color w:val="auto"/>
        </w:rPr>
      </w:pPr>
    </w:p>
    <w:p>
      <w:pPr>
        <w:ind w:left="60"/>
        <w:spacing w:after="0"/>
        <w:tabs>
          <w:tab w:leader="none" w:pos="5780" w:val="left"/>
          <w:tab w:leader="none" w:pos="6580" w:val="left"/>
        </w:tabs>
        <w:rPr>
          <w:sz w:val="20"/>
          <w:szCs w:val="20"/>
          <w:color w:val="auto"/>
        </w:rPr>
      </w:pPr>
      <w:r>
        <w:rPr>
          <w:rFonts w:ascii="Times New Roman" w:cs="Times New Roman" w:eastAsia="Times New Roman" w:hAnsi="Times New Roman"/>
          <w:sz w:val="18"/>
          <w:szCs w:val="18"/>
          <w:color w:val="auto"/>
        </w:rPr>
        <w:t>Date: March 19</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34290</wp:posOffset>
            </wp:positionV>
            <wp:extent cx="297434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8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Sean Nolan</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Sean Nolan and Kamran Alam, jointly and severally, as his or her true and lawful attorneys-in-fact and agents, with full power of substitution and resubstitution, for him or her and in his or her name, place and stead, in any and all capacities, to sign this Annual Report on Form 10-K of Taysha Gene Therapies,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340" w:type="dxa"/>
            <w:vAlign w:val="bottom"/>
          </w:tcPr>
          <w:p>
            <w:pPr>
              <w:spacing w:after="0"/>
              <w:rPr>
                <w:sz w:val="18"/>
                <w:szCs w:val="18"/>
                <w:color w:val="auto"/>
              </w:rPr>
            </w:pPr>
          </w:p>
        </w:tc>
        <w:tc>
          <w:tcPr>
            <w:tcW w:w="4940" w:type="dxa"/>
            <w:vAlign w:val="bottom"/>
          </w:tcPr>
          <w:p>
            <w:pPr>
              <w:ind w:left="23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40" w:type="dxa"/>
            <w:vAlign w:val="bottom"/>
          </w:tcPr>
          <w:p>
            <w:pPr>
              <w:spacing w:after="0"/>
              <w:rPr>
                <w:sz w:val="18"/>
                <w:szCs w:val="18"/>
                <w:color w:val="auto"/>
              </w:rPr>
            </w:pPr>
          </w:p>
        </w:tc>
        <w:tc>
          <w:tcPr>
            <w:tcW w:w="2080" w:type="dxa"/>
            <w:vAlign w:val="bottom"/>
          </w:tcPr>
          <w:p>
            <w:pPr>
              <w:ind w:left="88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Sean Nolan</w:t>
            </w:r>
          </w:p>
        </w:tc>
        <w:tc>
          <w:tcPr>
            <w:tcW w:w="340" w:type="dxa"/>
            <w:vAlign w:val="bottom"/>
          </w:tcPr>
          <w:p>
            <w:pPr>
              <w:spacing w:after="0"/>
              <w:rPr>
                <w:sz w:val="24"/>
                <w:szCs w:val="24"/>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Sean Nolan</w:t>
            </w:r>
          </w:p>
        </w:tc>
        <w:tc>
          <w:tcPr>
            <w:tcW w:w="34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3"/>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 Kamran Alam</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43"/>
        </w:trPr>
        <w:tc>
          <w:tcPr>
            <w:tcW w:w="364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(Principal Financial Officer and Principal</w:t>
            </w:r>
          </w:p>
        </w:tc>
        <w:tc>
          <w:tcPr>
            <w:tcW w:w="240" w:type="dxa"/>
            <w:vAlign w:val="bottom"/>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3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Kamran Alam</w:t>
            </w:r>
          </w:p>
        </w:tc>
        <w:tc>
          <w:tcPr>
            <w:tcW w:w="340" w:type="dxa"/>
            <w:vAlign w:val="bottom"/>
          </w:tcPr>
          <w:p>
            <w:pPr>
              <w:spacing w:after="0"/>
              <w:rPr>
                <w:sz w:val="12"/>
                <w:szCs w:val="12"/>
                <w:color w:val="auto"/>
              </w:rPr>
            </w:pPr>
          </w:p>
        </w:tc>
        <w:tc>
          <w:tcPr>
            <w:tcW w:w="4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36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i w:val="1"/>
                <w:iCs w:val="1"/>
                <w:color w:val="auto"/>
              </w:rPr>
              <w:t>Accounting Officer)</w:t>
            </w: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Phillip B. Donenberg</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Phillip B. Donenberg</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Sean Stalfort</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Sean Stalfort</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Sukumar Nagendran, M.D.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Sukumar Nagendran, M.D.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Alison Long, M.D., Ph.D.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Alison Long, M.D., Ph.D.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 Laura Sepp-Lorenzino, Ph.D.</w:t>
            </w:r>
          </w:p>
        </w:tc>
        <w:tc>
          <w:tcPr>
            <w:tcW w:w="340" w:type="dxa"/>
            <w:vAlign w:val="bottom"/>
          </w:tcPr>
          <w:p>
            <w:pPr>
              <w:spacing w:after="0"/>
              <w:rPr>
                <w:sz w:val="24"/>
                <w:szCs w:val="24"/>
                <w:color w:val="auto"/>
              </w:rPr>
            </w:pPr>
          </w:p>
        </w:tc>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Director</w:t>
            </w:r>
          </w:p>
        </w:tc>
        <w:tc>
          <w:tcPr>
            <w:tcW w:w="240" w:type="dxa"/>
            <w:vAlign w:val="bottom"/>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March 19, 2026</w:t>
            </w:r>
          </w:p>
        </w:tc>
        <w:tc>
          <w:tcPr>
            <w:tcW w:w="0" w:type="dxa"/>
            <w:vAlign w:val="bottom"/>
          </w:tcPr>
          <w:p>
            <w:pPr>
              <w:spacing w:after="0"/>
              <w:rPr>
                <w:sz w:val="1"/>
                <w:szCs w:val="1"/>
                <w:color w:val="auto"/>
              </w:rPr>
            </w:pPr>
          </w:p>
        </w:tc>
      </w:tr>
      <w:tr>
        <w:trPr>
          <w:trHeight w:val="33"/>
        </w:trPr>
        <w:tc>
          <w:tcPr>
            <w:tcW w:w="3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Laura Sepp-Lorenzino, Ph.D.</w:t>
            </w:r>
          </w:p>
        </w:tc>
        <w:tc>
          <w:tcPr>
            <w:tcW w:w="3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TAYSHA GENE THERAPIES, INC. COMMON STOCK</w:t>
      </w:r>
    </w:p>
    <w:p>
      <w:pPr>
        <w:spacing w:after="0" w:line="8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9"/>
          <w:szCs w:val="19"/>
          <w:i w:val="1"/>
          <w:iCs w:val="1"/>
          <w:color w:val="auto"/>
        </w:rPr>
        <w:t>The following description of the common stock of Taysha Gene Therapies, Inc., or the Company, and certain provisions of the Company’s amended and restated certificate of incorporation, or the certificate, the certificate of amendment to the certificate, or the amendment, and together with the certificate, the amended and restated certificate, and amended and restated bylaws, or restated bylaws, are summaries.</w:t>
      </w:r>
    </w:p>
    <w:p>
      <w:pPr>
        <w:spacing w:after="0" w:line="2" w:lineRule="exact"/>
        <w:rPr>
          <w:sz w:val="20"/>
          <w:szCs w:val="20"/>
          <w:color w:val="auto"/>
        </w:rPr>
      </w:pPr>
    </w:p>
    <w:p>
      <w:pPr>
        <w:jc w:val="both"/>
        <w:ind w:right="60"/>
        <w:spacing w:after="0" w:line="242" w:lineRule="auto"/>
        <w:rPr>
          <w:sz w:val="20"/>
          <w:szCs w:val="20"/>
          <w:color w:val="auto"/>
        </w:rPr>
      </w:pPr>
      <w:r>
        <w:rPr>
          <w:rFonts w:ascii="Times New Roman" w:cs="Times New Roman" w:eastAsia="Times New Roman" w:hAnsi="Times New Roman"/>
          <w:sz w:val="20"/>
          <w:szCs w:val="20"/>
          <w:i w:val="1"/>
          <w:iCs w:val="1"/>
          <w:color w:val="auto"/>
        </w:rPr>
        <w:t>These summaries are qualified in the entirety by reference to the provisions of the Delaware General Corporation Law and the complete text of the certificate, the amendment and the restated bylaws, which are incorporated by reference as Exhibits 3.1, 3.3, 3.4 and 3.2, respectively, of the Company’s Annual Report on Form 10-K to which this description is also an exhibit.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0"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The amended and restated certificate authorizes the Company to issue up to 700,000,000 shares of common stock, $0.00001 par value per share, and 10,000,000 shares of preferred stock, $0.00001 par value per share, all of which shares of preferred stock are undesignated. The Company’s board of directors may establish the rights and preferences of the preferred stock from time to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Voting Rights</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Each holder of the Company’s common stock is entitled to one vote for each share on all matters submitted to a vote of the stockholders, including the election of directors. The affirmative vote of holders of at least 662/3% of the voting power of all of the then-outstanding shares of capital stock, voting as a single class, is required to amend certain provisions of the amended and restated certificate, including provisions relating to amending the Company’s restated bylaws, the classified board, the size of the Company’s board, removal of directors, director liability, vacancies on the Company’s board, special meetings, stockholder notices, actions by written consent and exclusive forum.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11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Subject to preferences that may be applicable to any then-outstanding preferred stock, holders of the Company’s common stock are entitled to receive ratably those dividends, if any, as may be declared from time to time by the board of directors out of legally available funds.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Liquidation</w:t>
      </w:r>
    </w:p>
    <w:p>
      <w:pPr>
        <w:spacing w:after="0" w:line="11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Rights and Preferences</w:t>
      </w:r>
    </w:p>
    <w:p>
      <w:pPr>
        <w:spacing w:after="0" w:line="112" w:lineRule="exact"/>
        <w:rPr>
          <w:sz w:val="20"/>
          <w:szCs w:val="20"/>
          <w:color w:val="auto"/>
        </w:rPr>
      </w:pPr>
    </w:p>
    <w:p>
      <w:pPr>
        <w:jc w:val="both"/>
        <w:ind w:right="40"/>
        <w:spacing w:after="0" w:line="249" w:lineRule="auto"/>
        <w:rPr>
          <w:sz w:val="20"/>
          <w:szCs w:val="20"/>
          <w:color w:val="auto"/>
        </w:rPr>
      </w:pPr>
      <w:r>
        <w:rPr>
          <w:rFonts w:ascii="Times New Roman" w:cs="Times New Roman" w:eastAsia="Times New Roman" w:hAnsi="Times New Roman"/>
          <w:sz w:val="20"/>
          <w:szCs w:val="20"/>
          <w:color w:val="auto"/>
        </w:rPr>
        <w:t>Holders of the Company’s common stock have no preemptive, conversion or subscription rights and there are no redemption or sinking fund provisions applicable to the common stock. The rights, preferences and privileges of the holders of the Company’s common stock are subject to, and may be adversely affected by, the right of the holders of shares of any series of preferred stock that the Company’s board of directors may designate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Warrants to Purchase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2" w:name="page143"/>
    <w:bookmarkEnd w:id="142"/>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Pre-Funded Warrants</w:t>
      </w:r>
    </w:p>
    <w:p>
      <w:pPr>
        <w:spacing w:after="0" w:line="11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On August 14, 2023, we issued pre-funded warrants, or the 2023 Pre-Funded Warrants, to purchase up to 44,250,978 shares common of common stock. On June 26, 2024, we issued pre-funded warrants, or the 2024 Pre-Funded Warrants, to purchase up to 18,972,221 shares of common stock. On May 28, 2025, we issued pre-funded warrants, or the 2025 Pre-Funded Warrants, to purchase up to 25,858,586 shares of common stock (the 2023 Pre-Funded Warrants, 2024 Pre-Funded Warrants and 2025 Pre-Funded Warrants are referred to herein as the Pre-Funded Warrants).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Form</w:t>
      </w:r>
    </w:p>
    <w:p>
      <w:pPr>
        <w:spacing w:after="0" w:line="11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Pre-Funded Warrants were issued as individual warrant agreements to certain investors. The form of 2023 Pre-Funded Warrant was filed as Exhibit 4.1 to our Current Report on Form 8-K filed with the SEC on August 14, 2023. The form of 2024 Pre-Funded Warrant was filed as Exhibit 4.1 to our Current Report on Form 8-K filed with the SEC on June 26, 2024. The form of 2025 Pre-Funded Warrant was filed as Exhibit 4.1 to our Current Report on Form 8-K filed with the SEC on May 29,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Fractional Shares</w:t>
      </w:r>
    </w:p>
    <w:p>
      <w:pPr>
        <w:spacing w:after="0" w:line="112"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9"/>
          <w:szCs w:val="19"/>
          <w:color w:val="auto"/>
        </w:rPr>
        <w:t>No fractional shares or scrip representing fractional shares will be issued in connection with the exercise of the Pre-Funded Warrants. In lieu of any fractional shares that would otherwise be issuable, we shall either pay a cash adjustment in respect of such final fraction in an amount equal to such fraction multiplied by the Exercise Price (as defined in the Pre-Funded Warrants) or round up to the next whole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Exercise Limitations</w:t>
      </w:r>
    </w:p>
    <w:p>
      <w:pPr>
        <w:spacing w:after="0" w:line="11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Under the terms of the Pre-Funded Warrants, we may not give effect to the exercise of any such Pre-Funded Warrant, and a holder will not be entitled to exercise any portion of any such Pre-Funded Warrant, if, upon giving effect to such exercise, the aggregate number of common shares beneficially owned by the holder (together with its affiliates, any other persons acting as a group together with the holder or any of the holder’s affiliates, and any other persons whose beneficial ownership of common shares would or could be aggregated with the holder’s for purposes of Section 13(d) or Section 16 of the Securities Exchange Act of 1934, as amended, or the Exchange Act, would exceed 4.99% or</w:t>
      </w:r>
    </w:p>
    <w:p>
      <w:pPr>
        <w:spacing w:after="0" w:line="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9.99% of the number of common shares outstanding immediately after giving effect to such exercise. By giving written notice to us, a holder may increase or decrease the maximum percentage to any other percentage specified not in excess of 19.99%;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xml:space="preserve"> any such increase will not be effective until the sixty-first day after such notice is delivered to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Transferability</w:t>
      </w:r>
    </w:p>
    <w:p>
      <w:pPr>
        <w:spacing w:after="0" w:line="112"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Subject to applicable laws, the Pre-Funded Warrants may be offered for sale, sold, transferred or assigned upon surrender and written assignment of the Pre-Funded Warrant.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Exchange Listing</w:t>
      </w:r>
    </w:p>
    <w:p>
      <w:pPr>
        <w:spacing w:after="0" w:line="1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There is no established trading market for the Pre-Funded Warrants, and we do not expect a market to develop. We do not intend to apply for the listing of Pre-Funded Warrants on the Nasdaq Stock Market, any other national securities exchange or any other nationally recognized trading system.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 Rights as a Shareholder</w:t>
      </w:r>
    </w:p>
    <w:p>
      <w:pPr>
        <w:spacing w:after="0" w:line="11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Except by virtue of such holder’s ownership of shares of our common shares, the holder of a Pre-Funded Warrant does not have the rights or privileges of a holder of our common shares, including any voting rights, until such holder exercises the Pre-Funded Warrant.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Registration of Shares Underlying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81"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common shares underlying the 2023 Pre-Funded Warrants were registered on a Form S-3 registration statement, which was filed with the SEC on August 30, 2023 and declared effective on September 8, 2023.</w:t>
      </w:r>
    </w:p>
    <w:p>
      <w:pPr>
        <w:spacing w:after="0" w:line="51"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9"/>
          <w:szCs w:val="19"/>
          <w:color w:val="auto"/>
        </w:rPr>
        <w:t>The common shares underlying the 2024 Pre-Funded Warrants were registered on a Prospectus Supplement, which was filed with the SEC on June 26, 2024, to the Prospectus included in the Form S-3 registration statement, which was declared effective on October 14, 2021.</w:t>
      </w:r>
    </w:p>
    <w:p>
      <w:pPr>
        <w:spacing w:after="0" w:line="3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common shares underlying the 2025 Pre-Funded Warrants were registered on a Prospectus Supplement, which was filed on May 29, 2025 to the Prospectus included in the Form S-3 registration statement, which was declared effective on December 20,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Exercise Price</w:t>
      </w:r>
    </w:p>
    <w:p>
      <w:pPr>
        <w:spacing w:after="0" w:line="11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Each Pre-Funded Warrant has an exercise price of $0.001 per share. In lieu of making the cash payment otherwise contemplated to be made to the Company upon exercise of a Pre-Funded Warrant in payment of the aggregate exercise price, the holder may elect instead to receive upon such exercise (either in whole or in part) the net number of common shares determined according to a formula set forth in the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Pre-Funded Warrant is exercisable immediately and is exercisable until the Pre-Funded Warrant is exercised in full.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Fundamental Transactions</w:t>
      </w:r>
    </w:p>
    <w:p>
      <w:pPr>
        <w:spacing w:after="0" w:line="1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Upon the consummation of a fundamental transaction (as described in the Pre-Funded Warrants, and, among other things, including the sale, transfer or other disposition of all or substantially all of our properties or assets, our consolidation or merger with or into another person, the acquisition of more than 50% of our aggregate voting power, or any reorganization, recapitalization or reclassification of our common shares), the holders of the Pre-Funded Warrants will be entitled to receive, upon exercise of the Pre-Funded Warrant, the same amount and kind of securities, cash or property as the holder would have been entitled to receive upon the occurrence of such fundamental transaction if the holder had been, immediately prior to such fundamental transaction, the holder of the number of common shares underlying the Pre-Funded Warrant then issuable upon exercise in full of the Pre-Funded Warrant without regard to any limitations on exercise contained herein.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Section 203 of the Delaware General Corporation Law</w:t>
      </w:r>
    </w:p>
    <w:p>
      <w:pPr>
        <w:spacing w:after="0" w:line="1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Company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74" w:lineRule="exact"/>
        <w:rPr>
          <w:sz w:val="20"/>
          <w:szCs w:val="20"/>
          <w:color w:val="auto"/>
        </w:rPr>
      </w:pPr>
    </w:p>
    <w:p>
      <w:pPr>
        <w:ind w:left="260" w:right="120" w:hanging="113"/>
        <w:spacing w:after="0" w:line="269" w:lineRule="auto"/>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such date, the board of directors of the corporation approved either the business combination or the transaction 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4" w:name="page145"/>
    <w:bookmarkEnd w:id="144"/>
    <w:p>
      <w:pPr>
        <w:spacing w:after="0" w:line="189" w:lineRule="exact"/>
        <w:rPr>
          <w:sz w:val="20"/>
          <w:szCs w:val="20"/>
          <w:color w:val="auto"/>
        </w:rPr>
      </w:pPr>
    </w:p>
    <w:p>
      <w:pPr>
        <w:ind w:left="260" w:right="120" w:hanging="113"/>
        <w:spacing w:after="0" w:line="246" w:lineRule="auto"/>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4" w:lineRule="exact"/>
        <w:rPr>
          <w:rFonts w:ascii="Times New Roman" w:cs="Times New Roman" w:eastAsia="Times New Roman" w:hAnsi="Times New Roman"/>
          <w:sz w:val="20"/>
          <w:szCs w:val="20"/>
          <w:color w:val="auto"/>
        </w:rPr>
      </w:pPr>
    </w:p>
    <w:p>
      <w:pPr>
        <w:ind w:left="260" w:right="60" w:hanging="113"/>
        <w:spacing w:after="0" w:line="254" w:lineRule="auto"/>
        <w:tabs>
          <w:tab w:leader="none" w:pos="2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general, Section 203 defines a “business combination” to include the following:</w:t>
      </w:r>
    </w:p>
    <w:p>
      <w:pPr>
        <w:spacing w:after="0" w:line="216" w:lineRule="exact"/>
        <w:rPr>
          <w:sz w:val="20"/>
          <w:szCs w:val="20"/>
          <w:color w:val="auto"/>
        </w:rPr>
      </w:pPr>
    </w:p>
    <w:p>
      <w:pPr>
        <w:ind w:left="260" w:right="500" w:hanging="113"/>
        <w:spacing w:after="0" w:line="269" w:lineRule="auto"/>
        <w:tabs>
          <w:tab w:leader="none" w:pos="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involving the corporation or any direct or indirect majority-owned subsidiary of the corporation and the interested stockholder;</w:t>
      </w:r>
    </w:p>
    <w:p>
      <w:pPr>
        <w:spacing w:after="0" w:line="159" w:lineRule="exact"/>
        <w:rPr>
          <w:rFonts w:ascii="Times New Roman" w:cs="Times New Roman" w:eastAsia="Times New Roman" w:hAnsi="Times New Roman"/>
          <w:sz w:val="20"/>
          <w:szCs w:val="20"/>
          <w:color w:val="auto"/>
        </w:rPr>
      </w:pPr>
    </w:p>
    <w:p>
      <w:pPr>
        <w:ind w:left="260" w:right="140" w:hanging="113"/>
        <w:spacing w:after="0" w:line="269" w:lineRule="auto"/>
        <w:tabs>
          <w:tab w:leader="none" w:pos="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transfer, pledge or other disposition of 10% or more of the assets of the corporation involving the interested stockholder (in one transaction or a series of transactions);</w:t>
      </w:r>
    </w:p>
    <w:p>
      <w:pPr>
        <w:spacing w:after="0" w:line="159" w:lineRule="exact"/>
        <w:rPr>
          <w:rFonts w:ascii="Times New Roman" w:cs="Times New Roman" w:eastAsia="Times New Roman" w:hAnsi="Times New Roman"/>
          <w:sz w:val="20"/>
          <w:szCs w:val="20"/>
          <w:color w:val="auto"/>
        </w:rPr>
      </w:pPr>
    </w:p>
    <w:p>
      <w:pPr>
        <w:ind w:left="260" w:right="760" w:hanging="113"/>
        <w:spacing w:after="0" w:line="295" w:lineRule="auto"/>
        <w:tabs>
          <w:tab w:leader="none" w:pos="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137" w:lineRule="exact"/>
        <w:rPr>
          <w:rFonts w:ascii="Times New Roman" w:cs="Times New Roman" w:eastAsia="Times New Roman" w:hAnsi="Times New Roman"/>
          <w:sz w:val="19"/>
          <w:szCs w:val="19"/>
          <w:color w:val="auto"/>
        </w:rPr>
      </w:pPr>
    </w:p>
    <w:p>
      <w:pPr>
        <w:ind w:left="260" w:right="200" w:hanging="113"/>
        <w:spacing w:after="0" w:line="254" w:lineRule="auto"/>
        <w:tabs>
          <w:tab w:leader="none" w:pos="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174" w:lineRule="exact"/>
        <w:rPr>
          <w:rFonts w:ascii="Times New Roman" w:cs="Times New Roman" w:eastAsia="Times New Roman" w:hAnsi="Times New Roman"/>
          <w:sz w:val="20"/>
          <w:szCs w:val="20"/>
          <w:color w:val="auto"/>
        </w:rPr>
      </w:pPr>
    </w:p>
    <w:p>
      <w:pPr>
        <w:ind w:left="260" w:hanging="113"/>
        <w:spacing w:after="0" w:line="269" w:lineRule="auto"/>
        <w:tabs>
          <w:tab w:leader="none" w:pos="2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by or through the corporation.</w:t>
      </w:r>
    </w:p>
    <w:p>
      <w:pPr>
        <w:spacing w:after="0" w:line="173"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Amended and Restated Certificate of Incorporation and Amended and Restated Bylaws</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amended and restated certificate provides for the Company’s board of directors to be divided into three classes with staggered three-year terms. Only one class of directors will be elected at each annual meeting of the Company’s stockholders, with the other classes continuing for the remainder of their respective three-year terms. Because the Company’s stockholders do not have cumulative voting rights, stockholders holding a majority of the shares of the Company’s common stock outstanding will be able to elect all of the Company’s directors. The amended and restated certificate and restated bylaws provide that directors may be removed by the stockholders only for cause upon the vote of 662/3% or more of the Company’s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amended and restated certificate and restated bylaws also provide that all stockholder actions must be effected at a duly called meeting of stockholders and will eliminate the right of stockholders to act by written consent without a meeting. The restated bylaws provide that only the Company’s Chairman of the board,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The restated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amended and restated certificate and restated bylaws provide that the stockholders cannot amend many of the provisions described above except by a vote of 662⁄3% or more of the Company’s outstanding common stock.</w:t>
      </w:r>
    </w:p>
    <w:p>
      <w:pPr>
        <w:spacing w:after="0" w:line="159"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The amended and restated certificates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combination of these provisions will make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Company’s company, outweigh the disadvantages of discouraging takeover proposals, because negotiation of takeover proposals could result in an improvement of their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Choice of Forum</w:t>
      </w:r>
    </w:p>
    <w:p>
      <w:pPr>
        <w:spacing w:after="0" w:line="112" w:lineRule="exact"/>
        <w:rPr>
          <w:sz w:val="20"/>
          <w:szCs w:val="20"/>
          <w:color w:val="auto"/>
        </w:rPr>
      </w:pPr>
    </w:p>
    <w:p>
      <w:pPr>
        <w:ind w:right="280" w:firstLine="576"/>
        <w:spacing w:after="0" w:line="250" w:lineRule="auto"/>
        <w:rPr>
          <w:sz w:val="20"/>
          <w:szCs w:val="20"/>
          <w:color w:val="auto"/>
        </w:rPr>
      </w:pPr>
      <w:r>
        <w:rPr>
          <w:rFonts w:ascii="Times New Roman" w:cs="Times New Roman" w:eastAsia="Times New Roman" w:hAnsi="Times New Roman"/>
          <w:sz w:val="20"/>
          <w:szCs w:val="20"/>
          <w:color w:val="auto"/>
        </w:rPr>
        <w:t>The Company’s amended and restated certificate provides that the Court of Chancery of the state of Delaware will be the exclusive forum for the following types of actions or proceedings under Delaware statutory or common law:</w:t>
      </w:r>
    </w:p>
    <w:p>
      <w:pPr>
        <w:spacing w:after="0" w:line="2" w:lineRule="exact"/>
        <w:rPr>
          <w:sz w:val="20"/>
          <w:szCs w:val="20"/>
          <w:color w:val="auto"/>
        </w:rPr>
      </w:pPr>
    </w:p>
    <w:p>
      <w:pPr>
        <w:ind w:left="200" w:right="5400"/>
        <w:spacing w:after="0" w:line="239" w:lineRule="auto"/>
        <w:rPr>
          <w:sz w:val="20"/>
          <w:szCs w:val="20"/>
          <w:color w:val="auto"/>
        </w:rPr>
      </w:pPr>
      <w:r>
        <w:rPr>
          <w:rFonts w:ascii="Times New Roman" w:cs="Times New Roman" w:eastAsia="Times New Roman" w:hAnsi="Times New Roman"/>
          <w:sz w:val="20"/>
          <w:szCs w:val="20"/>
          <w:color w:val="auto"/>
        </w:rPr>
        <w:t>•any derivative action or proceeding brought on the Company’s behalf; •any action asserting a breach of fiduciary duty;</w:t>
      </w:r>
    </w:p>
    <w:p>
      <w:pPr>
        <w:spacing w:after="0" w:line="1" w:lineRule="exact"/>
        <w:rPr>
          <w:sz w:val="20"/>
          <w:szCs w:val="20"/>
          <w:color w:val="auto"/>
        </w:rPr>
      </w:pPr>
    </w:p>
    <w:p>
      <w:pPr>
        <w:ind w:left="200" w:right="240"/>
        <w:spacing w:after="0" w:line="246" w:lineRule="auto"/>
        <w:rPr>
          <w:sz w:val="20"/>
          <w:szCs w:val="20"/>
          <w:color w:val="auto"/>
        </w:rPr>
      </w:pPr>
      <w:r>
        <w:rPr>
          <w:rFonts w:ascii="Times New Roman" w:cs="Times New Roman" w:eastAsia="Times New Roman" w:hAnsi="Times New Roman"/>
          <w:sz w:val="20"/>
          <w:szCs w:val="20"/>
          <w:color w:val="auto"/>
        </w:rPr>
        <w:t>•any action asserting a claim against the Company arising pursuant to the DGCL, the Company’s amended and restated certificate or the Company’s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ind w:left="200" w:right="660"/>
        <w:spacing w:after="0" w:line="250" w:lineRule="auto"/>
        <w:rPr>
          <w:sz w:val="20"/>
          <w:szCs w:val="20"/>
          <w:color w:val="auto"/>
        </w:rPr>
      </w:pPr>
      <w:r>
        <w:rPr>
          <w:rFonts w:ascii="Times New Roman" w:cs="Times New Roman" w:eastAsia="Times New Roman" w:hAnsi="Times New Roman"/>
          <w:sz w:val="20"/>
          <w:szCs w:val="20"/>
          <w:color w:val="auto"/>
        </w:rPr>
        <w:t>•any claim or cause of action seeking to interpret, apply, enforce or determine the validity of the Company’s amended and restated certificate or the Company’s restated bylaws;</w:t>
      </w:r>
    </w:p>
    <w:p>
      <w:pPr>
        <w:spacing w:after="0" w:line="2" w:lineRule="exact"/>
        <w:rPr>
          <w:sz w:val="20"/>
          <w:szCs w:val="20"/>
          <w:color w:val="auto"/>
        </w:rPr>
      </w:pPr>
    </w:p>
    <w:p>
      <w:pPr>
        <w:ind w:left="200" w:right="1000"/>
        <w:spacing w:after="0" w:line="246" w:lineRule="auto"/>
        <w:rPr>
          <w:sz w:val="20"/>
          <w:szCs w:val="20"/>
          <w:color w:val="auto"/>
        </w:rPr>
      </w:pPr>
      <w:r>
        <w:rPr>
          <w:rFonts w:ascii="Times New Roman" w:cs="Times New Roman" w:eastAsia="Times New Roman" w:hAnsi="Times New Roman"/>
          <w:sz w:val="20"/>
          <w:szCs w:val="20"/>
          <w:color w:val="auto"/>
        </w:rPr>
        <w:t>•any claim or cause of action as to which the DGCL confers jurisdiction on the Court of Chancery of the state of Delaware; or •any action asserting a claim against the Company that is governed by the internal affairs doctrine.</w:t>
      </w:r>
    </w:p>
    <w:p>
      <w:pPr>
        <w:spacing w:after="0" w:line="182" w:lineRule="exact"/>
        <w:rPr>
          <w:sz w:val="20"/>
          <w:szCs w:val="20"/>
          <w:color w:val="auto"/>
        </w:rPr>
      </w:pPr>
    </w:p>
    <w:p>
      <w:pPr>
        <w:ind w:firstLine="576"/>
        <w:spacing w:after="0" w:line="243" w:lineRule="auto"/>
        <w:rPr>
          <w:sz w:val="20"/>
          <w:szCs w:val="20"/>
          <w:color w:val="auto"/>
        </w:rPr>
      </w:pPr>
      <w:r>
        <w:rPr>
          <w:rFonts w:ascii="Times New Roman" w:cs="Times New Roman" w:eastAsia="Times New Roman" w:hAnsi="Times New Roman"/>
          <w:sz w:val="20"/>
          <w:szCs w:val="20"/>
          <w:color w:val="auto"/>
        </w:rPr>
        <w:t>The provision does not apply to suits brought to enforce a duty or liability created by the Exchange Act or to claims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Company’s amended and restated certificate also provides that unless the Company consents in writing to the selection of an alternative forum, the federal district courts of the United States shall be the exclusive forum for the resolution of any complaint asserting a cause of action arising under the Securities Act. Although the Company’s amended and restated certificate contains the choice of forum provision described above, it is possible that a court could rule that such a provision is inapplicable for a particular claim or action or that such provision is unenforceable.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2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transfer agent and registrar for the Company’s common stock is Equiniti Trust Company, LLC (f/k/a American Stock Transfer &amp; Trust Company, LLC), with offices at 55 Challenger Road, Ridgefield Park, NJ 07660.</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common stock is listed on the Nasdaq Global Select Market under the trading symbol “TSHA.”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7" w:name="page148"/>
    <w:bookmarkEnd w:id="147"/>
    <w:p>
      <w:pPr>
        <w:jc w:val="right"/>
        <w:spacing w:after="0"/>
        <w:rPr>
          <w:sz w:val="20"/>
          <w:szCs w:val="20"/>
          <w:color w:val="auto"/>
        </w:rPr>
      </w:pPr>
      <w:r>
        <w:rPr>
          <w:rFonts w:ascii="Verdana" w:cs="Verdana" w:eastAsia="Verdana" w:hAnsi="Verdana"/>
          <w:sz w:val="16"/>
          <w:szCs w:val="16"/>
          <w:b w:val="1"/>
          <w:bCs w:val="1"/>
          <w:color w:val="666666"/>
        </w:rPr>
        <w:t>Exhibit 23.1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Verdana" w:cs="Verdana" w:eastAsia="Verdana" w:hAnsi="Verdana"/>
          <w:sz w:val="16"/>
          <w:szCs w:val="16"/>
          <w:b w:val="1"/>
          <w:bCs w:val="1"/>
          <w:color w:val="666666"/>
        </w:rPr>
        <w:t>CONSENT OF INDEPENDENT REGISTERED PUBLIC ACCOUNTING FIRM</w:t>
      </w:r>
    </w:p>
    <w:p>
      <w:pPr>
        <w:spacing w:after="0" w:line="157" w:lineRule="exact"/>
        <w:rPr>
          <w:sz w:val="20"/>
          <w:szCs w:val="20"/>
          <w:color w:val="auto"/>
        </w:rPr>
      </w:pPr>
    </w:p>
    <w:p>
      <w:pPr>
        <w:jc w:val="both"/>
        <w:spacing w:after="0" w:line="256" w:lineRule="auto"/>
        <w:rPr>
          <w:sz w:val="20"/>
          <w:szCs w:val="20"/>
          <w:color w:val="auto"/>
        </w:rPr>
      </w:pPr>
      <w:r>
        <w:rPr>
          <w:rFonts w:ascii="Verdana" w:cs="Verdana" w:eastAsia="Verdana" w:hAnsi="Verdana"/>
          <w:sz w:val="16"/>
          <w:szCs w:val="16"/>
          <w:color w:val="auto"/>
        </w:rPr>
        <w:t>We consent to the incorporation by reference in Registration Statement Nos. 333-260069, 333-271144, 333-274264, 333-283801 and 333-291244 on Form S-3 and Registration Statement Nos. 333-249130, 333-256013, 333-264025, 333-270915, 333-276161, 333-278070 333-284167 and 333-292589 on Form S-8 of our report dated March 19, 2026, relating to the financial statements of Taysha Gene Therapies, Inc. appearing in this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/s/ Deloitte &amp; Touche LLP</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color w:val="auto"/>
        </w:rPr>
        <w:t>Chicago, Illinois</w:t>
      </w:r>
    </w:p>
    <w:p>
      <w:pPr>
        <w:spacing w:after="0" w:line="8" w:lineRule="exact"/>
        <w:rPr>
          <w:sz w:val="20"/>
          <w:szCs w:val="20"/>
          <w:color w:val="auto"/>
        </w:rPr>
      </w:pPr>
    </w:p>
    <w:p>
      <w:pPr>
        <w:spacing w:after="0"/>
        <w:rPr>
          <w:sz w:val="20"/>
          <w:szCs w:val="20"/>
          <w:color w:val="auto"/>
        </w:rPr>
      </w:pPr>
      <w:r>
        <w:rPr>
          <w:rFonts w:ascii="Verdana" w:cs="Verdana" w:eastAsia="Verdana" w:hAnsi="Verdana"/>
          <w:sz w:val="16"/>
          <w:szCs w:val="16"/>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1338580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firstLine="517"/>
        <w:spacing w:after="0" w:line="282" w:lineRule="auto"/>
        <w:tabs>
          <w:tab w:leader="none" w:pos="10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firstLine="517"/>
        <w:spacing w:after="0" w:line="282" w:lineRule="auto"/>
        <w:tabs>
          <w:tab w:leader="none" w:pos="10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2025, to which this Certification is attached as Exhibit 32.2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1304925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endash "/>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lowerLetter"/>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5" Type="http://schemas.openxmlformats.org/officeDocument/2006/relationships/image" Target="media/image334.png"/><Relationship Id="rId356" Type="http://schemas.openxmlformats.org/officeDocument/2006/relationships/image" Target="media/image335.png"/><Relationship Id="rId357"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70" Type="http://schemas.openxmlformats.org/officeDocument/2006/relationships/image" Target="media/image345.png"/><Relationship Id="rId371" Type="http://schemas.openxmlformats.org/officeDocument/2006/relationships/image" Target="media/image346.png"/><Relationship Id="rId373" Type="http://schemas.openxmlformats.org/officeDocument/2006/relationships/image" Target="media/image347.png"/><Relationship Id="rId374"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3" Type="http://schemas.openxmlformats.org/officeDocument/2006/relationships/image" Target="media/image354.png"/><Relationship Id="rId384" Type="http://schemas.openxmlformats.org/officeDocument/2006/relationships/image" Target="media/image355.png"/><Relationship Id="rId385"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2" Type="http://schemas.openxmlformats.org/officeDocument/2006/relationships/image" Target="media/image383.png"/><Relationship Id="rId423" Type="http://schemas.openxmlformats.org/officeDocument/2006/relationships/image" Target="media/image384.png"/><Relationship Id="rId424"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336" Type="http://schemas.openxmlformats.org/officeDocument/2006/relationships/hyperlink" Target="https://www.sec.gov/Archives/edgar/data/1806310/000119312520257858/d78879dex31.htm" TargetMode="External"/><Relationship Id="rId337" Type="http://schemas.openxmlformats.org/officeDocument/2006/relationships/hyperlink" Target="https://www.sec.gov/Archives/edgar/data/1806310/000119312520247565/d938924dex34.htm" TargetMode="External"/><Relationship Id="rId338" Type="http://schemas.openxmlformats.org/officeDocument/2006/relationships/hyperlink" Target="https://www.sec.gov/Archives/edgar/data/1806310/000119312523277914/d941656dex31.htm" TargetMode="External"/><Relationship Id="rId339" Type="http://schemas.openxmlformats.org/officeDocument/2006/relationships/hyperlink" Target="https://www.sec.gov/Archives/edgar/data/1806310/000119312525133745/d843671dex31.htm" TargetMode="External"/><Relationship Id="rId340" Type="http://schemas.openxmlformats.org/officeDocument/2006/relationships/hyperlink" Target="https://www.sec.gov/Archives/edgar/data/1806310/000119312520238197/d938924dex41.htm" TargetMode="External"/><Relationship Id="rId341" Type="http://schemas.openxmlformats.org/officeDocument/2006/relationships/hyperlink" Target="https://www.sec.gov/Archives/edgar/data/1806310/000119312523211456/d497848dex41.htm" TargetMode="External"/><Relationship Id="rId342" Type="http://schemas.openxmlformats.org/officeDocument/2006/relationships/hyperlink" Target="https://www.sec.gov/Archives/edgar/data/1806310/000119312523092350/d407595dex45.htm" TargetMode="External"/><Relationship Id="rId343" Type="http://schemas.openxmlformats.org/officeDocument/2006/relationships/hyperlink" Target="https://www.sec.gov/Archives/edgar/data/1806310/000119312524169191/d857341dex41.htm" TargetMode="External"/><Relationship Id="rId344" Type="http://schemas.openxmlformats.org/officeDocument/2006/relationships/hyperlink" Target="https://www.sec.gov/Archives/edgar/data/1806310/000119312525130709/d948981dex41.htm" TargetMode="External"/><Relationship Id="rId345" Type="http://schemas.openxmlformats.org/officeDocument/2006/relationships/hyperlink" Target="https://www.sec.gov/Archives/edgar/data/1806310/000119312520238197/d938924dex101.htm" TargetMode="External"/><Relationship Id="rId346" Type="http://schemas.openxmlformats.org/officeDocument/2006/relationships/hyperlink" Target="https://www.sec.gov/Archives/edgar/data/1806310/000119312520238197/d938924dex102.htm" TargetMode="External"/><Relationship Id="rId347" Type="http://schemas.openxmlformats.org/officeDocument/2006/relationships/hyperlink" Target="https://www.sec.gov/Archives/edgar/data/1806310/000119312520238197/d938924dex103.htm" TargetMode="External"/><Relationship Id="rId350" Type="http://schemas.openxmlformats.org/officeDocument/2006/relationships/hyperlink" Target="https://www.sec.gov/Archives/edgar/data/1806310/000119312520238197/d938924dex104.htm" TargetMode="External"/><Relationship Id="rId354" Type="http://schemas.openxmlformats.org/officeDocument/2006/relationships/hyperlink" Target="https://www.sec.gov/Archives/edgar/data/0001806310/000156459021010433/tsha-ex105_792.htm" TargetMode="External"/><Relationship Id="rId358" Type="http://schemas.openxmlformats.org/officeDocument/2006/relationships/hyperlink" Target="https://www.sec.gov/Archives/edgar/data/1806310/000119312520247565/d938924dex105.htm" TargetMode="External"/><Relationship Id="rId362" Type="http://schemas.openxmlformats.org/officeDocument/2006/relationships/hyperlink" Target="https://www.sec.gov/Archives/edgar/data/1806310/000119312520247565/d938924dex106.htm" TargetMode="External"/><Relationship Id="rId366" Type="http://schemas.openxmlformats.org/officeDocument/2006/relationships/hyperlink" Target="https://www.sec.gov/Archives/edgar/data/1806310/000119312520247565/d938924dex107.htm" TargetMode="External"/><Relationship Id="rId369" Type="http://schemas.openxmlformats.org/officeDocument/2006/relationships/hyperlink" Target="https://www.sec.gov/Archives/edgar/data/1806310/000119312520247565/d938924dex108.htm" TargetMode="External"/><Relationship Id="rId372" Type="http://schemas.openxmlformats.org/officeDocument/2006/relationships/hyperlink" Target="https://www.sec.gov/Archives/edgar/data/1806310/000095017023042089/tsha-ex10_1.htm" TargetMode="External"/><Relationship Id="rId375" Type="http://schemas.openxmlformats.org/officeDocument/2006/relationships/hyperlink" Target="https://www.sec.gov/Archives/edgar/data/1806310/000119312520247565/d938924dex1011.htm" TargetMode="External"/><Relationship Id="rId378" Type="http://schemas.openxmlformats.org/officeDocument/2006/relationships/hyperlink" Target="https://www.sec.gov/Archives/edgar/data/0001806310/000156459021010433/tsha-ex1013_851.htm" TargetMode="External"/><Relationship Id="rId382" Type="http://schemas.openxmlformats.org/officeDocument/2006/relationships/hyperlink" Target="https://www.sec.gov/Archives/edgar/data/0001806310/000156459021010433/tsha-ex1015_1051.htm" TargetMode="External"/><Relationship Id="rId386" Type="http://schemas.openxmlformats.org/officeDocument/2006/relationships/hyperlink" Target="https://www.sec.gov/Archives/edgar/data/0001806310/000156459021044462/tsha-ex101_249.htm" TargetMode="External"/><Relationship Id="rId390" Type="http://schemas.openxmlformats.org/officeDocument/2006/relationships/hyperlink" Target="https://www.sec.gov/Archives/edgar/data/1806310/000156459022012782/tsha-ex1018_1303.htm" TargetMode="External"/><Relationship Id="rId394" Type="http://schemas.openxmlformats.org/officeDocument/2006/relationships/hyperlink" Target="https://www.sec.gov/Archives/edgar/data/1806310/000119312521292221/d250700dex12.htm" TargetMode="External"/><Relationship Id="rId398" Type="http://schemas.openxmlformats.org/officeDocument/2006/relationships/hyperlink" Target="https://www.sec.gov/Archives/edgar/data/1806310/000156459022012782/tsha-ex1019_1587.htm" TargetMode="External"/><Relationship Id="rId402" Type="http://schemas.openxmlformats.org/officeDocument/2006/relationships/hyperlink" Target="https://www.sec.gov/Archives/edgar/data/1806310/000119312522273298/d395338dex101.htm" TargetMode="External"/><Relationship Id="rId405" Type="http://schemas.openxmlformats.org/officeDocument/2006/relationships/hyperlink" Target="https://www.sec.gov/Archives/edgar/data/1806310/000119312522273298/d395338dex102.htm" TargetMode="External"/><Relationship Id="rId409" Type="http://schemas.openxmlformats.org/officeDocument/2006/relationships/hyperlink" Target="https://www.sec.gov/Archives/edgar/data/1806310/000119312522273298/d395338dex103.htm" TargetMode="External"/><Relationship Id="rId413" Type="http://schemas.openxmlformats.org/officeDocument/2006/relationships/hyperlink" Target="https://www.sec.gov/Archives/edgar/data/1806310/000095017023010343/tsha-ex10_23.htm" TargetMode="External"/><Relationship Id="rId417" Type="http://schemas.openxmlformats.org/officeDocument/2006/relationships/hyperlink" Target="https://www.sec.gov/Archives/edgar/data/1806310/000095017023010343/tsha-ex10_24.htm" TargetMode="External"/><Relationship Id="rId421" Type="http://schemas.openxmlformats.org/officeDocument/2006/relationships/hyperlink" Target="https://www.sec.gov/Archives/edgar/data/1806310/000119312523299942/d574908dex101.htm" TargetMode="External"/><Relationship Id="rId425" Type="http://schemas.openxmlformats.org/officeDocument/2006/relationships/hyperlink" Target="https://www.sec.gov/Archives/edgar/data/1806310/000119312523299942/d574908dex102.htm" TargetMode="External"/><Relationship Id="rId426" Type="http://schemas.openxmlformats.org/officeDocument/2006/relationships/hyperlink" Target="https://www.sec.gov/Archives/edgar/data/1806310/000119312523299942/d574908dex103.htm" TargetMode="External"/><Relationship Id="rId427" Type="http://schemas.openxmlformats.org/officeDocument/2006/relationships/hyperlink" Target="https://www.sec.gov/Archives/edgar/data/1806310/000119312525002868/d879414dex996.htm" TargetMode="External"/><Relationship Id="rId428" Type="http://schemas.openxmlformats.org/officeDocument/2006/relationships/hyperlink" Target="https://www.sec.gov/Archives/edgar/data/1806310/000119312525263506/tsha-ex10_1.htm" TargetMode="External"/><Relationship Id="rId429" Type="http://schemas.openxmlformats.org/officeDocument/2006/relationships/hyperlink" Target="https://www.sec.gov/Archives/edgar/data/1806310/000119312525263543/d17004dex11.htm" TargetMode="External"/><Relationship Id="rId430" Type="http://schemas.openxmlformats.org/officeDocument/2006/relationships/hyperlink" Target="https://www.sec.gov/Archives/edgar/data/1806310/000119312525263543/d17004dex12.htm" TargetMode="External"/><Relationship Id="rId431" Type="http://schemas.openxmlformats.org/officeDocument/2006/relationships/hyperlink" Target="https://www.sec.gov/Archives/edgar/data/1806310/000119312526004622/d20072dex997.htm" TargetMode="External"/><Relationship Id="rId432" Type="http://schemas.openxmlformats.org/officeDocument/2006/relationships/hyperlink" Target="https://www.sec.gov/Archives/edgar/data/1806310/000095017025027348/tsha-ex19_1.htm" TargetMode="External"/><Relationship Id="rId433" Type="http://schemas.openxmlformats.org/officeDocument/2006/relationships/hyperlink" Target="https://www.sec.gov/Archives/edgar/data/1806310/000095017024033484/tsh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2026-03-19T07:38:24Z</dcterms:created>
  <dcterms:modified xsi:type="dcterms:W3CDTF">2026-03-19T07:38:24Z</dcterms:modified>
</cp:coreProperties>
</file>