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199d8k.htm"/>
      <w:bookmarkStart w:id="1" w:name="ksd15919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Taysha Gene Therapies,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84-3199512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3000 Pegasus Park Drive, Suite 1430</w:t>
            </w:r>
          </w:p>
          <w:p>
            <w:pPr>
              <w:pStyle w:val="TableContents"/>
              <w:bidi w:val="0"/>
              <w:spacing w:before="0" w:after="20"/>
              <w:jc w:val="center"/>
              <w:rPr>
                <w:rFonts w:ascii="Times New Roman" w:hAnsi="Times New Roman"/>
                <w:b/>
                <w:sz w:val="20"/>
              </w:rPr>
            </w:pPr>
            <w:r>
              <w:rPr>
                <w:rFonts w:ascii="Times New Roman" w:hAnsi="Times New Roman"/>
                <w:b/>
                <w:sz w:val="20"/>
              </w:rPr>
              <w:t>Dallas,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75247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(214) 612-0000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3470"/>
        <w:gridCol w:w="60"/>
        <w:gridCol w:w="740"/>
        <w:gridCol w:w="60"/>
        <w:gridCol w:w="3050"/>
      </w:tblGrid>
      <w:tr>
        <w:trPr/>
        <w:tc>
          <w:tcPr>
            <w:tcW w:w="3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vAlign w:val="center"/>
          </w:tcPr>
          <w:p>
            <w:pPr>
              <w:pStyle w:val="TableContents"/>
              <w:bidi w:val="0"/>
              <w:spacing w:before="0" w:after="283"/>
              <w:jc w:val="center"/>
              <w:rPr/>
            </w:pPr>
            <w:r>
              <w:rPr/>
              <w:t>Common Stock, $0.00001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TSHA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5.07 Submission of Matters to a Vote of Security Holders. </w:t>
      </w:r>
    </w:p>
    <w:p>
      <w:pPr>
        <w:pStyle w:val="TextBody"/>
        <w:bidi w:val="0"/>
        <w:spacing w:before="120" w:after="0"/>
        <w:jc w:val="left"/>
        <w:rPr>
          <w:rFonts w:ascii="Times New Roman" w:hAnsi="Times New Roman"/>
          <w:sz w:val="20"/>
        </w:rPr>
      </w:pPr>
      <w:r>
        <w:rPr>
          <w:rFonts w:ascii="Times New Roman" w:hAnsi="Times New Roman"/>
          <w:sz w:val="20"/>
        </w:rPr>
        <w:t>On June 1, 2026, Taysha Gene Therapies, Inc. (the “</w:t>
      </w:r>
      <w:r>
        <w:rPr>
          <w:rFonts w:ascii="Times New Roman" w:hAnsi="Times New Roman"/>
          <w:b/>
          <w:i/>
          <w:sz w:val="20"/>
        </w:rPr>
        <w:t>Company</w:t>
      </w:r>
      <w:r>
        <w:rPr>
          <w:rFonts w:ascii="Times New Roman" w:hAnsi="Times New Roman"/>
          <w:sz w:val="20"/>
        </w:rPr>
        <w:t>”) held its 2026 annual meeting of stockholders (the “</w:t>
      </w:r>
      <w:r>
        <w:rPr>
          <w:rFonts w:ascii="Times New Roman" w:hAnsi="Times New Roman"/>
          <w:b/>
          <w:i/>
          <w:sz w:val="20"/>
        </w:rPr>
        <w:t>Annual Meeting</w:t>
      </w:r>
      <w:r>
        <w:rPr>
          <w:rFonts w:ascii="Times New Roman" w:hAnsi="Times New Roman"/>
          <w:sz w:val="20"/>
        </w:rPr>
        <w:t>”). At the Annual Meeting, the stockholders considered four proposals, each of which is described in more detail in the Company’s definitive proxy statement filed with the Securities and Exchange Commission on April 22, 2026 (the “</w:t>
      </w:r>
      <w:r>
        <w:rPr>
          <w:rFonts w:ascii="Times New Roman" w:hAnsi="Times New Roman"/>
          <w:b/>
          <w:i/>
          <w:sz w:val="20"/>
        </w:rPr>
        <w:t>Proxy Statement</w:t>
      </w:r>
      <w:r>
        <w:rPr>
          <w:rFonts w:ascii="Times New Roman" w:hAnsi="Times New Roman"/>
          <w:sz w:val="20"/>
        </w:rPr>
        <w:t xml:space="preserve">”). Of the 287,341,999 shares outstanding as of the record date, 243,857,812 shares, or approximately 84.86%, were present or represented by proxy at the Annual Meeting. Set forth below are the results of the matters submitted for a vote of stockholders at the Annual Meeting. </w:t>
      </w:r>
    </w:p>
    <w:p>
      <w:pPr>
        <w:pStyle w:val="TextBody"/>
        <w:bidi w:val="0"/>
        <w:spacing w:before="240" w:after="0"/>
        <w:jc w:val="left"/>
        <w:rPr>
          <w:rFonts w:ascii="Times New Roman" w:hAnsi="Times New Roman"/>
          <w:sz w:val="20"/>
        </w:rPr>
      </w:pPr>
      <w:r>
        <w:rPr>
          <w:rFonts w:ascii="Times New Roman" w:hAnsi="Times New Roman"/>
          <w:b/>
          <w:sz w:val="20"/>
        </w:rPr>
        <w:t>Proposal No. 1</w:t>
      </w:r>
      <w:r>
        <w:rPr>
          <w:rFonts w:ascii="Times New Roman" w:hAnsi="Times New Roman"/>
          <w:sz w:val="20"/>
        </w:rPr>
        <w:t xml:space="preserve">: Election of two nominees to serve as directors until the 2029 annual meeting of stockholders and until their respective successors are elected and qualified. The votes were cast as follows: </w:t>
      </w:r>
    </w:p>
    <w:p>
      <w:pPr>
        <w:pStyle w:val="TextBody"/>
        <w:bidi w:val="0"/>
        <w:spacing w:before="0" w:after="0"/>
        <w:jc w:val="left"/>
        <w:rPr/>
      </w:pPr>
      <w:r>
        <w:rPr/>
        <w:t> </w:t>
      </w:r>
    </w:p>
    <w:tbl>
      <w:tblPr>
        <w:tblW w:w="5625" w:type="dxa"/>
        <w:jc w:val="left"/>
        <w:tblInd w:w="0" w:type="dxa"/>
        <w:tblLayout w:type="fixed"/>
        <w:tblCellMar>
          <w:top w:w="0" w:type="dxa"/>
          <w:left w:w="0" w:type="dxa"/>
          <w:bottom w:w="0" w:type="dxa"/>
          <w:right w:w="0" w:type="dxa"/>
        </w:tblCellMar>
      </w:tblPr>
      <w:tblGrid>
        <w:gridCol w:w="2375"/>
        <w:gridCol w:w="120"/>
        <w:gridCol w:w="60"/>
        <w:gridCol w:w="1220"/>
        <w:gridCol w:w="60"/>
        <w:gridCol w:w="120"/>
        <w:gridCol w:w="82"/>
        <w:gridCol w:w="1513"/>
        <w:gridCol w:w="7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Withheld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P. Nolan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169,142,295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35,742,331</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Laura Sepp-Lorenzino, Ph.D.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150,094,517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54,790,109</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38,973,186 </w:t>
      </w:r>
    </w:p>
    <w:p>
      <w:pPr>
        <w:pStyle w:val="TextBody"/>
        <w:bidi w:val="0"/>
        <w:spacing w:before="240" w:after="0"/>
        <w:jc w:val="left"/>
        <w:rPr>
          <w:rFonts w:ascii="Times New Roman" w:hAnsi="Times New Roman"/>
          <w:sz w:val="20"/>
        </w:rPr>
      </w:pPr>
      <w:r>
        <w:rPr>
          <w:rFonts w:ascii="Times New Roman" w:hAnsi="Times New Roman"/>
          <w:sz w:val="20"/>
        </w:rPr>
        <w:t xml:space="preserve">Both nominees were elected. </w:t>
      </w:r>
    </w:p>
    <w:p>
      <w:pPr>
        <w:pStyle w:val="TextBody"/>
        <w:bidi w:val="0"/>
        <w:spacing w:before="240" w:after="0"/>
        <w:jc w:val="left"/>
        <w:rPr>
          <w:rFonts w:ascii="Times New Roman" w:hAnsi="Times New Roman"/>
          <w:sz w:val="20"/>
        </w:rPr>
      </w:pPr>
      <w:r>
        <w:rPr>
          <w:rFonts w:ascii="Times New Roman" w:hAnsi="Times New Roman"/>
          <w:b/>
          <w:sz w:val="20"/>
        </w:rPr>
        <w:t>Proposal No. 2</w:t>
      </w:r>
      <w:r>
        <w:rPr>
          <w:rFonts w:ascii="Times New Roman" w:hAnsi="Times New Roman"/>
          <w:sz w:val="20"/>
        </w:rPr>
        <w:t xml:space="preserve">: Ratification of the selection of Deloitte &amp; Touche LLP as independent registered public accounting firm for the fiscal year ending December 31, 2026. The votes were cast as follows: </w:t>
      </w:r>
    </w:p>
    <w:p>
      <w:pPr>
        <w:pStyle w:val="TextBody"/>
        <w:bidi w:val="0"/>
        <w:spacing w:before="0" w:after="0"/>
        <w:jc w:val="left"/>
        <w:rPr/>
      </w:pPr>
      <w:r>
        <w:rPr/>
        <w:t> </w:t>
      </w:r>
    </w:p>
    <w:tbl>
      <w:tblPr>
        <w:tblW w:w="8480" w:type="dxa"/>
        <w:jc w:val="left"/>
        <w:tblInd w:w="0" w:type="dxa"/>
        <w:tblLayout w:type="fixed"/>
        <w:tblCellMar>
          <w:top w:w="0" w:type="dxa"/>
          <w:left w:w="0" w:type="dxa"/>
          <w:bottom w:w="0" w:type="dxa"/>
          <w:right w:w="0" w:type="dxa"/>
        </w:tblCellMar>
      </w:tblPr>
      <w:tblGrid>
        <w:gridCol w:w="4160"/>
        <w:gridCol w:w="120"/>
        <w:gridCol w:w="60"/>
        <w:gridCol w:w="1220"/>
        <w:gridCol w:w="60"/>
        <w:gridCol w:w="120"/>
        <w:gridCol w:w="115"/>
        <w:gridCol w:w="1315"/>
        <w:gridCol w:w="60"/>
        <w:gridCol w:w="120"/>
        <w:gridCol w:w="85"/>
        <w:gridCol w:w="970"/>
        <w:gridCol w:w="75"/>
      </w:tblGrid>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Abstained</w:t>
            </w:r>
          </w:p>
        </w:tc>
        <w:tc>
          <w:tcPr>
            <w:tcW w:w="7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selection of Deloitte &amp; Touche LLP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243,814,085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25,551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18,176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0 </w:t>
      </w:r>
    </w:p>
    <w:p>
      <w:pPr>
        <w:pStyle w:val="TextBody"/>
        <w:bidi w:val="0"/>
        <w:spacing w:before="240" w:after="0"/>
        <w:jc w:val="left"/>
        <w:rPr>
          <w:rFonts w:ascii="Times New Roman" w:hAnsi="Times New Roman"/>
          <w:sz w:val="20"/>
        </w:rPr>
      </w:pPr>
      <w:r>
        <w:rPr>
          <w:rFonts w:ascii="Times New Roman" w:hAnsi="Times New Roman"/>
          <w:b/>
          <w:sz w:val="20"/>
        </w:rPr>
        <w:t>Proposal No. 3</w:t>
      </w:r>
      <w:r>
        <w:rPr>
          <w:rFonts w:ascii="Times New Roman" w:hAnsi="Times New Roman"/>
          <w:sz w:val="20"/>
        </w:rPr>
        <w:t xml:space="preserve">: Approval of, on a non-binding advisory basis, the compensation of the Company’s named executive officers, as disclosed in the proxy statement. The votes were cast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85"/>
        <w:gridCol w:w="120"/>
        <w:gridCol w:w="60"/>
        <w:gridCol w:w="1220"/>
        <w:gridCol w:w="60"/>
        <w:gridCol w:w="120"/>
        <w:gridCol w:w="73"/>
        <w:gridCol w:w="1357"/>
        <w:gridCol w:w="60"/>
        <w:gridCol w:w="120"/>
        <w:gridCol w:w="73"/>
        <w:gridCol w:w="982"/>
        <w:gridCol w:w="75"/>
      </w:tblGrid>
      <w:tr>
        <w:trPr/>
        <w:tc>
          <w:tcPr>
            <w:tcW w:w="5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Abstained</w:t>
            </w:r>
          </w:p>
        </w:tc>
        <w:tc>
          <w:tcPr>
            <w:tcW w:w="75"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Approval of the compensation of the Company’s named executive officers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168,142,551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36,396,784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345,291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38,973,186 </w:t>
      </w:r>
    </w:p>
    <w:p>
      <w:pPr>
        <w:pStyle w:val="TextBody"/>
        <w:bidi w:val="0"/>
        <w:spacing w:before="240" w:after="0"/>
        <w:jc w:val="left"/>
        <w:rPr>
          <w:rFonts w:ascii="Times New Roman" w:hAnsi="Times New Roman"/>
          <w:sz w:val="20"/>
        </w:rPr>
      </w:pPr>
      <w:r>
        <w:rPr>
          <w:rFonts w:ascii="Times New Roman" w:hAnsi="Times New Roman"/>
          <w:b/>
          <w:sz w:val="20"/>
        </w:rPr>
        <w:t>Proposal No. 4</w:t>
      </w:r>
      <w:r>
        <w:rPr>
          <w:rFonts w:ascii="Times New Roman" w:hAnsi="Times New Roman"/>
          <w:sz w:val="20"/>
        </w:rPr>
        <w:t xml:space="preserve">: Indication of, on a non-binding advisory basis, the preferred frequency of future stockholder advisory votes on the compensation of the Company’s named executive officers. The votes were cast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5"/>
        <w:gridCol w:w="120"/>
        <w:gridCol w:w="60"/>
        <w:gridCol w:w="1220"/>
        <w:gridCol w:w="60"/>
        <w:gridCol w:w="120"/>
        <w:gridCol w:w="60"/>
        <w:gridCol w:w="800"/>
        <w:gridCol w:w="60"/>
        <w:gridCol w:w="120"/>
        <w:gridCol w:w="60"/>
        <w:gridCol w:w="800"/>
        <w:gridCol w:w="60"/>
        <w:gridCol w:w="120"/>
        <w:gridCol w:w="85"/>
        <w:gridCol w:w="970"/>
        <w:gridCol w:w="75"/>
      </w:tblGrid>
      <w:tr>
        <w:trPr/>
        <w:tc>
          <w:tcPr>
            <w:tcW w:w="5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Two</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Abstained</w:t>
            </w:r>
          </w:p>
        </w:tc>
        <w:tc>
          <w:tcPr>
            <w:tcW w:w="75" w:type="dxa"/>
            <w:tcBorders/>
            <w:vAlign w:val="center"/>
          </w:tcPr>
          <w:p>
            <w:pPr>
              <w:pStyle w:val="TableContents"/>
              <w:bidi w:val="0"/>
              <w:spacing w:before="0" w:after="283"/>
              <w:jc w:val="left"/>
              <w:rPr/>
            </w:pPr>
            <w:r>
              <w:rPr/>
              <w:t> </w:t>
            </w:r>
          </w:p>
        </w:tc>
      </w:tr>
      <w:tr>
        <w:trPr/>
        <w:tc>
          <w:tcPr>
            <w:tcW w:w="5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Advisory indication of preferred frequency of future shareholder advisory votes on Company’s named executive officer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203,825,717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360,924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630,378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67,607</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38,973,186 </w:t>
      </w:r>
    </w:p>
    <w:p>
      <w:pPr>
        <w:pStyle w:val="TextBody"/>
        <w:bidi w:val="0"/>
        <w:spacing w:before="240" w:after="0"/>
        <w:jc w:val="left"/>
        <w:rPr>
          <w:rFonts w:ascii="Times New Roman" w:hAnsi="Times New Roman"/>
          <w:sz w:val="20"/>
        </w:rPr>
      </w:pPr>
      <w:r>
        <w:rPr>
          <w:rFonts w:ascii="Times New Roman" w:hAnsi="Times New Roman"/>
          <w:sz w:val="20"/>
        </w:rPr>
        <w:t>Consistent with the stockholder voting results above and the recommendation of the board of directors of the Company (the “</w:t>
      </w:r>
      <w:r>
        <w:rPr>
          <w:rFonts w:ascii="Times New Roman" w:hAnsi="Times New Roman"/>
          <w:b/>
          <w:i/>
          <w:sz w:val="20"/>
        </w:rPr>
        <w:t>Board</w:t>
      </w:r>
      <w:r>
        <w:rPr>
          <w:rFonts w:ascii="Times New Roman" w:hAnsi="Times New Roman"/>
          <w:sz w:val="20"/>
        </w:rPr>
        <w:t xml:space="preserve">”) as disclosed in the Proxy Statement for the Annual Meeting, the Company has determined to solicit a non-binding advisory vote on the compensation of the Company’s named executive officers every year until the next required stockholder vote on the frequency of such non-binding advisory vote, or until the Board of the Company determines that a different frequency of such non-binding advisory vote is in the best interest of the Company’s stockholders.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42" w:type="dxa"/>
        <w:jc w:val="left"/>
        <w:tblInd w:w="0" w:type="dxa"/>
        <w:tblLayout w:type="fixed"/>
        <w:tblCellMar>
          <w:top w:w="0" w:type="dxa"/>
          <w:left w:w="0" w:type="dxa"/>
          <w:bottom w:w="0" w:type="dxa"/>
          <w:right w:w="0" w:type="dxa"/>
        </w:tblCellMar>
      </w:tblPr>
      <w:tblGrid>
        <w:gridCol w:w="1940"/>
        <w:gridCol w:w="60"/>
        <w:gridCol w:w="23"/>
        <w:gridCol w:w="60"/>
        <w:gridCol w:w="407"/>
        <w:gridCol w:w="67"/>
        <w:gridCol w:w="248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9" w:type="dxa"/>
            <w:gridSpan w:val="3"/>
            <w:tcBorders/>
            <w:vAlign w:val="center"/>
          </w:tcPr>
          <w:p>
            <w:pPr>
              <w:pStyle w:val="TableContents"/>
              <w:bidi w:val="0"/>
              <w:spacing w:before="0" w:after="283"/>
              <w:jc w:val="left"/>
              <w:rPr>
                <w:b/>
              </w:rPr>
            </w:pPr>
            <w:r>
              <w:rPr>
                <w:b/>
              </w:rPr>
              <w:t>Taysha Gene Therapies,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7"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Dated: June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By:</w:t>
            </w:r>
          </w:p>
        </w:tc>
        <w:tc>
          <w:tcPr>
            <w:tcW w:w="67" w:type="dxa"/>
            <w:tcBorders/>
            <w:vAlign w:val="center"/>
          </w:tcPr>
          <w:p>
            <w:pPr>
              <w:pStyle w:val="TableContents"/>
              <w:bidi w:val="0"/>
              <w:spacing w:before="0" w:after="283"/>
              <w:jc w:val="left"/>
              <w:rPr/>
            </w:pPr>
            <w:r>
              <w:rPr/>
              <w:t> </w:t>
            </w:r>
          </w:p>
        </w:tc>
        <w:tc>
          <w:tcPr>
            <w:tcW w:w="2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Kamran Alam</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pPr>
            <w:r>
              <w:rPr/>
              <w:t>Kamran Alam</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782</Words>
  <Characters>4369</Characters>
  <CharactersWithSpaces>5212</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