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jc w:val="left"/>
        <w:rPr/>
      </w:pPr>
      <w:bookmarkStart w:id="0" w:name="tsha-20230331.htm"/>
      <w:bookmarkStart w:id="1" w:name="kstsha20230331"/>
      <w:bookmarkEnd w:id="0"/>
      <w:bookmarkEnd w:id="1"/>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0"/>
              <w:ind w:left="0" w:right="0" w:hanging="0"/>
              <w:jc w:val="left"/>
              <w:rPr/>
            </w:pPr>
            <w:r>
              <w:rPr/>
              <w:t>☐</w:t>
            </w:r>
          </w:p>
        </w:tc>
        <w:tc>
          <w:tcPr>
            <w:tcW w:w="9874" w:type="dxa"/>
            <w:tcBorders/>
            <w:vAlign w:val="center"/>
          </w:tcPr>
          <w:p>
            <w:pPr>
              <w:pStyle w:val="TableContents"/>
              <w:bidi w:val="0"/>
              <w:spacing w:before="16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transition period from ___________ to ___________</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001-39536</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48"/>
        </w:rPr>
      </w:pPr>
      <w:r>
        <w:rPr>
          <w:rFonts w:ascii="Times New Roman;serif" w:hAnsi="Times New Roman;serif"/>
          <w:b/>
          <w:sz w:val="48"/>
        </w:rPr>
        <w:t>Taysha Gene Therapies,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84-3199512</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016" w:type="dxa"/>
            <w:tcBorders/>
            <w:vAlign w:val="center"/>
          </w:tcPr>
          <w:p>
            <w:pPr>
              <w:pStyle w:val="TableContents"/>
              <w:bidi w:val="0"/>
              <w:spacing w:before="0" w:after="15"/>
              <w:ind w:left="0" w:right="0" w:hanging="0"/>
              <w:jc w:val="center"/>
              <w:rPr>
                <w:rFonts w:ascii="Times New Roman" w:hAnsi="Times New Roman"/>
                <w:sz w:val="20"/>
              </w:rPr>
            </w:pPr>
            <w:r>
              <w:rPr>
                <w:rFonts w:ascii="Times New Roman;serif" w:hAnsi="Times New Roman;serif"/>
                <w:b/>
                <w:sz w:val="20"/>
              </w:rPr>
              <w:t>3000 Pegasus Park Drive</w:t>
            </w:r>
            <w:r>
              <w:rPr>
                <w:rFonts w:ascii="Times New Roman" w:hAnsi="Times New Roman"/>
                <w:sz w:val="20"/>
              </w:rPr>
              <w:t xml:space="preserve"> </w:t>
            </w:r>
            <w:r>
              <w:rPr>
                <w:rFonts w:ascii="Times New Roman;serif" w:hAnsi="Times New Roman;serif"/>
                <w:b/>
                <w:sz w:val="20"/>
              </w:rPr>
              <w:t>Ste 1430</w:t>
            </w:r>
          </w:p>
          <w:p>
            <w:pPr>
              <w:pStyle w:val="TableContents"/>
              <w:bidi w:val="0"/>
              <w:spacing w:before="0" w:after="15"/>
              <w:ind w:left="0" w:right="0" w:hanging="0"/>
              <w:jc w:val="center"/>
              <w:rPr>
                <w:rFonts w:ascii="Times New Roman" w:hAnsi="Times New Roman"/>
                <w:sz w:val="20"/>
              </w:rPr>
            </w:pPr>
            <w:r>
              <w:rPr>
                <w:rFonts w:ascii="Times New Roman;serif" w:hAnsi="Times New Roman;serif"/>
                <w:b/>
                <w:sz w:val="20"/>
              </w:rPr>
              <w:t>Dallas, Texas</w:t>
            </w:r>
            <w:r>
              <w:rPr>
                <w:rFonts w:ascii="Times New Roman" w:hAnsi="Times New Roman"/>
                <w:sz w:val="20"/>
              </w:rPr>
              <w:t xml:space="preserve"> </w:t>
            </w:r>
          </w:p>
        </w:tc>
        <w:tc>
          <w:tcPr>
            <w:tcW w:w="12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75247</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(214) 612-0000</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3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TSHA</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72"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As of May 11, 2023, the registrant had 64,178,567</w:t>
      </w:r>
      <w:r>
        <w:rPr>
          <w:rFonts w:ascii="Times New Roman" w:hAnsi="Times New Roman"/>
          <w:sz w:val="20"/>
        </w:rPr>
        <w:t xml:space="preserve"> </w:t>
      </w:r>
      <w:r>
        <w:rPr>
          <w:rFonts w:ascii="Times New Roman;serif" w:hAnsi="Times New Roman;serif"/>
          <w:b w:val="false"/>
          <w:sz w:val="18"/>
        </w:rPr>
        <w:t>shares of common stock, $0.00001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Statements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stockh">
              <w:r>
                <w:rPr>
                  <w:rStyle w:val="InternetLink"/>
                  <w:rFonts w:ascii="Times New Roman;serif" w:hAnsi="Times New Roman;serif"/>
                  <w:b w:val="false"/>
                  <w:sz w:val="20"/>
                  <w:u w:val="single"/>
                </w:rPr>
                <w:t>Statements of Stockholders’ (Deficit)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_1organization_description_business_">
              <w:r>
                <w:rPr>
                  <w:rStyle w:val="InternetLink"/>
                  <w:rFonts w:ascii="Times New Roman;serif" w:hAnsi="Times New Roman;serif"/>
                  <w:b w:val="false"/>
                  <w:sz w:val="20"/>
                  <w:u w:val="single"/>
                </w:rPr>
                <w:t>Notes to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24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240" w:after="0"/>
        <w:jc w:val="center"/>
        <w:rPr>
          <w:rFonts w:ascii="Times New Roman;serif" w:hAnsi="Times New Roman;serif"/>
          <w:b/>
          <w:sz w:val="20"/>
        </w:rPr>
      </w:pPr>
      <w:r>
        <w:rPr>
          <w:rFonts w:ascii="Times New Roman;serif" w:hAnsi="Times New Roman;serif"/>
          <w:b/>
          <w:sz w:val="20"/>
        </w:rPr>
        <w:t>Taysha Gene Therapies, Inc.</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215"/>
        <w:gridCol w:w="146"/>
        <w:gridCol w:w="211"/>
        <w:gridCol w:w="841"/>
        <w:gridCol w:w="166"/>
        <w:gridCol w:w="146"/>
        <w:gridCol w:w="214"/>
        <w:gridCol w:w="854"/>
        <w:gridCol w:w="412"/>
      </w:tblGrid>
      <w:tr>
        <w:trPr/>
        <w:tc>
          <w:tcPr>
            <w:tcW w:w="7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8" w:type="dxa"/>
            <w:gridSpan w:val="2"/>
            <w:tcBorders/>
            <w:vAlign w:val="center"/>
          </w:tcPr>
          <w:p>
            <w:pPr>
              <w:pStyle w:val="TableContents"/>
              <w:bidi w:val="0"/>
              <w:spacing w:before="0" w:after="0"/>
              <w:ind w:left="0" w:right="0" w:hanging="0"/>
              <w:jc w:val="center"/>
              <w:rPr/>
            </w:pPr>
            <w:r>
              <w:rPr/>
              <w:t> </w:t>
            </w:r>
          </w:p>
        </w:tc>
        <w:tc>
          <w:tcPr>
            <w:tcW w:w="412" w:type="dxa"/>
            <w:tcBorders/>
            <w:vAlign w:val="center"/>
          </w:tcPr>
          <w:p>
            <w:pPr>
              <w:pStyle w:val="TableContents"/>
              <w:bidi w:val="0"/>
              <w:spacing w:before="0" w:after="0"/>
              <w:ind w:left="0" w:right="0" w:hanging="0"/>
              <w:jc w:val="center"/>
              <w:rPr/>
            </w:pPr>
            <w:r>
              <w:rPr/>
              <w:t> </w:t>
            </w:r>
          </w:p>
        </w:tc>
      </w:tr>
      <w:tr>
        <w:trPr/>
        <w:tc>
          <w:tcPr>
            <w:tcW w:w="72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200"/>
              <w:jc w:val="right"/>
              <w:rPr/>
            </w:pPr>
            <w:r>
              <w:rPr/>
              <w:t> </w:t>
            </w:r>
          </w:p>
        </w:tc>
      </w:tr>
      <w:tr>
        <w:trPr/>
        <w:tc>
          <w:tcPr>
            <w:tcW w:w="721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87,880</w:t>
            </w:r>
          </w:p>
        </w:tc>
        <w:tc>
          <w:tcPr>
            <w:tcW w:w="412" w:type="dxa"/>
            <w:tcBorders/>
            <w:vAlign w:val="center"/>
          </w:tcPr>
          <w:p>
            <w:pPr>
              <w:pStyle w:val="TableContents"/>
              <w:bidi w:val="0"/>
              <w:spacing w:before="0" w:after="0"/>
              <w:ind w:left="0" w:right="0" w:firstLine="200"/>
              <w:jc w:val="left"/>
              <w:rPr/>
            </w:pPr>
            <w:r>
              <w:rPr/>
              <w:t> </w:t>
            </w:r>
          </w:p>
        </w:tc>
      </w:tr>
      <w:tr>
        <w:trPr/>
        <w:tc>
          <w:tcPr>
            <w:tcW w:w="721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8,537</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96,417</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14,963</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10,943</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101,600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126,276</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(DEFICIT)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200"/>
              <w:jc w:val="right"/>
              <w:rPr/>
            </w:pPr>
            <w:r>
              <w:rPr/>
              <w:t> </w:t>
            </w:r>
          </w:p>
        </w:tc>
      </w:tr>
      <w:tr>
        <w:trPr/>
        <w:tc>
          <w:tcPr>
            <w:tcW w:w="721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10,946</w:t>
            </w:r>
          </w:p>
        </w:tc>
        <w:tc>
          <w:tcPr>
            <w:tcW w:w="412" w:type="dxa"/>
            <w:tcBorders/>
            <w:vAlign w:val="center"/>
          </w:tcPr>
          <w:p>
            <w:pPr>
              <w:pStyle w:val="TableContents"/>
              <w:bidi w:val="0"/>
              <w:spacing w:before="0" w:after="0"/>
              <w:ind w:left="0" w:right="0" w:firstLine="200"/>
              <w:jc w:val="left"/>
              <w:rPr/>
            </w:pPr>
            <w:r>
              <w:rPr/>
              <w:t> </w:t>
            </w:r>
          </w:p>
        </w:tc>
      </w:tr>
      <w:tr>
        <w:trPr/>
        <w:tc>
          <w:tcPr>
            <w:tcW w:w="721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18,287</w:t>
            </w:r>
          </w:p>
        </w:tc>
        <w:tc>
          <w:tcPr>
            <w:tcW w:w="412" w:type="dxa"/>
            <w:tcBorders/>
            <w:vAlign w:val="center"/>
          </w:tcPr>
          <w:p>
            <w:pPr>
              <w:pStyle w:val="TableContents"/>
              <w:bidi w:val="0"/>
              <w:spacing w:before="0" w:after="0"/>
              <w:ind w:left="0" w:right="0" w:firstLine="200"/>
              <w:jc w:val="left"/>
              <w:rPr/>
            </w:pPr>
            <w:r>
              <w:rPr/>
              <w:t> </w:t>
            </w:r>
          </w:p>
        </w:tc>
      </w:tr>
      <w:tr>
        <w:trPr/>
        <w:tc>
          <w:tcPr>
            <w:tcW w:w="721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33,557</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62,790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37,967</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20,440</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125,327</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 - Note 11</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Stockholders' (deficit)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8"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$0.00001</w:t>
            </w:r>
            <w:r>
              <w:rPr>
                <w:rFonts w:ascii="Times New Roman" w:hAnsi="Times New Roman"/>
                <w:sz w:val="20"/>
              </w:rPr>
              <w:t> </w:t>
            </w:r>
            <w:r>
              <w:rPr>
                <w:rFonts w:ascii="Times New Roman;serif" w:hAnsi="Times New Roman;serif"/>
                <w:b w:val="false"/>
                <w:sz w:val="20"/>
              </w:rPr>
              <w:t>par value per share; 10,000,000</w:t>
            </w:r>
            <w:r>
              <w:rPr>
                <w:rFonts w:ascii="Times New Roman" w:hAnsi="Times New Roman"/>
                <w:sz w:val="20"/>
              </w:rPr>
              <w:t> </w:t>
            </w:r>
            <w:r>
              <w:rPr>
                <w:rFonts w:ascii="Times New Roman;serif" w:hAnsi="Times New Roman;serif"/>
                <w:b w:val="false"/>
                <w:sz w:val="20"/>
              </w:rPr>
              <w:t>shares authorized and no</w:t>
            </w:r>
            <w:r>
              <w:rPr>
                <w:rFonts w:ascii="Times New Roman" w:hAnsi="Times New Roman"/>
                <w:sz w:val="20"/>
              </w:rPr>
              <w:t> </w:t>
            </w:r>
            <w:r>
              <w:rPr>
                <w:rFonts w:ascii="Times New Roman;serif" w:hAnsi="Times New Roman;serif"/>
                <w:b w:val="false"/>
                <w:sz w:val="20"/>
              </w:rPr>
              <w:t>shares issued and outstanding as of March 31,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$0.00001</w:t>
            </w:r>
            <w:r>
              <w:rPr>
                <w:rFonts w:ascii="Times New Roman" w:hAnsi="Times New Roman"/>
                <w:sz w:val="20"/>
              </w:rPr>
              <w:t> </w:t>
            </w:r>
            <w:r>
              <w:rPr>
                <w:rFonts w:ascii="Times New Roman;serif" w:hAnsi="Times New Roman;serif"/>
                <w:b w:val="false"/>
                <w:sz w:val="20"/>
              </w:rPr>
              <w:t>par value per share; 200,000,000</w:t>
            </w:r>
            <w:r>
              <w:rPr>
                <w:rFonts w:ascii="Times New Roman" w:hAnsi="Times New Roman"/>
                <w:sz w:val="20"/>
              </w:rPr>
              <w:t> </w:t>
            </w:r>
            <w:r>
              <w:rPr>
                <w:rFonts w:ascii="Times New Roman;serif" w:hAnsi="Times New Roman;serif"/>
                <w:b w:val="false"/>
                <w:sz w:val="20"/>
              </w:rPr>
              <w:t>shares authorized and 63,473,349</w:t>
            </w:r>
            <w:r>
              <w:rPr>
                <w:rFonts w:ascii="Times New Roman" w:hAnsi="Times New Roman"/>
                <w:sz w:val="20"/>
              </w:rPr>
              <w:t> </w:t>
            </w:r>
            <w:r>
              <w:rPr>
                <w:rFonts w:ascii="Times New Roman;serif" w:hAnsi="Times New Roman;serif"/>
                <w:b w:val="false"/>
                <w:sz w:val="20"/>
              </w:rPr>
              <w:t>and 63,207,507</w:t>
            </w:r>
            <w:r>
              <w:rPr>
                <w:rFonts w:ascii="Times New Roman" w:hAnsi="Times New Roman"/>
                <w:sz w:val="20"/>
              </w:rPr>
              <w:t> </w:t>
            </w:r>
            <w:r>
              <w:rPr>
                <w:rFonts w:ascii="Times New Roman;serif" w:hAnsi="Times New Roman;serif"/>
                <w:b w:val="false"/>
                <w:sz w:val="20"/>
              </w:rPr>
              <w:t>issued and outstanding as of March 31,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404,114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402,389</w:t>
            </w:r>
          </w:p>
        </w:tc>
        <w:tc>
          <w:tcPr>
            <w:tcW w:w="412" w:type="dxa"/>
            <w:tcBorders/>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(419,063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(401,441</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1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(deficit)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(deficit)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101,600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126,276</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Taysha Gene Therapies,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p>
      <w:pPr>
        <w:pStyle w:val="TextBody"/>
        <w:bidi w:val="0"/>
        <w:spacing w:before="0" w:after="0"/>
        <w:jc w:val="center"/>
        <w:rPr/>
      </w:pPr>
      <w:r>
        <w:rPr/>
        <w:t> </w:t>
      </w:r>
    </w:p>
    <w:tbl>
      <w:tblPr>
        <w:tblW w:w="8749" w:type="dxa"/>
        <w:jc w:val="left"/>
        <w:tblInd w:w="0" w:type="dxa"/>
        <w:tblLayout w:type="fixed"/>
        <w:tblCellMar>
          <w:top w:w="28" w:type="dxa"/>
          <w:left w:w="28" w:type="dxa"/>
          <w:bottom w:w="28" w:type="dxa"/>
          <w:right w:w="28" w:type="dxa"/>
        </w:tblCellMar>
      </w:tblPr>
      <w:tblGrid>
        <w:gridCol w:w="5386"/>
        <w:gridCol w:w="146"/>
        <w:gridCol w:w="211"/>
        <w:gridCol w:w="1036"/>
        <w:gridCol w:w="166"/>
        <w:gridCol w:w="146"/>
        <w:gridCol w:w="211"/>
        <w:gridCol w:w="1036"/>
        <w:gridCol w:w="4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firstLine="200"/>
              <w:jc w:val="center"/>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38,182</w:t>
            </w:r>
          </w:p>
        </w:tc>
        <w:tc>
          <w:tcPr>
            <w:tcW w:w="411"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11,469</w:t>
            </w:r>
          </w:p>
        </w:tc>
        <w:tc>
          <w:tcPr>
            <w:tcW w:w="411"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21,265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49,651</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(49,651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411"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(17,622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(50,317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63,260,905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38,174,717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Taysha Gene Therapies,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densed_consolidated_statements_stockh"/>
      <w:bookmarkEnd w:id="6"/>
      <w:r>
        <w:rPr>
          <w:rFonts w:ascii="Times New Roman;serif" w:hAnsi="Times New Roman;serif"/>
          <w:b/>
          <w:sz w:val="20"/>
        </w:rPr>
        <w:t>Condensed Consolidated Statements of Stockholders’ (Deficit)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Three Months Ended March 31, 2023</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068"/>
        <w:gridCol w:w="146"/>
        <w:gridCol w:w="146"/>
        <w:gridCol w:w="916"/>
        <w:gridCol w:w="146"/>
        <w:gridCol w:w="146"/>
        <w:gridCol w:w="228"/>
        <w:gridCol w:w="403"/>
        <w:gridCol w:w="146"/>
        <w:gridCol w:w="146"/>
        <w:gridCol w:w="196"/>
        <w:gridCol w:w="691"/>
        <w:gridCol w:w="146"/>
        <w:gridCol w:w="146"/>
        <w:gridCol w:w="196"/>
        <w:gridCol w:w="751"/>
        <w:gridCol w:w="166"/>
        <w:gridCol w:w="146"/>
        <w:gridCol w:w="243"/>
        <w:gridCol w:w="821"/>
        <w:gridCol w:w="212"/>
      </w:tblGrid>
      <w:tr>
        <w:trPr/>
        <w:tc>
          <w:tcPr>
            <w:tcW w:w="4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4"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2" w:type="dxa"/>
            <w:tcBorders/>
            <w:vAlign w:val="center"/>
          </w:tcPr>
          <w:p>
            <w:pPr>
              <w:pStyle w:val="TableContents"/>
              <w:bidi w:val="0"/>
              <w:spacing w:before="0" w:after="0"/>
              <w:ind w:left="0" w:right="0" w:hanging="0"/>
              <w:jc w:val="center"/>
              <w:rPr/>
            </w:pPr>
            <w:r>
              <w:rPr/>
              <w:t> </w:t>
            </w:r>
          </w:p>
        </w:tc>
      </w:tr>
      <w:tr>
        <w:trPr/>
        <w:tc>
          <w:tcPr>
            <w:tcW w:w="40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4"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Stockholders'</w:t>
            </w:r>
          </w:p>
        </w:tc>
        <w:tc>
          <w:tcPr>
            <w:tcW w:w="212" w:type="dxa"/>
            <w:tcBorders/>
            <w:vAlign w:val="center"/>
          </w:tcPr>
          <w:p>
            <w:pPr>
              <w:pStyle w:val="TableContents"/>
              <w:bidi w:val="0"/>
              <w:spacing w:before="0" w:after="0"/>
              <w:ind w:left="0" w:right="0" w:hanging="0"/>
              <w:jc w:val="center"/>
              <w:rPr/>
            </w:pPr>
            <w:r>
              <w:rPr/>
              <w:t> </w:t>
            </w:r>
          </w:p>
        </w:tc>
      </w:tr>
      <w:tr>
        <w:trPr/>
        <w:tc>
          <w:tcPr>
            <w:tcW w:w="40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Equity (Deficit)</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63,207,507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402,389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(401,441</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2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949</w:t>
            </w:r>
          </w:p>
        </w:tc>
        <w:tc>
          <w:tcPr>
            <w:tcW w:w="212" w:type="dxa"/>
            <w:tcBorders/>
            <w:vAlign w:val="center"/>
          </w:tcPr>
          <w:p>
            <w:pPr>
              <w:pStyle w:val="TableContents"/>
              <w:bidi w:val="0"/>
              <w:spacing w:before="0" w:after="0"/>
              <w:ind w:left="0" w:right="0" w:hanging="0"/>
              <w:jc w:val="left"/>
              <w:rPr/>
            </w:pPr>
            <w:r>
              <w:rPr/>
              <w:t> </w:t>
            </w:r>
          </w:p>
        </w:tc>
      </w:tr>
      <w:tr>
        <w:trPr/>
        <w:tc>
          <w:tcPr>
            <w:tcW w:w="406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w:t>
            </w:r>
          </w:p>
        </w:tc>
        <w:tc>
          <w:tcPr>
            <w:tcW w:w="212" w:type="dxa"/>
            <w:tcBorders/>
            <w:vAlign w:val="center"/>
          </w:tcPr>
          <w:p>
            <w:pPr>
              <w:pStyle w:val="TableContents"/>
              <w:bidi w:val="0"/>
              <w:spacing w:before="0" w:after="0"/>
              <w:ind w:left="0" w:right="0" w:hanging="0"/>
              <w:jc w:val="left"/>
              <w:rPr/>
            </w:pPr>
            <w:r>
              <w:rPr/>
              <w:t> </w:t>
            </w:r>
          </w:p>
        </w:tc>
      </w:tr>
      <w:tr>
        <w:trPr/>
        <w:tc>
          <w:tcPr>
            <w:tcW w:w="406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upon release of restricted stock units,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r>
      <w:tr>
        <w:trPr/>
        <w:tc>
          <w:tcPr>
            <w:tcW w:w="406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under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212" w:type="dxa"/>
            <w:tcBorders/>
            <w:vAlign w:val="center"/>
          </w:tcPr>
          <w:p>
            <w:pPr>
              <w:pStyle w:val="TableContents"/>
              <w:bidi w:val="0"/>
              <w:spacing w:before="0" w:after="0"/>
              <w:ind w:left="0" w:right="0" w:hanging="0"/>
              <w:jc w:val="left"/>
              <w:rPr/>
            </w:pPr>
            <w:r>
              <w:rPr/>
              <w:t> </w:t>
            </w:r>
          </w:p>
        </w:tc>
      </w:tr>
      <w:tr>
        <w:trPr/>
        <w:tc>
          <w:tcPr>
            <w:tcW w:w="406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(17,622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63,473,349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404,114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(419,063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(14,948</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Three Months Ended March 31, 2022</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083"/>
        <w:gridCol w:w="146"/>
        <w:gridCol w:w="146"/>
        <w:gridCol w:w="916"/>
        <w:gridCol w:w="146"/>
        <w:gridCol w:w="146"/>
        <w:gridCol w:w="228"/>
        <w:gridCol w:w="403"/>
        <w:gridCol w:w="146"/>
        <w:gridCol w:w="146"/>
        <w:gridCol w:w="196"/>
        <w:gridCol w:w="691"/>
        <w:gridCol w:w="146"/>
        <w:gridCol w:w="146"/>
        <w:gridCol w:w="196"/>
        <w:gridCol w:w="751"/>
        <w:gridCol w:w="166"/>
        <w:gridCol w:w="146"/>
        <w:gridCol w:w="239"/>
        <w:gridCol w:w="809"/>
        <w:gridCol w:w="213"/>
      </w:tblGrid>
      <w:tr>
        <w:trPr/>
        <w:tc>
          <w:tcPr>
            <w:tcW w:w="4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40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3" w:type="dxa"/>
            <w:tcBorders/>
            <w:vAlign w:val="center"/>
          </w:tcPr>
          <w:p>
            <w:pPr>
              <w:pStyle w:val="TableContents"/>
              <w:bidi w:val="0"/>
              <w:spacing w:before="0" w:after="0"/>
              <w:ind w:left="0" w:right="0" w:hanging="0"/>
              <w:jc w:val="center"/>
              <w:rPr/>
            </w:pPr>
            <w:r>
              <w:rPr/>
              <w:t> </w:t>
            </w:r>
          </w:p>
        </w:tc>
      </w:tr>
      <w:tr>
        <w:trPr/>
        <w:tc>
          <w:tcPr>
            <w:tcW w:w="40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8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Stockholders'</w:t>
            </w:r>
          </w:p>
        </w:tc>
        <w:tc>
          <w:tcPr>
            <w:tcW w:w="213" w:type="dxa"/>
            <w:tcBorders/>
            <w:vAlign w:val="center"/>
          </w:tcPr>
          <w:p>
            <w:pPr>
              <w:pStyle w:val="TableContents"/>
              <w:bidi w:val="0"/>
              <w:spacing w:before="0" w:after="0"/>
              <w:ind w:left="0" w:right="0" w:hanging="0"/>
              <w:jc w:val="center"/>
              <w:rPr/>
            </w:pPr>
            <w:r>
              <w:rPr/>
              <w:t> </w:t>
            </w:r>
          </w:p>
        </w:tc>
      </w:tr>
      <w:tr>
        <w:trPr/>
        <w:tc>
          <w:tcPr>
            <w:tcW w:w="40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Equity (Deficit)</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38,473,945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(235,649</w:t>
            </w:r>
          </w:p>
        </w:tc>
        <w:tc>
          <w:tcPr>
            <w:tcW w:w="1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09" w:type="dxa"/>
            <w:tcBorders/>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95,383</w:t>
            </w:r>
          </w:p>
        </w:tc>
        <w:tc>
          <w:tcPr>
            <w:tcW w:w="213" w:type="dxa"/>
            <w:tcBorders/>
            <w:vAlign w:val="center"/>
          </w:tcPr>
          <w:p>
            <w:pPr>
              <w:pStyle w:val="TableContents"/>
              <w:bidi w:val="0"/>
              <w:spacing w:before="0" w:after="0"/>
              <w:ind w:left="0" w:right="0" w:hanging="0"/>
              <w:jc w:val="left"/>
              <w:rPr/>
            </w:pPr>
            <w:r>
              <w:rPr/>
              <w:t> </w:t>
            </w:r>
          </w:p>
        </w:tc>
      </w:tr>
      <w:tr>
        <w:trPr/>
        <w:tc>
          <w:tcPr>
            <w:tcW w:w="40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 to beginning accumulated deficit from the adoption of ASC 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222</w:t>
            </w:r>
          </w:p>
        </w:tc>
        <w:tc>
          <w:tcPr>
            <w:tcW w:w="213" w:type="dxa"/>
            <w:tcBorders/>
            <w:vAlign w:val="center"/>
          </w:tcPr>
          <w:p>
            <w:pPr>
              <w:pStyle w:val="TableContents"/>
              <w:bidi w:val="0"/>
              <w:spacing w:before="0" w:after="0"/>
              <w:ind w:left="0" w:right="0" w:hanging="0"/>
              <w:jc w:val="left"/>
              <w:rPr/>
            </w:pPr>
            <w:r>
              <w:rPr/>
              <w:t> </w:t>
            </w:r>
          </w:p>
        </w:tc>
      </w:tr>
      <w:tr>
        <w:trPr/>
        <w:tc>
          <w:tcPr>
            <w:tcW w:w="40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5,453</w:t>
            </w:r>
          </w:p>
        </w:tc>
        <w:tc>
          <w:tcPr>
            <w:tcW w:w="213" w:type="dxa"/>
            <w:tcBorders/>
            <w:vAlign w:val="center"/>
          </w:tcPr>
          <w:p>
            <w:pPr>
              <w:pStyle w:val="TableContents"/>
              <w:bidi w:val="0"/>
              <w:spacing w:before="0" w:after="0"/>
              <w:ind w:left="0" w:right="0" w:hanging="0"/>
              <w:jc w:val="left"/>
              <w:rPr/>
            </w:pPr>
            <w:r>
              <w:rPr/>
              <w:t> </w:t>
            </w:r>
          </w:p>
        </w:tc>
      </w:tr>
      <w:tr>
        <w:trPr/>
        <w:tc>
          <w:tcPr>
            <w:tcW w:w="40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(50,317</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38,473,945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336,485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(285,744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50,741</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Taysha Gene Therapies,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densed_consolidated_statements_cash_f"/>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159" w:type="dxa"/>
        <w:jc w:val="left"/>
        <w:tblInd w:w="0" w:type="dxa"/>
        <w:tblLayout w:type="fixed"/>
        <w:tblCellMar>
          <w:top w:w="28" w:type="dxa"/>
          <w:left w:w="28" w:type="dxa"/>
          <w:bottom w:w="28" w:type="dxa"/>
          <w:right w:w="28" w:type="dxa"/>
        </w:tblCellMar>
      </w:tblPr>
      <w:tblGrid>
        <w:gridCol w:w="6151"/>
        <w:gridCol w:w="146"/>
        <w:gridCol w:w="211"/>
        <w:gridCol w:w="736"/>
        <w:gridCol w:w="166"/>
        <w:gridCol w:w="146"/>
        <w:gridCol w:w="211"/>
        <w:gridCol w:w="781"/>
        <w:gridCol w:w="6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5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611" w:type="dxa"/>
            <w:tcBorders/>
            <w:vAlign w:val="center"/>
          </w:tcPr>
          <w:p>
            <w:pPr>
              <w:pStyle w:val="TableContents"/>
              <w:bidi w:val="0"/>
              <w:spacing w:before="0" w:after="0"/>
              <w:ind w:left="0" w:right="0" w:hanging="0"/>
              <w:jc w:val="center"/>
              <w:rPr/>
            </w:pPr>
            <w:r>
              <w:rPr/>
              <w:t> </w:t>
            </w:r>
          </w:p>
        </w:tc>
      </w:tr>
      <w:tr>
        <w:trPr/>
        <w:tc>
          <w:tcPr>
            <w:tcW w:w="6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(50,317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611" w:type="dxa"/>
            <w:tcBorders/>
            <w:vAlign w:val="center"/>
          </w:tcPr>
          <w:p>
            <w:pPr>
              <w:pStyle w:val="TableContents"/>
              <w:bidi w:val="0"/>
              <w:spacing w:before="0" w:after="0"/>
              <w:ind w:left="0" w:right="0" w:firstLine="200"/>
              <w:jc w:val="left"/>
              <w:rPr/>
            </w:pPr>
            <w:r>
              <w:rPr/>
              <w:t> </w:t>
            </w:r>
          </w:p>
        </w:tc>
      </w:tr>
      <w:tr>
        <w:trPr/>
        <w:tc>
          <w:tcPr>
            <w:tcW w:w="6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license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611" w:type="dxa"/>
            <w:tcBorders/>
            <w:vAlign w:val="center"/>
          </w:tcPr>
          <w:p>
            <w:pPr>
              <w:pStyle w:val="TableContents"/>
              <w:bidi w:val="0"/>
              <w:spacing w:before="0" w:after="0"/>
              <w:ind w:left="0" w:right="0" w:firstLine="200"/>
              <w:jc w:val="left"/>
              <w:rPr/>
            </w:pPr>
            <w:r>
              <w:rPr/>
              <w:t> </w:t>
            </w:r>
          </w:p>
        </w:tc>
      </w:tr>
      <w:tr>
        <w:trPr/>
        <w:tc>
          <w:tcPr>
            <w:tcW w:w="6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w:t>
            </w:r>
          </w:p>
        </w:tc>
        <w:tc>
          <w:tcPr>
            <w:tcW w:w="611" w:type="dxa"/>
            <w:tcBorders/>
            <w:vAlign w:val="center"/>
          </w:tcPr>
          <w:p>
            <w:pPr>
              <w:pStyle w:val="TableContents"/>
              <w:bidi w:val="0"/>
              <w:spacing w:before="0" w:after="0"/>
              <w:ind w:left="0" w:right="0" w:firstLine="200"/>
              <w:jc w:val="left"/>
              <w:rPr/>
            </w:pPr>
            <w:r>
              <w:rPr/>
              <w:t> </w:t>
            </w:r>
          </w:p>
        </w:tc>
      </w:tr>
      <w:tr>
        <w:trPr/>
        <w:tc>
          <w:tcPr>
            <w:tcW w:w="6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611" w:type="dxa"/>
            <w:tcBorders/>
            <w:vAlign w:val="center"/>
          </w:tcPr>
          <w:p>
            <w:pPr>
              <w:pStyle w:val="TableContents"/>
              <w:bidi w:val="0"/>
              <w:spacing w:before="0" w:after="0"/>
              <w:ind w:left="0" w:right="0" w:firstLine="200"/>
              <w:jc w:val="left"/>
              <w:rPr/>
            </w:pPr>
            <w:r>
              <w:rPr/>
              <w:t> </w:t>
            </w:r>
          </w:p>
        </w:tc>
      </w:tr>
      <w:tr>
        <w:trPr/>
        <w:tc>
          <w:tcPr>
            <w:tcW w:w="6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611" w:type="dxa"/>
            <w:tcBorders/>
            <w:vAlign w:val="center"/>
          </w:tcPr>
          <w:p>
            <w:pPr>
              <w:pStyle w:val="TableContents"/>
              <w:bidi w:val="0"/>
              <w:spacing w:before="0" w:after="0"/>
              <w:ind w:left="0" w:right="0" w:firstLine="200"/>
              <w:jc w:val="left"/>
              <w:rPr/>
            </w:pPr>
            <w:r>
              <w:rPr/>
              <w:t> </w:t>
            </w:r>
          </w:p>
        </w:tc>
      </w:tr>
      <w:tr>
        <w:trPr/>
        <w:tc>
          <w:tcPr>
            <w:tcW w:w="6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400"/>
              <w:jc w:val="left"/>
              <w:rPr/>
            </w:pPr>
            <w:r>
              <w:rPr/>
              <w:t> </w:t>
            </w:r>
          </w:p>
        </w:tc>
      </w:tr>
      <w:tr>
        <w:trPr/>
        <w:tc>
          <w:tcPr>
            <w:tcW w:w="61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611" w:type="dxa"/>
            <w:tcBorders/>
            <w:vAlign w:val="center"/>
          </w:tcPr>
          <w:p>
            <w:pPr>
              <w:pStyle w:val="TableContents"/>
              <w:bidi w:val="0"/>
              <w:spacing w:before="0" w:after="0"/>
              <w:ind w:left="0" w:right="0" w:firstLine="400"/>
              <w:jc w:val="left"/>
              <w:rPr/>
            </w:pPr>
            <w:r>
              <w:rPr/>
              <w:t> </w:t>
            </w:r>
          </w:p>
        </w:tc>
      </w:tr>
      <w:tr>
        <w:trPr/>
        <w:tc>
          <w:tcPr>
            <w:tcW w:w="61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2,544</w:t>
            </w:r>
          </w:p>
        </w:tc>
        <w:tc>
          <w:tcPr>
            <w:tcW w:w="611" w:type="dxa"/>
            <w:tcBorders/>
            <w:vAlign w:val="center"/>
          </w:tcPr>
          <w:p>
            <w:pPr>
              <w:pStyle w:val="TableContents"/>
              <w:bidi w:val="0"/>
              <w:spacing w:before="0" w:after="0"/>
              <w:ind w:left="0" w:right="0" w:firstLine="400"/>
              <w:jc w:val="left"/>
              <w:rPr/>
            </w:pPr>
            <w:r>
              <w:rPr/>
              <w:t> </w:t>
            </w:r>
          </w:p>
        </w:tc>
      </w:tr>
      <w:tr>
        <w:trPr/>
        <w:tc>
          <w:tcPr>
            <w:tcW w:w="61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research and development license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plant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shelf registration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common stock issuances under ESPP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(52,473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the beginning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90,517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151,740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the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66,062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99,267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1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96,630</w:t>
            </w:r>
          </w:p>
        </w:tc>
        <w:tc>
          <w:tcPr>
            <w:tcW w:w="611" w:type="dxa"/>
            <w:tcBorders/>
            <w:vAlign w:val="center"/>
          </w:tcPr>
          <w:p>
            <w:pPr>
              <w:pStyle w:val="TableContents"/>
              <w:bidi w:val="0"/>
              <w:spacing w:before="0" w:after="0"/>
              <w:ind w:left="0" w:right="0" w:firstLine="400"/>
              <w:jc w:val="left"/>
              <w:rPr/>
            </w:pPr>
            <w:r>
              <w:rPr/>
              <w:t> </w:t>
            </w:r>
          </w:p>
        </w:tc>
      </w:tr>
      <w:tr>
        <w:trPr/>
        <w:tc>
          <w:tcPr>
            <w:tcW w:w="61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the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66,062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20"/>
              </w:rPr>
            </w:pPr>
            <w:r>
              <w:rPr>
                <w:rFonts w:ascii="Times New Roman;serif" w:hAnsi="Times New Roman;serif"/>
                <w:b/>
                <w:sz w:val="20"/>
              </w:rPr>
              <w:t>99,267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in 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4,513</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18,634</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Offering costs not yet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611" w:type="dxa"/>
            <w:tcBorders/>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research and development license not yet paid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consolidated financial statements</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8" w:name="note_1organization_description_business_"/>
      <w:bookmarkEnd w:id="8"/>
      <w:r>
        <w:rPr>
          <w:rFonts w:ascii="Times New Roman;serif" w:hAnsi="Times New Roman;serif"/>
          <w:b/>
          <w:sz w:val="20"/>
        </w:rPr>
        <w:t>Note 1—Organization and Description of Business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Taysha is a patient-centric gene therapy company focused on developing and commercializing AAV-based gene therapies for the treatment of monogenic diseases of the central nervous system in both rare and large patient populations.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w:t>
      </w:r>
      <w:r>
        <w:rPr>
          <w:rFonts w:ascii="Times New Roman" w:hAnsi="Times New Roman"/>
          <w:sz w:val="20"/>
        </w:rPr>
        <w:t xml:space="preserve"> </w:t>
      </w:r>
      <w:r>
        <w:rPr>
          <w:rFonts w:ascii="Times New Roman;serif" w:hAnsi="Times New Roman;serif"/>
          <w:b w:val="false"/>
          <w:sz w:val="20"/>
        </w:rPr>
        <w:t>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w:t>
      </w:r>
      <w:r>
        <w:rPr>
          <w:rFonts w:ascii="Times New Roman" w:hAnsi="Times New Roman"/>
          <w:sz w:val="20"/>
        </w:rPr>
        <w:t xml:space="preserve"> </w:t>
      </w:r>
      <w:r>
        <w:rPr>
          <w:rFonts w:ascii="Times New Roman;serif" w:hAnsi="Times New Roman;serif"/>
          <w:b w:val="false"/>
          <w:sz w:val="20"/>
        </w:rPr>
        <w:t>shares of common stock under the Sales Agreement and received $11.6</w:t>
      </w:r>
      <w:r>
        <w:rPr>
          <w:rFonts w:ascii="Times New Roman" w:hAnsi="Times New Roman"/>
          <w:sz w:val="20"/>
        </w:rPr>
        <w:t xml:space="preserve"> </w:t>
      </w:r>
      <w:r>
        <w:rPr>
          <w:rFonts w:ascii="Times New Roman;serif" w:hAnsi="Times New Roman;serif"/>
          <w:b w:val="false"/>
          <w:sz w:val="20"/>
        </w:rPr>
        <w:t>million in net proceeds. No</w:t>
      </w:r>
      <w:r>
        <w:rPr>
          <w:rFonts w:ascii="Times New Roman" w:hAnsi="Times New Roman"/>
          <w:sz w:val="20"/>
        </w:rPr>
        <w:t xml:space="preserve"> </w:t>
      </w:r>
      <w:r>
        <w:rPr>
          <w:rFonts w:ascii="Times New Roman;serif" w:hAnsi="Times New Roman;serif"/>
          <w:b w:val="false"/>
          <w:sz w:val="20"/>
        </w:rPr>
        <w:t>other shares of common stock have been issued and sold pursuant to the Sales Agreement as of March 31, 2023.</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Liquidity and Going Concern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Pursuant to ASC 205, </w:t>
      </w:r>
      <w:r>
        <w:rPr>
          <w:rFonts w:ascii="Times New Roman;serif" w:hAnsi="Times New Roman;serif"/>
          <w:b w:val="false"/>
          <w:i/>
          <w:sz w:val="20"/>
        </w:rPr>
        <w:t>Presentation of Financial Statements</w:t>
      </w:r>
      <w:r>
        <w:rPr>
          <w:rFonts w:ascii="Times New Roman;serif" w:hAnsi="Times New Roman;serif"/>
          <w:b w:val="false"/>
          <w:sz w:val="20"/>
        </w:rPr>
        <w:t>, the Company is required to and does evaluate at each annual and interim period whether there are conditions or events, considered in the aggregate, that raise substantial doubt about its ability to continue as a going concern within one year after the date that the condensed consolidated financial statements are issued. The Company concluded that there was insufficient funding available to allow the Company to fund its currently planned research and discovery programs for a period exceeding one year from the filing of those financial statements, and that those conditions raised substantial doubt about the Company’s ability to continue as a going concern.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October 2022, the Company entered into a securities purchase agreement (the “Securities Purchase Agreement”) and an option agreement (the “Option Agreement,” together with the Securities Purchase Agreement, the “Astellas Transactions”) with Audentes Therapeutics, Inc. (d/b/a Astellas Gene Therapy) (“Astellas”), pursuant to which the Company agreed to issue and sell 7,266,342</w:t>
      </w:r>
      <w:r>
        <w:rPr>
          <w:rFonts w:ascii="Times New Roman" w:hAnsi="Times New Roman"/>
          <w:sz w:val="20"/>
        </w:rPr>
        <w:t xml:space="preserve"> </w:t>
      </w:r>
      <w:r>
        <w:rPr>
          <w:rFonts w:ascii="Times New Roman;serif" w:hAnsi="Times New Roman;serif"/>
          <w:b w:val="false"/>
          <w:sz w:val="20"/>
        </w:rPr>
        <w:t>shares of its common stock for aggregate proceeds of $30.0</w:t>
      </w:r>
      <w:r>
        <w:rPr>
          <w:rFonts w:ascii="Times New Roman" w:hAnsi="Times New Roman"/>
          <w:sz w:val="20"/>
        </w:rPr>
        <w:t xml:space="preserve"> </w:t>
      </w:r>
      <w:r>
        <w:rPr>
          <w:rFonts w:ascii="Times New Roman;serif" w:hAnsi="Times New Roman;serif"/>
          <w:b w:val="false"/>
          <w:sz w:val="20"/>
        </w:rPr>
        <w:t>million and received a one-time payment in the amount of $20.0</w:t>
      </w:r>
      <w:r>
        <w:rPr>
          <w:rFonts w:ascii="Times New Roman" w:hAnsi="Times New Roman"/>
          <w:sz w:val="20"/>
        </w:rPr>
        <w:t xml:space="preserve"> </w:t>
      </w:r>
      <w:r>
        <w:rPr>
          <w:rFonts w:ascii="Times New Roman;serif" w:hAnsi="Times New Roman;serif"/>
          <w:b w:val="false"/>
          <w:sz w:val="20"/>
        </w:rPr>
        <w:t>million (the “Upfront Payment”), respectively, for total gross proceeds of $50.0</w:t>
      </w:r>
      <w:r>
        <w:rPr>
          <w:rFonts w:ascii="Times New Roman" w:hAnsi="Times New Roman"/>
          <w:sz w:val="20"/>
        </w:rPr>
        <w:t xml:space="preserve"> </w:t>
      </w:r>
      <w:r>
        <w:rPr>
          <w:rFonts w:ascii="Times New Roman;serif" w:hAnsi="Times New Roman;serif"/>
          <w:b w:val="false"/>
          <w:sz w:val="20"/>
        </w:rPr>
        <w:t>million. See Note 5 for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Also in October 2022, the Company entered into an underwriting agreement (the “Underwriting Agreement”) with Goldman Sachs &amp; Co. LLC (the "Underwriter”) to issue and sell 14,000,000</w:t>
      </w:r>
      <w:r>
        <w:rPr>
          <w:rFonts w:ascii="Times New Roman" w:hAnsi="Times New Roman"/>
          <w:sz w:val="20"/>
        </w:rPr>
        <w:t xml:space="preserve"> </w:t>
      </w:r>
      <w:r>
        <w:rPr>
          <w:rFonts w:ascii="Times New Roman;serif" w:hAnsi="Times New Roman;serif"/>
          <w:b w:val="false"/>
          <w:sz w:val="20"/>
        </w:rPr>
        <w:t>shares of common stock at a price to the public of $2.00</w:t>
      </w:r>
      <w:r>
        <w:rPr>
          <w:rFonts w:ascii="Times New Roman" w:hAnsi="Times New Roman"/>
          <w:sz w:val="20"/>
        </w:rPr>
        <w:t xml:space="preserve"> </w:t>
      </w:r>
      <w:r>
        <w:rPr>
          <w:rFonts w:ascii="Times New Roman;serif" w:hAnsi="Times New Roman;serif"/>
          <w:b w:val="false"/>
          <w:sz w:val="20"/>
        </w:rPr>
        <w:t>per share. The Underwriter exercised its option to purchase an additional 765,226</w:t>
      </w:r>
      <w:r>
        <w:rPr>
          <w:rFonts w:ascii="Times New Roman" w:hAnsi="Times New Roman"/>
          <w:sz w:val="20"/>
        </w:rPr>
        <w:t xml:space="preserve"> </w:t>
      </w:r>
      <w:r>
        <w:rPr>
          <w:rFonts w:ascii="Times New Roman;serif" w:hAnsi="Times New Roman;serif"/>
          <w:b w:val="false"/>
          <w:sz w:val="20"/>
        </w:rPr>
        <w:t>shares of the Company’s common stock at a price of $1.88</w:t>
      </w:r>
      <w:r>
        <w:rPr>
          <w:rFonts w:ascii="Times New Roman" w:hAnsi="Times New Roman"/>
          <w:sz w:val="20"/>
        </w:rPr>
        <w:t xml:space="preserve"> </w:t>
      </w:r>
      <w:r>
        <w:rPr>
          <w:rFonts w:ascii="Times New Roman;serif" w:hAnsi="Times New Roman;serif"/>
          <w:b w:val="false"/>
          <w:sz w:val="20"/>
        </w:rPr>
        <w:t>per share. The net proceeds from the offering were $27.7</w:t>
      </w:r>
      <w:r>
        <w:rPr>
          <w:rFonts w:ascii="Times New Roman" w:hAnsi="Times New Roman"/>
          <w:sz w:val="20"/>
        </w:rPr>
        <w:t xml:space="preserve"> </w:t>
      </w:r>
      <w:r>
        <w:rPr>
          <w:rFonts w:ascii="Times New Roman;serif" w:hAnsi="Times New Roman;serif"/>
          <w:b w:val="false"/>
          <w:sz w:val="20"/>
        </w:rPr>
        <w:t>million, after deducting underwriting discounts and other offering expenses.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incurred operating losses since inception and expects to continue to incur significant operating losses for the foreseeable future and may never become profitable. As of March 31, 2023, the Company had an accumulated deficit of</w:t>
      </w:r>
      <w:r>
        <w:rPr>
          <w:rFonts w:ascii="Times New Roman" w:hAnsi="Times New Roman"/>
          <w:sz w:val="20"/>
        </w:rPr>
        <w:t xml:space="preserve"> </w:t>
      </w:r>
      <w:r>
        <w:rPr>
          <w:rFonts w:ascii="Times New Roman;serif" w:hAnsi="Times New Roman;serif"/>
          <w:b w:val="false"/>
          <w:sz w:val="20"/>
        </w:rPr>
        <w:t>$419.1</w:t>
      </w:r>
      <w:r>
        <w:rPr>
          <w:rFonts w:ascii="Times New Roman" w:hAnsi="Times New Roman"/>
          <w:sz w:val="20"/>
        </w:rPr>
        <w:t xml:space="preserve"> </w:t>
      </w:r>
      <w:r>
        <w:rPr>
          <w:rFonts w:ascii="Times New Roman;serif" w:hAnsi="Times New Roman;serif"/>
          <w:b w:val="false"/>
          <w:sz w:val="20"/>
        </w:rPr>
        <w:t>million. Losses are expected to continue as the Company continues to invest in its research and development activities.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Note 2—Summary of 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2022, filed with the Securities and Exchange Commission ("SEC") on March 28, 2023 (the “2022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2022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2022 Annual Report.</w:t>
      </w:r>
    </w:p>
    <w:p>
      <w:pPr>
        <w:pStyle w:val="TextBody"/>
        <w:bidi w:val="0"/>
        <w:spacing w:before="360" w:after="0"/>
        <w:jc w:val="left"/>
        <w:rPr>
          <w:rFonts w:ascii="Times New Roman" w:hAnsi="Times New Roman"/>
          <w:sz w:val="20"/>
        </w:rPr>
      </w:pPr>
      <w:r>
        <w:rPr>
          <w:rFonts w:ascii="Times New Roman;serif" w:hAnsi="Times New Roman;serif"/>
          <w:b/>
          <w:sz w:val="20"/>
        </w:rPr>
        <w:t>Principles of Consolidation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interim condensed consolidated financial statements include the accounts of Taysha and its wholly owned subsidiaries. All intercompany transactions and balances have been eliminated in consolidation.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(as an input into stock-based compensation), estimating manufacturing accruals and accrued or prepaid research and development expenses, the measurement of impairment of long-lived assets, and the allocation of consideration received in connection with the Astellas Transactions.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Significant Accounting Policies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changes in the Company’s significant accounting policies as disclosed in Note 2 to the audited consolidated financial statements included in the 2022 Annual Report.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Comprehensive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Comprehensive loss is equal to net loss as presented in the accompanying condensed consolidated statements of operations.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Recently Adopted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December 31, 2022, the Company adopted</w:t>
      </w:r>
      <w:r>
        <w:rPr>
          <w:rFonts w:ascii="Times New Roman" w:hAnsi="Times New Roman"/>
          <w:sz w:val="20"/>
        </w:rPr>
        <w:t xml:space="preserve"> </w:t>
      </w:r>
      <w:r>
        <w:rPr>
          <w:rFonts w:ascii="Times New Roman;serif" w:hAnsi="Times New Roman;serif"/>
          <w:b w:val="false"/>
          <w:sz w:val="20"/>
        </w:rPr>
        <w:t>ASU 2016-02 using the modified retrospective approach and utilizing the effective date as its date of initial application.</w:t>
      </w:r>
      <w:r>
        <w:rPr>
          <w:rFonts w:ascii="Times New Roman" w:hAnsi="Times New Roman"/>
          <w:sz w:val="20"/>
        </w:rPr>
        <w:t xml:space="preserve"> </w:t>
      </w:r>
      <w:r>
        <w:rPr>
          <w:rFonts w:ascii="Times New Roman;serif" w:hAnsi="Times New Roman;serif"/>
          <w:b w:val="false"/>
          <w:sz w:val="20"/>
        </w:rPr>
        <w:t>The Company has retrospectively changed its previously issued condensed consolidated financial statements as of March 31, 2022 as presented within the Company's March 31, 2022 Quarterly Report on Form 10-Q to reflect the adoption of ASC 842 on January 1, 2022. The condensed consolidated financial statements for the three months ended March 31, 2022 presented herein differ from the Company's condensed consolidated financial statements included in the Company's March 31, 2022 Quarterly Report on Form 10-Q as those condensed consolidated financial statements were prepared using the former accounting standard referred to as ASC Topic 840, Leases.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 For leases that existed prior to the date of initial application of ASC 842 (which were previously classified as operating leases), a lessee may elect to use either the total lease term measured at lease inception under ASC 840 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pStyle w:val="TextBody"/>
        <w:bidi w:val="0"/>
        <w:spacing w:before="240" w:after="0"/>
        <w:jc w:val="left"/>
        <w:rPr>
          <w:rFonts w:ascii="Times New Roman" w:hAnsi="Times New Roman"/>
          <w:sz w:val="20"/>
        </w:rPr>
      </w:pPr>
      <w:r>
        <w:rPr>
          <w:rFonts w:ascii="Times New Roman;serif" w:hAnsi="Times New Roman;serif"/>
          <w:b w:val="false"/>
          <w:sz w:val="20"/>
        </w:rPr>
        <w:t>The adoption of this standard resulted in the recognition of operating lease right-of-use assets and operating lease liabilities of $18.4</w:t>
      </w:r>
      <w:r>
        <w:rPr>
          <w:rFonts w:ascii="Times New Roman" w:hAnsi="Times New Roman"/>
          <w:sz w:val="20"/>
        </w:rPr>
        <w:t xml:space="preserve"> </w:t>
      </w:r>
      <w:r>
        <w:rPr>
          <w:rFonts w:ascii="Times New Roman;serif" w:hAnsi="Times New Roman;serif"/>
          <w:b w:val="false"/>
          <w:sz w:val="20"/>
        </w:rPr>
        <w:t>million and $19.1</w:t>
      </w:r>
      <w:r>
        <w:rPr>
          <w:rFonts w:ascii="Times New Roman" w:hAnsi="Times New Roman"/>
          <w:sz w:val="20"/>
        </w:rPr>
        <w:t xml:space="preserve"> </w:t>
      </w:r>
      <w:r>
        <w:rPr>
          <w:rFonts w:ascii="Times New Roman;serif" w:hAnsi="Times New Roman;serif"/>
          <w:b w:val="false"/>
          <w:sz w:val="20"/>
        </w:rPr>
        <w:t>million, respectively, on the Company’s condensed consolidated balance sheet at adoption relating to its operating leases. The lease liabilities were determined based on the present value of the remaining minimum lease payments. Upon adoption of ASC 842, the Company also (i) derecognized the build-to-suit lease asset of $26.3</w:t>
      </w:r>
      <w:r>
        <w:rPr>
          <w:rFonts w:ascii="Times New Roman" w:hAnsi="Times New Roman"/>
          <w:sz w:val="20"/>
        </w:rPr>
        <w:t xml:space="preserve"> </w:t>
      </w:r>
      <w:r>
        <w:rPr>
          <w:rFonts w:ascii="Times New Roman;serif" w:hAnsi="Times New Roman;serif"/>
          <w:b w:val="false"/>
          <w:sz w:val="20"/>
        </w:rPr>
        <w:t>million previously presented in property, plant and equipment, (ii) derecognized the build-to-suit lease liability of $26.5</w:t>
      </w:r>
      <w:r>
        <w:rPr>
          <w:rFonts w:ascii="Times New Roman" w:hAnsi="Times New Roman"/>
          <w:sz w:val="20"/>
        </w:rPr>
        <w:t xml:space="preserve"> </w:t>
      </w:r>
      <w:r>
        <w:rPr>
          <w:rFonts w:ascii="Times New Roman;serif" w:hAnsi="Times New Roman;serif"/>
          <w:b w:val="false"/>
          <w:sz w:val="20"/>
        </w:rPr>
        <w:t>million, and (iii) eliminated $0.7</w:t>
      </w:r>
      <w:r>
        <w:rPr>
          <w:rFonts w:ascii="Times New Roman" w:hAnsi="Times New Roman"/>
          <w:sz w:val="20"/>
        </w:rPr>
        <w:t xml:space="preserve"> </w:t>
      </w:r>
      <w:r>
        <w:rPr>
          <w:rFonts w:ascii="Times New Roman;serif" w:hAnsi="Times New Roman;serif"/>
          <w:b w:val="false"/>
          <w:sz w:val="20"/>
        </w:rPr>
        <w:t>million of deferred rent liabilities and tenant improvement allowances as of January 1, 2022 as these liabilities are reflected in the operating lease right-of-use assets. In adopting ASU 2016-02, the Company recorded a total one-time adjustment of $0.2</w:t>
      </w:r>
      <w:r>
        <w:rPr>
          <w:rFonts w:ascii="Times New Roman" w:hAnsi="Times New Roman"/>
          <w:sz w:val="20"/>
        </w:rPr>
        <w:t xml:space="preserve"> </w:t>
      </w:r>
      <w:r>
        <w:rPr>
          <w:rFonts w:ascii="Times New Roman;serif" w:hAnsi="Times New Roman;serif"/>
          <w:b w:val="false"/>
          <w:sz w:val="20"/>
        </w:rPr>
        <w:t>million to the opening balance of accumulated deficit as of January 1, 2022 related to the de-recognition of the build-to-suit lease asset and related build-to-suit lease obligation. The adoption did not</w:t>
      </w:r>
      <w:r>
        <w:rPr>
          <w:rFonts w:ascii="Times New Roman" w:hAnsi="Times New Roman"/>
          <w:sz w:val="20"/>
        </w:rPr>
        <w:t xml:space="preserve"> </w:t>
      </w:r>
      <w:r>
        <w:rPr>
          <w:rFonts w:ascii="Times New Roman;serif" w:hAnsi="Times New Roman;serif"/>
          <w:b w:val="false"/>
          <w:sz w:val="20"/>
        </w:rPr>
        <w:t>have a material impact on accumulated deficit and on the condensed consolidated statements of operations and cash flows.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summarizes the effect of the adoption of ASC 842 on the condensed consolidated statement of operation and statement of cash flows for the three months ended March 31, 2022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00"/>
        <w:gridCol w:w="146"/>
        <w:gridCol w:w="457"/>
        <w:gridCol w:w="1468"/>
        <w:gridCol w:w="166"/>
        <w:gridCol w:w="146"/>
        <w:gridCol w:w="362"/>
        <w:gridCol w:w="1162"/>
        <w:gridCol w:w="166"/>
        <w:gridCol w:w="146"/>
        <w:gridCol w:w="473"/>
        <w:gridCol w:w="1519"/>
        <w:gridCol w:w="394"/>
      </w:tblGrid>
      <w:tr>
        <w:trPr/>
        <w:tc>
          <w:tcPr>
            <w:tcW w:w="3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60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 ASC 842 Three Months Ended</w:t>
              <w:br/>
              <w:t>March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ASC 842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After ASC 842 Three Months Ended</w:t>
              <w:br/>
              <w:t>March 31, 2022</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Condensed Consolidated Statements of Operations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38,182</w:t>
            </w:r>
          </w:p>
        </w:tc>
        <w:tc>
          <w:tcPr>
            <w:tcW w:w="394" w:type="dxa"/>
            <w:tcBorders/>
            <w:vAlign w:val="center"/>
          </w:tcPr>
          <w:p>
            <w:pPr>
              <w:pStyle w:val="TableContents"/>
              <w:bidi w:val="0"/>
              <w:spacing w:before="0" w:after="0"/>
              <w:ind w:left="0" w:right="0" w:hanging="0"/>
              <w:jc w:val="left"/>
              <w:rPr/>
            </w:pPr>
            <w:r>
              <w:rPr/>
              <w:t> </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pPr>
            <w:r>
              <w:rPr/>
              <w:t> </w:t>
            </w:r>
          </w:p>
        </w:tc>
        <w:tc>
          <w:tcPr>
            <w:tcW w:w="1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Condensed Consolidated Statements of Cash Flows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394" w:type="dxa"/>
            <w:tcBorders/>
            <w:vAlign w:val="center"/>
          </w:tcPr>
          <w:p>
            <w:pPr>
              <w:pStyle w:val="TableContents"/>
              <w:bidi w:val="0"/>
              <w:spacing w:before="0" w:after="0"/>
              <w:ind w:left="0" w:right="0" w:firstLine="200"/>
              <w:jc w:val="lef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pPr>
            <w:r>
              <w:rPr/>
              <w:t> </w:t>
            </w:r>
          </w:p>
        </w:tc>
        <w:tc>
          <w:tcPr>
            <w:tcW w:w="146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394" w:type="dxa"/>
            <w:tcBorders/>
            <w:vAlign w:val="center"/>
          </w:tcPr>
          <w:p>
            <w:pPr>
              <w:pStyle w:val="TableContents"/>
              <w:bidi w:val="0"/>
              <w:spacing w:before="0" w:after="0"/>
              <w:ind w:left="0" w:right="0" w:firstLine="200"/>
              <w:jc w:val="lef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600"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pPr>
            <w:r>
              <w:rPr/>
              <w:t> </w:t>
            </w:r>
          </w:p>
        </w:tc>
        <w:tc>
          <w:tcPr>
            <w:tcW w:w="1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pPr>
            <w:r>
              <w:rPr/>
              <w:t> </w:t>
            </w:r>
          </w:p>
        </w:tc>
        <w:tc>
          <w:tcPr>
            <w:tcW w:w="14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19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6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left"/>
              <w:rPr/>
            </w:pPr>
            <w:r>
              <w:rPr/>
              <w:t> </w:t>
            </w:r>
          </w:p>
        </w:tc>
        <w:tc>
          <w:tcPr>
            <w:tcW w:w="146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18,634</w:t>
            </w:r>
          </w:p>
        </w:tc>
        <w:tc>
          <w:tcPr>
            <w:tcW w:w="3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beginning after December 15, 2021, and interim periods within fiscal years beginning after December 15, 2022, with early adoption permitted. The Company adopted</w:t>
      </w:r>
      <w:r>
        <w:rPr>
          <w:rFonts w:ascii="Times New Roman" w:hAnsi="Times New Roman"/>
          <w:sz w:val="20"/>
        </w:rPr>
        <w:t xml:space="preserve"> </w:t>
      </w:r>
      <w:r>
        <w:rPr>
          <w:rFonts w:ascii="Times New Roman;serif" w:hAnsi="Times New Roman;serif"/>
          <w:b w:val="false"/>
          <w:sz w:val="20"/>
        </w:rPr>
        <w:t>this guidance on January 1, 2022. There is no</w:t>
      </w:r>
      <w:r>
        <w:rPr>
          <w:rFonts w:ascii="Times New Roman" w:hAnsi="Times New Roman"/>
          <w:sz w:val="20"/>
        </w:rPr>
        <w:t xml:space="preserve"> </w:t>
      </w:r>
      <w:r>
        <w:rPr>
          <w:rFonts w:ascii="Times New Roman;serif" w:hAnsi="Times New Roman;serif"/>
          <w:b w:val="false"/>
          <w:sz w:val="20"/>
        </w:rPr>
        <w:t>impact to the consolidated balance sheets as of December 31, 2022 because of the full valuation allowance position taken for deferred taxes.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3—Balance Sheet Components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Prepaid expenses and other current assets consisted of the following (in thousands):</w:t>
      </w:r>
    </w:p>
    <w:p>
      <w:pPr>
        <w:pStyle w:val="TextBody"/>
        <w:bidi w:val="0"/>
        <w:spacing w:before="0" w:after="0"/>
        <w:jc w:val="left"/>
        <w:rPr/>
      </w:pPr>
      <w:r>
        <w:rPr/>
        <w:t> </w:t>
      </w:r>
    </w:p>
    <w:tbl>
      <w:tblPr>
        <w:tblW w:w="6795" w:type="dxa"/>
        <w:jc w:val="left"/>
        <w:tblInd w:w="0" w:type="dxa"/>
        <w:tblLayout w:type="fixed"/>
        <w:tblCellMar>
          <w:top w:w="28" w:type="dxa"/>
          <w:left w:w="28" w:type="dxa"/>
          <w:bottom w:w="28" w:type="dxa"/>
          <w:right w:w="28" w:type="dxa"/>
        </w:tblCellMar>
      </w:tblPr>
      <w:tblGrid>
        <w:gridCol w:w="3931"/>
        <w:gridCol w:w="146"/>
        <w:gridCol w:w="263"/>
        <w:gridCol w:w="712"/>
        <w:gridCol w:w="146"/>
        <w:gridCol w:w="146"/>
        <w:gridCol w:w="339"/>
        <w:gridCol w:w="92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4,840</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clinical trial</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2,119</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offering costs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bonus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righ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Property, plant and equipment, net consisted of the following (in thousands): </w:t>
      </w:r>
    </w:p>
    <w:p>
      <w:pPr>
        <w:pStyle w:val="TextBody"/>
        <w:bidi w:val="0"/>
        <w:spacing w:before="0" w:after="0"/>
        <w:jc w:val="left"/>
        <w:rPr/>
      </w:pPr>
      <w:r>
        <w:rPr/>
        <w:t> </w:t>
      </w:r>
    </w:p>
    <w:tbl>
      <w:tblPr>
        <w:tblW w:w="5830" w:type="dxa"/>
        <w:jc w:val="left"/>
        <w:tblInd w:w="0" w:type="dxa"/>
        <w:tblLayout w:type="fixed"/>
        <w:tblCellMar>
          <w:top w:w="28" w:type="dxa"/>
          <w:left w:w="28" w:type="dxa"/>
          <w:bottom w:w="28" w:type="dxa"/>
          <w:right w:w="28" w:type="dxa"/>
        </w:tblCellMar>
      </w:tblPr>
      <w:tblGrid>
        <w:gridCol w:w="2926"/>
        <w:gridCol w:w="146"/>
        <w:gridCol w:w="232"/>
        <w:gridCol w:w="743"/>
        <w:gridCol w:w="166"/>
        <w:gridCol w:w="146"/>
        <w:gridCol w:w="299"/>
        <w:gridCol w:w="96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2,091</w:t>
            </w:r>
          </w:p>
        </w:tc>
        <w:tc>
          <w:tcPr>
            <w:tcW w:w="21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2,868</w:t>
            </w:r>
          </w:p>
        </w:tc>
        <w:tc>
          <w:tcPr>
            <w:tcW w:w="21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21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w:t>
            </w:r>
          </w:p>
        </w:tc>
        <w:tc>
          <w:tcPr>
            <w:tcW w:w="21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16,605</w:t>
            </w:r>
          </w:p>
        </w:tc>
        <w:tc>
          <w:tcPr>
            <w:tcW w:w="211"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November 2022, the Company recognized a non-cash impairment charge of $36.4</w:t>
      </w:r>
      <w:r>
        <w:rPr>
          <w:rFonts w:ascii="Times New Roman" w:hAnsi="Times New Roman"/>
          <w:sz w:val="20"/>
        </w:rPr>
        <w:t xml:space="preserve"> </w:t>
      </w:r>
      <w:r>
        <w:rPr>
          <w:rFonts w:ascii="Times New Roman;serif" w:hAnsi="Times New Roman;serif"/>
          <w:b w:val="false"/>
          <w:sz w:val="20"/>
        </w:rPr>
        <w:t>million for the manufacturing facility asset group, of which $26.3</w:t>
      </w:r>
      <w:r>
        <w:rPr>
          <w:rFonts w:ascii="Times New Roman" w:hAnsi="Times New Roman"/>
          <w:sz w:val="20"/>
        </w:rPr>
        <w:t xml:space="preserve"> </w:t>
      </w:r>
      <w:r>
        <w:rPr>
          <w:rFonts w:ascii="Times New Roman;serif" w:hAnsi="Times New Roman;serif"/>
          <w:b w:val="false"/>
          <w:sz w:val="20"/>
        </w:rPr>
        <w:t>million relates to construction in progress and finance lease right-of-use assets. The impairment charge was estimated using a discounted cash flow model and recorded in the consolidated statements of operations for the year ended December 31, 2022. Property, plant and equipment, net includes $1.2</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of assets capitalized as finance leases as of March 31, 2023 and December 31, 2022, respectively.</w:t>
      </w:r>
    </w:p>
    <w:p>
      <w:pPr>
        <w:pStyle w:val="TextBody"/>
        <w:bidi w:val="0"/>
        <w:spacing w:before="240" w:after="0"/>
        <w:jc w:val="left"/>
        <w:rPr>
          <w:rFonts w:ascii="Times New Roman" w:hAnsi="Times New Roman"/>
          <w:sz w:val="20"/>
        </w:rPr>
      </w:pPr>
      <w:r>
        <w:rPr>
          <w:rFonts w:ascii="Times New Roman;serif" w:hAnsi="Times New Roman;serif"/>
          <w:b w:val="false"/>
          <w:sz w:val="20"/>
        </w:rPr>
        <w:t>Depreciation expense was $0.3</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Accrued expenses and other current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7125" w:type="dxa"/>
        <w:jc w:val="left"/>
        <w:tblInd w:w="0" w:type="dxa"/>
        <w:tblLayout w:type="fixed"/>
        <w:tblCellMar>
          <w:top w:w="28" w:type="dxa"/>
          <w:left w:w="28" w:type="dxa"/>
          <w:bottom w:w="28" w:type="dxa"/>
          <w:right w:w="28" w:type="dxa"/>
        </w:tblCellMar>
      </w:tblPr>
      <w:tblGrid>
        <w:gridCol w:w="4261"/>
        <w:gridCol w:w="146"/>
        <w:gridCol w:w="232"/>
        <w:gridCol w:w="743"/>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8,190</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severance</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1,463</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trial</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current portion</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2,519</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and consulting fees</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plant and equipment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2,081</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4— 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leases certain office, laboratory, and manufacturing space.</w:t>
      </w:r>
    </w:p>
    <w:p>
      <w:pPr>
        <w:pStyle w:val="TextBody"/>
        <w:bidi w:val="0"/>
        <w:spacing w:before="240" w:after="0"/>
        <w:jc w:val="left"/>
        <w:rPr>
          <w:rFonts w:ascii="Times New Roman;serif" w:hAnsi="Times New Roman;serif"/>
          <w:b/>
          <w:sz w:val="20"/>
        </w:rPr>
      </w:pPr>
      <w:r>
        <w:rPr>
          <w:rFonts w:ascii="Times New Roman;serif" w:hAnsi="Times New Roman;serif"/>
          <w:b/>
          <w:sz w:val="20"/>
        </w:rPr>
        <w:t>Dallas Lease</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11, 2021, the Company entered into a lease agreement (the “Dallas Lease”) with Pegasus Park, LLC, a Delaware limited liability company (the “Dallas Landlord”), pursuant to which the Company will lease approximately 15,000</w:t>
      </w:r>
      <w:r>
        <w:rPr>
          <w:rFonts w:ascii="Times New Roman" w:hAnsi="Times New Roman"/>
          <w:sz w:val="20"/>
        </w:rPr>
        <w:t xml:space="preserve"> </w:t>
      </w:r>
      <w:r>
        <w:rPr>
          <w:rFonts w:ascii="Times New Roman;serif" w:hAnsi="Times New Roman;serif"/>
          <w:b w:val="false"/>
          <w:sz w:val="20"/>
        </w:rPr>
        <w:t>square feet of office space at 3000 Pegasus Park Drive, Dallas, Texas 75247 (the “Office Space”).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Dallas Lease commenced on May 27, 2021, and has a term of approximately ten years. The Company has an option to extend the term of the Dallas Lease for one additional period of five years.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has a right of first refusal with respect to certain additional adjacent office space before the Dallas Landlord accepts any offer for such space.</w:t>
      </w:r>
    </w:p>
    <w:p>
      <w:pPr>
        <w:pStyle w:val="TextBody"/>
        <w:bidi w:val="0"/>
        <w:spacing w:before="240" w:after="0"/>
        <w:jc w:val="left"/>
        <w:rPr>
          <w:rFonts w:ascii="Times New Roman" w:hAnsi="Times New Roman"/>
          <w:sz w:val="20"/>
        </w:rPr>
      </w:pPr>
      <w:r>
        <w:rPr>
          <w:rFonts w:ascii="Times New Roman;serif" w:hAnsi="Times New Roman;serif"/>
          <w:b w:val="false"/>
          <w:sz w:val="20"/>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Dallas Lease Expansion</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14, 2021, the Company amended the Dallas Lease (the “Dallas Lease Amendment”) with the Dallas Landlord, pursuant to which the Company will lease approximately 18,000</w:t>
      </w:r>
      <w:r>
        <w:rPr>
          <w:rFonts w:ascii="Times New Roman" w:hAnsi="Times New Roman"/>
          <w:sz w:val="20"/>
        </w:rPr>
        <w:t xml:space="preserve"> </w:t>
      </w:r>
      <w:r>
        <w:rPr>
          <w:rFonts w:ascii="Times New Roman;serif" w:hAnsi="Times New Roman;serif"/>
          <w:b w:val="false"/>
          <w:sz w:val="20"/>
        </w:rPr>
        <w:t>square feet of office space adjacent to the Office Space at 3000 Pegasus Park Drive, Dallas, Texas 75247 (the “Expansion Premises”).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Dallas Lease Amendment commenced on July 1, 2022, and has a term of approximately ten years.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obligated to pay operating costs and utilities applicable to the Expansion Premises. Total future minimum lease payments under the Dallas Lease Amendment over the initial 10</w:t>
      </w:r>
      <w:r>
        <w:rPr>
          <w:rFonts w:ascii="Times New Roman" w:hAnsi="Times New Roman"/>
          <w:sz w:val="20"/>
        </w:rPr>
        <w:t xml:space="preserve"> </w:t>
      </w:r>
      <w:r>
        <w:rPr>
          <w:rFonts w:ascii="Times New Roman;serif" w:hAnsi="Times New Roman;serif"/>
          <w:b w:val="false"/>
          <w:sz w:val="20"/>
        </w:rPr>
        <w:t>year term are approximately $6.0</w:t>
      </w:r>
      <w:r>
        <w:rPr>
          <w:rFonts w:ascii="Times New Roman" w:hAnsi="Times New Roman"/>
          <w:sz w:val="20"/>
        </w:rPr>
        <w:t xml:space="preserve"> </w:t>
      </w:r>
      <w:r>
        <w:rPr>
          <w:rFonts w:ascii="Times New Roman;serif" w:hAnsi="Times New Roman;serif"/>
          <w:b w:val="false"/>
          <w:sz w:val="20"/>
        </w:rPr>
        <w:t>million. The Company will be responsible for costs of constructing interior improvements within the Expansion Premises that exceed a $40.00</w:t>
      </w:r>
      <w:r>
        <w:rPr>
          <w:rFonts w:ascii="Times New Roman" w:hAnsi="Times New Roman"/>
          <w:sz w:val="20"/>
        </w:rPr>
        <w:t xml:space="preserve"> </w:t>
      </w:r>
      <w:r>
        <w:rPr>
          <w:rFonts w:ascii="Times New Roman;serif" w:hAnsi="Times New Roman;serif"/>
          <w:b w:val="false"/>
          <w:sz w:val="20"/>
        </w:rPr>
        <w:t>per rentable square foot construction allowance provided by the Dallas Landlord.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a right of first refusal with respect to certain additional office space on the 15</w:t>
      </w:r>
      <w:r>
        <w:rPr>
          <w:rFonts w:ascii="Times New Roman;serif" w:hAnsi="Times New Roman;serif"/>
          <w:b w:val="false"/>
          <w:sz w:val="13"/>
        </w:rPr>
        <w:t>th</w:t>
      </w:r>
      <w:r>
        <w:rPr>
          <w:rFonts w:ascii="Times New Roman" w:hAnsi="Times New Roman"/>
          <w:sz w:val="20"/>
        </w:rPr>
        <w:t xml:space="preserve"> </w:t>
      </w:r>
      <w:r>
        <w:rPr>
          <w:rFonts w:ascii="Times New Roman;serif" w:hAnsi="Times New Roman;serif"/>
          <w:b w:val="false"/>
          <w:sz w:val="20"/>
        </w:rPr>
        <w:t>floor at 3000 Pegasus Park Drive, Dallas, Texas 75247 before the Dallas Landlord accepts any offer for such space.</w:t>
      </w:r>
    </w:p>
    <w:p>
      <w:pPr>
        <w:pStyle w:val="TextBody"/>
        <w:bidi w:val="0"/>
        <w:spacing w:before="240" w:after="0"/>
        <w:jc w:val="left"/>
        <w:rPr>
          <w:rFonts w:ascii="Times New Roman;serif" w:hAnsi="Times New Roman;serif"/>
          <w:b/>
          <w:sz w:val="20"/>
        </w:rPr>
      </w:pPr>
      <w:r>
        <w:rPr>
          <w:rFonts w:ascii="Times New Roman;serif" w:hAnsi="Times New Roman;serif"/>
          <w:b/>
          <w:sz w:val="20"/>
        </w:rPr>
        <w:t>Durham Lease</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17, 2020, the Company entered into a lease agreement (the “Durham Lease”) with Patriot Park Partners II, LLC, a Delaware limited liability company (the “Durham Landlord”), pursuant to which the Company agreed to lease approximately 187,500</w:t>
      </w:r>
      <w:r>
        <w:rPr>
          <w:rFonts w:ascii="Times New Roman" w:hAnsi="Times New Roman"/>
          <w:sz w:val="20"/>
        </w:rPr>
        <w:t xml:space="preserve"> </w:t>
      </w:r>
      <w:r>
        <w:rPr>
          <w:rFonts w:ascii="Times New Roman;serif" w:hAnsi="Times New Roman;serif"/>
          <w:b w:val="false"/>
          <w:sz w:val="20"/>
        </w:rPr>
        <w:t>square feet of a manufacturing facility located at 5 National Way, Durham, North Carolina (the “Facility”). The Durham Lease commenced on April 1, 2021</w:t>
      </w:r>
      <w:r>
        <w:rPr>
          <w:rFonts w:ascii="Times New Roman" w:hAnsi="Times New Roman"/>
          <w:sz w:val="20"/>
        </w:rPr>
        <w:t xml:space="preserve"> </w:t>
      </w:r>
      <w:r>
        <w:rPr>
          <w:rFonts w:ascii="Times New Roman;serif" w:hAnsi="Times New Roman;serif"/>
          <w:b w:val="false"/>
          <w:sz w:val="20"/>
        </w:rPr>
        <w:t>and is expected to have a term of approximately fifteen years and six months. The Company has two options to extend the term of the Durham Lease, each for a period of an additional five years.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was not required to provide a security deposit in connection with its entry into the Durham Lease. The Company will be responsible for constructing interior improvements within the Facility. The Company was required to place $2.6</w:t>
      </w:r>
      <w:r>
        <w:rPr>
          <w:rFonts w:ascii="Times New Roman" w:hAnsi="Times New Roman"/>
          <w:sz w:val="20"/>
        </w:rPr>
        <w:t xml:space="preserve"> </w:t>
      </w:r>
      <w:r>
        <w:rPr>
          <w:rFonts w:ascii="Times New Roman;serif" w:hAnsi="Times New Roman;serif"/>
          <w:b w:val="false"/>
          <w:sz w:val="20"/>
        </w:rPr>
        <w:t>million in an escrow account which will be released when the improvements are substantially complete. The escrow funds are recorded as restricted cash on the condensed consolidated balance sheet as of March 31, 2023. The Durham Landlord has the right to terminate the Durham Lease upon specified events of default, including the Company’s failure to pay rent in a timely manner and upon the occurrence of certain events of insolvency with respect to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Summary of all lease costs recognized under ASC 842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summarizes the lease costs recognized under ASC 842 and other information pertaining to the Company's operating leases for the three months ended March 31, 2023 and 2022 (in thousands):</w:t>
      </w:r>
    </w:p>
    <w:p>
      <w:pPr>
        <w:pStyle w:val="TextBody"/>
        <w:bidi w:val="0"/>
        <w:spacing w:before="120" w:after="0"/>
        <w:jc w:val="left"/>
        <w:rPr/>
      </w:pPr>
      <w:r>
        <w:rPr/>
        <w:t> </w:t>
      </w:r>
    </w:p>
    <w:tbl>
      <w:tblPr>
        <w:tblW w:w="4929" w:type="dxa"/>
        <w:jc w:val="left"/>
        <w:tblInd w:w="0" w:type="dxa"/>
        <w:tblLayout w:type="fixed"/>
        <w:tblCellMar>
          <w:top w:w="28" w:type="dxa"/>
          <w:left w:w="28" w:type="dxa"/>
          <w:bottom w:w="28" w:type="dxa"/>
          <w:right w:w="28" w:type="dxa"/>
        </w:tblCellMar>
      </w:tblPr>
      <w:tblGrid>
        <w:gridCol w:w="1756"/>
        <w:gridCol w:w="404"/>
        <w:gridCol w:w="807"/>
        <w:gridCol w:w="280"/>
        <w:gridCol w:w="280"/>
        <w:gridCol w:w="404"/>
        <w:gridCol w:w="807"/>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0"/>
              <w:ind w:left="0" w:right="0" w:hanging="0"/>
              <w:jc w:val="left"/>
              <w:rPr/>
            </w:pPr>
            <w:r>
              <w:rPr/>
              <w:t> </w:t>
            </w:r>
          </w:p>
        </w:tc>
        <w:tc>
          <w:tcPr>
            <w:tcW w:w="298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91" w:type="dxa"/>
            <w:tcBorders/>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pPr>
            <w:r>
              <w:rPr/>
              <w:t> </w:t>
            </w:r>
          </w:p>
        </w:tc>
        <w:tc>
          <w:tcPr>
            <w:tcW w:w="12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4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280"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4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Supplemental information related to the remaining lease term and discount rate are as follows:</w:t>
      </w:r>
    </w:p>
    <w:p>
      <w:pPr>
        <w:pStyle w:val="TextBody"/>
        <w:bidi w:val="0"/>
        <w:spacing w:before="120" w:after="0"/>
        <w:jc w:val="left"/>
        <w:rPr/>
      </w:pPr>
      <w:r>
        <w:rPr/>
        <w:t> </w:t>
      </w:r>
    </w:p>
    <w:tbl>
      <w:tblPr>
        <w:tblW w:w="9494" w:type="dxa"/>
        <w:jc w:val="left"/>
        <w:tblInd w:w="0" w:type="dxa"/>
        <w:tblLayout w:type="fixed"/>
        <w:tblCellMar>
          <w:top w:w="28" w:type="dxa"/>
          <w:left w:w="28" w:type="dxa"/>
          <w:bottom w:w="28" w:type="dxa"/>
          <w:right w:w="28" w:type="dxa"/>
        </w:tblCellMar>
      </w:tblPr>
      <w:tblGrid>
        <w:gridCol w:w="5596"/>
        <w:gridCol w:w="146"/>
        <w:gridCol w:w="293"/>
        <w:gridCol w:w="1147"/>
        <w:gridCol w:w="271"/>
        <w:gridCol w:w="350"/>
        <w:gridCol w:w="1375"/>
        <w:gridCol w:w="316"/>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 - Finance leases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271"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13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316"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 - Operating leases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w:t>
            </w:r>
          </w:p>
        </w:tc>
        <w:tc>
          <w:tcPr>
            <w:tcW w:w="271"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13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316"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 - Finance leases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0" w:type="dxa"/>
            <w:tcBorders/>
            <w:vAlign w:val="center"/>
          </w:tcPr>
          <w:p>
            <w:pPr>
              <w:pStyle w:val="TableContents"/>
              <w:bidi w:val="0"/>
              <w:spacing w:before="0" w:after="0"/>
              <w:ind w:left="0" w:right="0" w:hanging="0"/>
              <w:jc w:val="left"/>
              <w:rPr/>
            </w:pPr>
            <w:r>
              <w:rPr/>
              <w:t> </w:t>
            </w:r>
          </w:p>
        </w:tc>
        <w:tc>
          <w:tcPr>
            <w:tcW w:w="13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 - Operating leases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0" w:type="dxa"/>
            <w:tcBorders/>
            <w:vAlign w:val="center"/>
          </w:tcPr>
          <w:p>
            <w:pPr>
              <w:pStyle w:val="TableContents"/>
              <w:bidi w:val="0"/>
              <w:spacing w:before="0" w:after="0"/>
              <w:ind w:left="0" w:right="0" w:hanging="0"/>
              <w:jc w:val="left"/>
              <w:rPr/>
            </w:pPr>
            <w:r>
              <w:rPr/>
              <w:t> </w:t>
            </w:r>
          </w:p>
        </w:tc>
        <w:tc>
          <w:tcPr>
            <w:tcW w:w="13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Supplemental cash flow information related to the Company's operating leases are as follows (in thousands):</w:t>
      </w:r>
    </w:p>
    <w:p>
      <w:pPr>
        <w:pStyle w:val="TextBody"/>
        <w:bidi w:val="0"/>
        <w:spacing w:before="0" w:after="0"/>
        <w:jc w:val="left"/>
        <w:rPr/>
      </w:pPr>
      <w:r>
        <w:rPr/>
        <w:t> </w:t>
      </w:r>
    </w:p>
    <w:tbl>
      <w:tblPr>
        <w:tblW w:w="6941" w:type="dxa"/>
        <w:jc w:val="left"/>
        <w:tblInd w:w="0" w:type="dxa"/>
        <w:tblLayout w:type="fixed"/>
        <w:tblCellMar>
          <w:top w:w="28" w:type="dxa"/>
          <w:left w:w="28" w:type="dxa"/>
          <w:bottom w:w="28" w:type="dxa"/>
          <w:right w:w="28" w:type="dxa"/>
        </w:tblCellMar>
      </w:tblPr>
      <w:tblGrid>
        <w:gridCol w:w="3436"/>
        <w:gridCol w:w="449"/>
        <w:gridCol w:w="897"/>
        <w:gridCol w:w="311"/>
        <w:gridCol w:w="311"/>
        <w:gridCol w:w="449"/>
        <w:gridCol w:w="897"/>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 </w:t>
            </w:r>
          </w:p>
        </w:tc>
        <w:tc>
          <w:tcPr>
            <w:tcW w:w="3314"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 </w:t>
            </w:r>
          </w:p>
        </w:tc>
        <w:tc>
          <w:tcPr>
            <w:tcW w:w="13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flows for operating leases</w:t>
            </w:r>
          </w:p>
        </w:tc>
        <w:tc>
          <w:tcPr>
            <w:tcW w:w="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311"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right"/>
              <w:rPr/>
            </w:pPr>
            <w:r>
              <w:rPr/>
              <w:t> </w:t>
            </w:r>
          </w:p>
        </w:tc>
        <w:tc>
          <w:tcPr>
            <w:tcW w:w="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future minimum commitments under ASC 842 under the Company's operating and finance leases were as follows (in thousands):</w:t>
      </w:r>
    </w:p>
    <w:p>
      <w:pPr>
        <w:pStyle w:val="TextBody"/>
        <w:bidi w:val="0"/>
        <w:spacing w:before="240" w:after="0"/>
        <w:jc w:val="left"/>
        <w:rPr/>
      </w:pPr>
      <w:r>
        <w:rPr/>
        <w:t> </w:t>
      </w:r>
    </w:p>
    <w:tbl>
      <w:tblPr>
        <w:tblW w:w="4581" w:type="dxa"/>
        <w:jc w:val="left"/>
        <w:tblInd w:w="0" w:type="dxa"/>
        <w:tblLayout w:type="fixed"/>
        <w:tblCellMar>
          <w:top w:w="28" w:type="dxa"/>
          <w:left w:w="28" w:type="dxa"/>
          <w:bottom w:w="28" w:type="dxa"/>
          <w:right w:w="28" w:type="dxa"/>
        </w:tblCellMar>
      </w:tblPr>
      <w:tblGrid>
        <w:gridCol w:w="2446"/>
        <w:gridCol w:w="217"/>
        <w:gridCol w:w="759"/>
        <w:gridCol w:w="166"/>
        <w:gridCol w:w="211"/>
        <w:gridCol w:w="571"/>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Year Ending December 31,</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Operating</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Finance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2,255</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2,918</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3,021</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32,977</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current</w:t>
            </w:r>
          </w:p>
        </w:tc>
        <w:tc>
          <w:tcPr>
            <w:tcW w:w="21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1,424</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1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non-current</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2021, the Company signed a lease agreement pursuant to which the Company will lease equipment to generate its supply of electricity, which has not yet commenced for accounting purposes as of March 31, 2023. This lease agreement provides for total remaining lease payments of $3.5</w:t>
      </w:r>
      <w:r>
        <w:rPr>
          <w:rFonts w:ascii="Times New Roman" w:hAnsi="Times New Roman"/>
          <w:sz w:val="20"/>
        </w:rPr>
        <w:t xml:space="preserve"> </w:t>
      </w:r>
      <w:r>
        <w:rPr>
          <w:rFonts w:ascii="Times New Roman;serif" w:hAnsi="Times New Roman;serif"/>
          <w:b w:val="false"/>
          <w:sz w:val="20"/>
        </w:rPr>
        <w:t>million over the 10-year lease term, which is not included in the maturity table above.</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Note 5—Astellas Agreements</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21, 2022 (the “Effective Date”), the Company entered into the Option Agreement with 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respect thereto for use in the treatment of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(the “GAN Option”). Subject to certain extensions, the GAN Option is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pStyle w:val="TextBody"/>
        <w:bidi w:val="0"/>
        <w:spacing w:before="240" w:after="0"/>
        <w:jc w:val="left"/>
        <w:rPr>
          <w:rFonts w:ascii="Times New Roman" w:hAnsi="Times New Roman"/>
          <w:sz w:val="20"/>
        </w:rPr>
      </w:pPr>
      <w:r>
        <w:rPr>
          <w:rFonts w:ascii="Times New Roman;serif" w:hAnsi="Times New Roman;serif"/>
          <w:b w:val="false"/>
          <w:sz w:val="20"/>
        </w:rPr>
        <w:t>As partial consideration for the rights granted to Astellas under the Option Agreement, Astellas paid the Company the Upfront Payment, which is $20.0</w:t>
      </w:r>
      <w:r>
        <w:rPr>
          <w:rFonts w:ascii="Times New Roman" w:hAnsi="Times New Roman"/>
          <w:sz w:val="20"/>
        </w:rPr>
        <w:t xml:space="preserve"> </w:t>
      </w:r>
      <w:r>
        <w:rPr>
          <w:rFonts w:ascii="Times New Roman;serif" w:hAnsi="Times New Roman;serif"/>
          <w:b w:val="false"/>
          <w:sz w:val="20"/>
        </w:rPr>
        <w:t>million.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Securities Purchase Agreement.</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Securities Purchase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21, 2022, the Company entered into the Securities Purchase Agreement with Astellas, pursuant to which the Company agreed to issue and sell to Astellas in a private placement (the “Private Placement”), an aggregate of 7,266,342</w:t>
      </w:r>
      <w:r>
        <w:rPr>
          <w:rFonts w:ascii="Times New Roman" w:hAnsi="Times New Roman"/>
          <w:sz w:val="20"/>
        </w:rPr>
        <w:t xml:space="preserve"> </w:t>
      </w:r>
      <w:r>
        <w:rPr>
          <w:rFonts w:ascii="Times New Roman;serif" w:hAnsi="Times New Roman;serif"/>
          <w:b w:val="false"/>
          <w:sz w:val="20"/>
        </w:rPr>
        <w:t>shares (the “Private Placement Shares”), of its common stock, for aggregate gross proceeds of $30.0</w:t>
      </w:r>
      <w:r>
        <w:rPr>
          <w:rFonts w:ascii="Times New Roman" w:hAnsi="Times New Roman"/>
          <w:sz w:val="20"/>
        </w:rPr>
        <w:t xml:space="preserve"> </w:t>
      </w:r>
      <w:r>
        <w:rPr>
          <w:rFonts w:ascii="Times New Roman;serif" w:hAnsi="Times New Roman;serif"/>
          <w:b w:val="false"/>
          <w:sz w:val="20"/>
        </w:rPr>
        <w:t>million. The Private Placement closed on October 24, 2022. Pursuant to the Securities Purchase Agreement, in connection with the Private Placement, Astellas has the right to designate one individual to attend all meetings of the Board in a non-voting observer capacity. The Company also granted Astellas certain registration rights with respect to the Private Placement Shares.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Accounting Treatment</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upon closing of the Private Placement and transferring the 7,266,342</w:t>
      </w:r>
      <w:r>
        <w:rPr>
          <w:rFonts w:ascii="Times New Roman" w:hAnsi="Times New Roman"/>
          <w:sz w:val="20"/>
        </w:rPr>
        <w:t xml:space="preserve"> </w:t>
      </w:r>
      <w:r>
        <w:rPr>
          <w:rFonts w:ascii="Times New Roman;serif" w:hAnsi="Times New Roman;serif"/>
          <w:b w:val="false"/>
          <w:sz w:val="20"/>
        </w:rPr>
        <w:t xml:space="preserve">shares to Astellas, the Company recorded the issuance of shares at fair value. Fair value of the shares transferred to Astellas was calculated in accordance with ASC 820, </w:t>
      </w:r>
      <w:r>
        <w:rPr>
          <w:rFonts w:ascii="Times New Roman;serif" w:hAnsi="Times New Roman;serif"/>
          <w:b w:val="false"/>
          <w:i/>
          <w:sz w:val="20"/>
        </w:rPr>
        <w:t xml:space="preserve">Fair Value Measurement </w:t>
      </w:r>
      <w:r>
        <w:rPr>
          <w:rFonts w:ascii="Times New Roman;serif" w:hAnsi="Times New Roman;serif"/>
          <w:b w:val="false"/>
          <w:sz w:val="20"/>
        </w:rPr>
        <w:t>by analyzing the Company's stock price for a short period of time prior to and after the transaction date as traded on the NASDAQ. The NASDAQ trading data is considered an active market and a Level 1 measurement under ASC 820.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was determined to be approximately $13.95</w:t>
      </w:r>
      <w:r>
        <w:rPr>
          <w:rFonts w:ascii="Times New Roman" w:hAnsi="Times New Roman"/>
          <w:sz w:val="20"/>
        </w:rPr>
        <w:t xml:space="preserve"> </w:t>
      </w:r>
      <w:r>
        <w:rPr>
          <w:rFonts w:ascii="Times New Roman;serif" w:hAnsi="Times New Roman;serif"/>
          <w:b w:val="false"/>
          <w:sz w:val="20"/>
        </w:rPr>
        <w:t>million or $1.92</w:t>
      </w:r>
      <w:r>
        <w:rPr>
          <w:rFonts w:ascii="Times New Roman" w:hAnsi="Times New Roman"/>
          <w:sz w:val="20"/>
        </w:rPr>
        <w:t xml:space="preserve"> </w:t>
      </w:r>
      <w:r>
        <w:rPr>
          <w:rFonts w:ascii="Times New Roman;serif" w:hAnsi="Times New Roman;serif"/>
          <w:b w:val="false"/>
          <w:sz w:val="20"/>
        </w:rPr>
        <w:t>per share. The $16.1</w:t>
      </w:r>
      <w:r>
        <w:rPr>
          <w:rFonts w:ascii="Times New Roman" w:hAnsi="Times New Roman"/>
          <w:sz w:val="20"/>
        </w:rPr>
        <w:t xml:space="preserve"> </w:t>
      </w:r>
      <w:r>
        <w:rPr>
          <w:rFonts w:ascii="Times New Roman;serif" w:hAnsi="Times New Roman;serif"/>
          <w:b w:val="false"/>
          <w:sz w:val="20"/>
        </w:rPr>
        <w:t>million difference between the $30.0</w:t>
      </w:r>
      <w:r>
        <w:rPr>
          <w:rFonts w:ascii="Times New Roman" w:hAnsi="Times New Roman"/>
          <w:sz w:val="20"/>
        </w:rPr>
        <w:t xml:space="preserve"> </w:t>
      </w:r>
      <w:r>
        <w:rPr>
          <w:rFonts w:ascii="Times New Roman;serif" w:hAnsi="Times New Roman;serif"/>
          <w:b w:val="false"/>
          <w:sz w:val="20"/>
        </w:rPr>
        <w:t>million paid by Astellas and the fair market value of shares issued was allocated to the transaction price of the Option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Company determined that the Option Agreement falls within the scope of ASC 606, </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w:t>
      </w:r>
      <w:r>
        <w:rPr>
          <w:rFonts w:ascii="Times New Roman" w:hAnsi="Times New Roman"/>
          <w:sz w:val="20"/>
        </w:rPr>
        <w:t xml:space="preserve"> </w:t>
      </w:r>
      <w:r>
        <w:rPr>
          <w:rFonts w:ascii="Times New Roman;serif" w:hAnsi="Times New Roman;serif"/>
          <w:b w:val="false"/>
          <w:sz w:val="20"/>
        </w:rPr>
        <w:t>million which is comprised of the $20.0</w:t>
      </w:r>
      <w:r>
        <w:rPr>
          <w:rFonts w:ascii="Times New Roman" w:hAnsi="Times New Roman"/>
          <w:sz w:val="20"/>
        </w:rPr>
        <w:t xml:space="preserve"> </w:t>
      </w:r>
      <w:r>
        <w:rPr>
          <w:rFonts w:ascii="Times New Roman;serif" w:hAnsi="Times New Roman;serif"/>
          <w:b w:val="false"/>
          <w:sz w:val="20"/>
        </w:rPr>
        <w:t>million Upfront Payment and the $16.1</w:t>
      </w:r>
      <w:r>
        <w:rPr>
          <w:rFonts w:ascii="Times New Roman" w:hAnsi="Times New Roman"/>
          <w:sz w:val="20"/>
        </w:rPr>
        <w:t xml:space="preserve"> </w:t>
      </w:r>
      <w:r>
        <w:rPr>
          <w:rFonts w:ascii="Times New Roman;serif" w:hAnsi="Times New Roman;serif"/>
          <w:b w:val="false"/>
          <w:sz w:val="20"/>
        </w:rPr>
        <w:t>million allocated from the Private Placement.</w:t>
      </w:r>
    </w:p>
    <w:p>
      <w:pPr>
        <w:pStyle w:val="TextBody"/>
        <w:bidi w:val="0"/>
        <w:spacing w:before="240" w:after="0"/>
        <w:jc w:val="left"/>
        <w:rPr>
          <w:rFonts w:ascii="Times New Roman" w:hAnsi="Times New Roman"/>
          <w:sz w:val="20"/>
        </w:rPr>
      </w:pPr>
      <w:r>
        <w:rPr>
          <w:rFonts w:ascii="Times New Roman;serif" w:hAnsi="Times New Roman;serif"/>
          <w:b w:val="false"/>
          <w:sz w:val="20"/>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w:t>
      </w:r>
      <w:r>
        <w:rPr>
          <w:rFonts w:ascii="Times New Roman" w:hAnsi="Times New Roman"/>
          <w:sz w:val="20"/>
        </w:rPr>
        <w:t xml:space="preserve"> </w:t>
      </w:r>
      <w:r>
        <w:rPr>
          <w:rFonts w:ascii="Times New Roman;serif" w:hAnsi="Times New Roman;serif"/>
          <w:b w:val="false"/>
          <w:sz w:val="20"/>
        </w:rPr>
        <w:t>million transaction price to the three performance obligations. The $36.1</w:t>
      </w:r>
      <w:r>
        <w:rPr>
          <w:rFonts w:ascii="Times New Roman" w:hAnsi="Times New Roman"/>
          <w:sz w:val="20"/>
        </w:rPr>
        <w:t xml:space="preserve"> </w:t>
      </w:r>
      <w:r>
        <w:rPr>
          <w:rFonts w:ascii="Times New Roman;serif" w:hAnsi="Times New Roman;serif"/>
          <w:b w:val="false"/>
          <w:sz w:val="20"/>
        </w:rPr>
        <w:t>million transaction price was recorded as deferred revenue on the condensed consolidated balance sheet at the inception of the Astellas Transactions.</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allocation of the transaction price to the three performance obligations at contract inception:</w:t>
      </w:r>
      <w:r>
        <w:rPr>
          <w:rFonts w:ascii="Times New Roman" w:hAnsi="Times New Roman"/>
          <w:sz w:val="20"/>
        </w:rPr>
        <w:t xml:space="preserve"> </w:t>
      </w:r>
    </w:p>
    <w:p>
      <w:pPr>
        <w:pStyle w:val="TextBody"/>
        <w:bidi w:val="0"/>
        <w:spacing w:before="0" w:after="0"/>
        <w:jc w:val="left"/>
        <w:rPr/>
      </w:pPr>
      <w:r>
        <w:rPr/>
        <w:t> </w:t>
      </w:r>
    </w:p>
    <w:tbl>
      <w:tblPr>
        <w:tblW w:w="6148" w:type="dxa"/>
        <w:jc w:val="left"/>
        <w:tblInd w:w="0" w:type="dxa"/>
        <w:tblLayout w:type="fixed"/>
        <w:tblCellMar>
          <w:top w:w="28" w:type="dxa"/>
          <w:left w:w="28" w:type="dxa"/>
          <w:bottom w:w="28" w:type="dxa"/>
          <w:right w:w="28" w:type="dxa"/>
        </w:tblCellMar>
      </w:tblPr>
      <w:tblGrid>
        <w:gridCol w:w="3421"/>
        <w:gridCol w:w="146"/>
        <w:gridCol w:w="520"/>
        <w:gridCol w:w="1670"/>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Transaction Price Allocation</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 to obtain license for Rett</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5,485</w:t>
            </w:r>
          </w:p>
        </w:tc>
        <w:tc>
          <w:tcPr>
            <w:tcW w:w="3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 to obtain license for GAN</w:t>
            </w:r>
          </w:p>
        </w:tc>
        <w:tc>
          <w:tcPr>
            <w:tcW w:w="146"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pPr>
            <w:r>
              <w:rPr/>
              <w:t> </w:t>
            </w:r>
          </w:p>
        </w:tc>
        <w:tc>
          <w:tcPr>
            <w:tcW w:w="1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3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Rett research and development activities</w:t>
            </w:r>
          </w:p>
        </w:tc>
        <w:tc>
          <w:tcPr>
            <w:tcW w:w="146" w:type="dxa"/>
            <w:tcBorders/>
            <w:vAlign w:val="center"/>
          </w:tcPr>
          <w:p>
            <w:pPr>
              <w:pStyle w:val="TableContents"/>
              <w:bidi w:val="0"/>
              <w:spacing w:before="0" w:after="0"/>
              <w:ind w:left="0" w:right="0" w:hanging="0"/>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28,257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2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200" w:right="0" w:hanging="0"/>
              <w:jc w:val="left"/>
              <w:rPr/>
            </w:pPr>
            <w:r>
              <w:rPr/>
              <w:t> </w:t>
            </w:r>
          </w:p>
        </w:tc>
        <w:tc>
          <w:tcPr>
            <w:tcW w:w="5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36,059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 Research and development services related to this performance obligation are expected to be completed by the first quarter of 2024.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there were no significant changes to the total estimated costs to be incurred to satisfy the performance obligation associated with the Rett research and development activities.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recognized revenue of $4.7</w:t>
      </w:r>
      <w:r>
        <w:rPr>
          <w:rFonts w:ascii="Times New Roman" w:hAnsi="Times New Roman"/>
          <w:sz w:val="20"/>
        </w:rPr>
        <w:t xml:space="preserve"> </w:t>
      </w:r>
      <w:r>
        <w:rPr>
          <w:rFonts w:ascii="Times New Roman;serif" w:hAnsi="Times New Roman;serif"/>
          <w:b w:val="false"/>
          <w:sz w:val="20"/>
        </w:rPr>
        <w:t>million from Rett research and development activities for the three months ended March 31, 2023. The Company had $28.9</w:t>
      </w:r>
      <w:r>
        <w:rPr>
          <w:rFonts w:ascii="Times New Roman" w:hAnsi="Times New Roman"/>
          <w:sz w:val="20"/>
        </w:rPr>
        <w:t xml:space="preserve"> </w:t>
      </w:r>
      <w:r>
        <w:rPr>
          <w:rFonts w:ascii="Times New Roman;serif" w:hAnsi="Times New Roman;serif"/>
          <w:b w:val="false"/>
          <w:sz w:val="20"/>
        </w:rPr>
        <w:t>million of deferred revenue on the condensed consolidated balance sheet as of March 31, 2023. The Company will recognize revenues for these performance obligations as they are satisfied, which for the Rett research and development activities is expected to occur over a period of approximately 0.8</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4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 xml:space="preserve">Note 6—Loan with Silicon Valley Bank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w:t>
      </w:r>
      <w:r>
        <w:rPr>
          <w:rFonts w:ascii="Times New Roman" w:hAnsi="Times New Roman"/>
          <w:sz w:val="20"/>
        </w:rPr>
        <w:t xml:space="preserve"> </w:t>
      </w:r>
      <w:r>
        <w:rPr>
          <w:rFonts w:ascii="Times New Roman;serif" w:hAnsi="Times New Roman;serif"/>
          <w:b w:val="false"/>
          <w:sz w:val="20"/>
        </w:rPr>
        <w:t>million aggregate principal amount of term loans available through December 31, 2021, (ii) from January 1, 2022</w:t>
      </w:r>
      <w:r>
        <w:rPr>
          <w:rFonts w:ascii="Times New Roman" w:hAnsi="Times New Roman"/>
          <w:sz w:val="20"/>
        </w:rPr>
        <w:t xml:space="preserve"> </w:t>
      </w:r>
      <w:r>
        <w:rPr>
          <w:rFonts w:ascii="Times New Roman;serif" w:hAnsi="Times New Roman;serif"/>
          <w:b w:val="false"/>
          <w:sz w:val="20"/>
        </w:rPr>
        <w:t>until September 30, 2022, an additional $20.0</w:t>
      </w:r>
      <w:r>
        <w:rPr>
          <w:rFonts w:ascii="Times New Roman" w:hAnsi="Times New Roman"/>
          <w:sz w:val="20"/>
        </w:rPr>
        <w:t xml:space="preserve"> </w:t>
      </w:r>
      <w:r>
        <w:rPr>
          <w:rFonts w:ascii="Times New Roman;serif" w:hAnsi="Times New Roman;serif"/>
          <w:b w:val="false"/>
          <w:sz w:val="20"/>
        </w:rPr>
        <w:t>million term loan facility available at the Company’s option upon having three</w:t>
      </w:r>
      <w:r>
        <w:rPr>
          <w:rFonts w:ascii="Times New Roman" w:hAnsi="Times New Roman"/>
          <w:sz w:val="20"/>
        </w:rPr>
        <w:t xml:space="preserve"> </w:t>
      </w:r>
      <w:r>
        <w:rPr>
          <w:rFonts w:ascii="Times New Roman;serif" w:hAnsi="Times New Roman;serif"/>
          <w:b w:val="false"/>
          <w:sz w:val="20"/>
        </w:rPr>
        <w:t>distinct and active clinical stage programs, determined at the discretion of the Agent, at the time of draw, (iii) from October 1, 2022</w:t>
      </w:r>
      <w:r>
        <w:rPr>
          <w:rFonts w:ascii="Times New Roman" w:hAnsi="Times New Roman"/>
          <w:sz w:val="20"/>
        </w:rPr>
        <w:t xml:space="preserve"> </w:t>
      </w:r>
      <w:r>
        <w:rPr>
          <w:rFonts w:ascii="Times New Roman;serif" w:hAnsi="Times New Roman;serif"/>
          <w:b w:val="false"/>
          <w:sz w:val="20"/>
        </w:rPr>
        <w:t>until March 31, 2023, an additional $20.0</w:t>
      </w:r>
      <w:r>
        <w:rPr>
          <w:rFonts w:ascii="Times New Roman" w:hAnsi="Times New Roman"/>
          <w:sz w:val="20"/>
        </w:rPr>
        <w:t xml:space="preserve"> </w:t>
      </w:r>
      <w:r>
        <w:rPr>
          <w:rFonts w:ascii="Times New Roman;serif" w:hAnsi="Times New Roman;serif"/>
          <w:b w:val="false"/>
          <w:sz w:val="20"/>
        </w:rPr>
        <w:t>million term loan facility available at the Company’s option upon having three</w:t>
      </w:r>
      <w:r>
        <w:rPr>
          <w:rFonts w:ascii="Times New Roman" w:hAnsi="Times New Roman"/>
          <w:sz w:val="20"/>
        </w:rPr>
        <w:t xml:space="preserve"> </w:t>
      </w:r>
      <w:r>
        <w:rPr>
          <w:rFonts w:ascii="Times New Roman;serif" w:hAnsi="Times New Roman;serif"/>
          <w:b w:val="false"/>
          <w:sz w:val="20"/>
        </w:rPr>
        <w:t>distinct and active clinical stage programs, determined at the discretion of the Agent, at the time of draw and (iv) from April 1, 2023</w:t>
      </w:r>
      <w:r>
        <w:rPr>
          <w:rFonts w:ascii="Times New Roman" w:hAnsi="Times New Roman"/>
          <w:sz w:val="20"/>
        </w:rPr>
        <w:t xml:space="preserve"> </w:t>
      </w:r>
      <w:r>
        <w:rPr>
          <w:rFonts w:ascii="Times New Roman;serif" w:hAnsi="Times New Roman;serif"/>
          <w:b w:val="false"/>
          <w:sz w:val="20"/>
        </w:rPr>
        <w:t>until December 31, 2023, an additional $20.0</w:t>
      </w:r>
      <w:r>
        <w:rPr>
          <w:rFonts w:ascii="Times New Roman" w:hAnsi="Times New Roman"/>
          <w:sz w:val="20"/>
        </w:rPr>
        <w:t xml:space="preserve"> </w:t>
      </w:r>
      <w:r>
        <w:rPr>
          <w:rFonts w:ascii="Times New Roman;serif" w:hAnsi="Times New Roman;serif"/>
          <w:b w:val="false"/>
          <w:sz w:val="20"/>
        </w:rPr>
        <w:t>million term loan facility available upon approval by the Agent and the Lenders (collectively, the “Term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Loans”). The Company drew $30.0</w:t>
      </w:r>
      <w:r>
        <w:rPr>
          <w:rFonts w:ascii="Times New Roman" w:hAnsi="Times New Roman"/>
          <w:sz w:val="20"/>
        </w:rPr>
        <w:t xml:space="preserve"> </w:t>
      </w:r>
      <w:r>
        <w:rPr>
          <w:rFonts w:ascii="Times New Roman;serif" w:hAnsi="Times New Roman;serif"/>
          <w:b w:val="false"/>
          <w:sz w:val="20"/>
        </w:rPr>
        <w:t>million in term loans on the Closing Date and $10.0</w:t>
      </w:r>
      <w:r>
        <w:rPr>
          <w:rFonts w:ascii="Times New Roman" w:hAnsi="Times New Roman"/>
          <w:sz w:val="20"/>
        </w:rPr>
        <w:t xml:space="preserve"> </w:t>
      </w:r>
      <w:r>
        <w:rPr>
          <w:rFonts w:ascii="Times New Roman;serif" w:hAnsi="Times New Roman;serif"/>
          <w:b w:val="false"/>
          <w:sz w:val="20"/>
        </w:rPr>
        <w:t>million in term loans in December 2021. The Company did not draw on the two additional $20.0</w:t>
      </w:r>
      <w:r>
        <w:rPr>
          <w:rFonts w:ascii="Times New Roman" w:hAnsi="Times New Roman"/>
          <w:sz w:val="20"/>
        </w:rPr>
        <w:t xml:space="preserve"> </w:t>
      </w:r>
      <w:r>
        <w:rPr>
          <w:rFonts w:ascii="Times New Roman;serif" w:hAnsi="Times New Roman;serif"/>
          <w:b w:val="false"/>
          <w:sz w:val="20"/>
        </w:rPr>
        <w:t>million tranches prior to expiration on September 30, 2022</w:t>
      </w:r>
      <w:r>
        <w:rPr>
          <w:rFonts w:ascii="Times New Roman" w:hAnsi="Times New Roman"/>
          <w:sz w:val="20"/>
        </w:rPr>
        <w:t xml:space="preserve"> </w:t>
      </w:r>
      <w:r>
        <w:rPr>
          <w:rFonts w:ascii="Times New Roman;serif" w:hAnsi="Times New Roman;serif"/>
          <w:b w:val="false"/>
          <w:sz w:val="20"/>
        </w:rPr>
        <w:t>and March 31,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pStyle w:val="TextBody"/>
        <w:bidi w:val="0"/>
        <w:spacing w:before="240" w:after="0"/>
        <w:jc w:val="left"/>
        <w:rPr>
          <w:rFonts w:ascii="Times New Roman" w:hAnsi="Times New Roman"/>
          <w:sz w:val="20"/>
        </w:rPr>
      </w:pPr>
      <w:r>
        <w:rPr>
          <w:rFonts w:ascii="Times New Roman;serif" w:hAnsi="Times New Roman;serif"/>
          <w:b w:val="false"/>
          <w:sz w:val="20"/>
        </w:rPr>
        <w:t>The Term Loans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w:t>
      </w:r>
      <w:r>
        <w:rPr>
          <w:rFonts w:ascii="Times New Roman" w:hAnsi="Times New Roman"/>
          <w:sz w:val="20"/>
        </w:rPr>
        <w:t xml:space="preserve"> </w:t>
      </w:r>
      <w:r>
        <w:rPr>
          <w:rFonts w:ascii="Times New Roman;serif" w:hAnsi="Times New Roman;serif"/>
          <w:b w:val="false"/>
          <w:sz w:val="20"/>
        </w:rPr>
        <w:t>million was recorded as debt discount and has also been fully accrued within non-current liabilities as of March 31, 2023. The debt discount is being accreted using the effective interest method over the term of the Term Loans within interest expense in the condensed consolidated statements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w:t>
      </w:r>
      <w:r>
        <w:rPr>
          <w:rFonts w:ascii="Times New Roman" w:hAnsi="Times New Roman"/>
          <w:sz w:val="20"/>
        </w:rPr>
        <w:t xml:space="preserve"> </w:t>
      </w:r>
      <w:r>
        <w:rPr>
          <w:rFonts w:ascii="Times New Roman;serif" w:hAnsi="Times New Roman;serif"/>
          <w:b w:val="false"/>
          <w:sz w:val="20"/>
        </w:rPr>
        <w:t>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March 31, 2023.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months ended March 31, 2023, the Company recognized interest expense related to the Term Loan of $1.3</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Future principal debt payments on the loan payable as of March 31, 2023 are as follows (in thousands):</w:t>
      </w:r>
    </w:p>
    <w:p>
      <w:pPr>
        <w:pStyle w:val="TextBody"/>
        <w:bidi w:val="0"/>
        <w:spacing w:before="0" w:after="0"/>
        <w:jc w:val="left"/>
        <w:rPr/>
      </w:pPr>
      <w:r>
        <w:rPr/>
        <w:t> </w:t>
      </w:r>
    </w:p>
    <w:tbl>
      <w:tblPr>
        <w:tblW w:w="3585" w:type="dxa"/>
        <w:jc w:val="left"/>
        <w:tblInd w:w="0" w:type="dxa"/>
        <w:tblLayout w:type="fixed"/>
        <w:tblCellMar>
          <w:top w:w="28" w:type="dxa"/>
          <w:left w:w="28" w:type="dxa"/>
          <w:bottom w:w="28" w:type="dxa"/>
          <w:right w:w="28" w:type="dxa"/>
        </w:tblCellMar>
      </w:tblPr>
      <w:tblGrid>
        <w:gridCol w:w="2341"/>
        <w:gridCol w:w="146"/>
        <w:gridCol w:w="211"/>
        <w:gridCol w:w="676"/>
        <w:gridCol w:w="2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rFonts w:ascii="Times New Roman;serif" w:hAnsi="Times New Roman;serif"/>
                <w:b/>
                <w:i/>
                <w:sz w:val="20"/>
              </w:rPr>
            </w:pPr>
            <w:r>
              <w:rPr>
                <w:rFonts w:ascii="Times New Roman;serif" w:hAnsi="Times New Roman;serif"/>
                <w:b/>
                <w:i/>
                <w:sz w:val="20"/>
              </w:rPr>
              <w:t>Year Ending December 31,</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6,667</w:t>
            </w:r>
          </w:p>
        </w:tc>
        <w:tc>
          <w:tcPr>
            <w:tcW w:w="21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21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principal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21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March 10, 2023, Silicon Valley Bank, based in Santa Clara, California, was closed by the California Department of Financial Protection and Innovation, which appointed the Federal Deposit Insurance Corporation (“FDIC”) as receiver. On March 27, 2023, First Citizens Bank purchased the remaining assets, deposits and loans of Silicon Valley Bank.</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7—Research, Collaboration and 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UT Southwestern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w:t>
      </w:r>
      <w:r>
        <w:rPr>
          <w:rFonts w:ascii="Times New Roman" w:hAnsi="Times New Roman"/>
          <w:sz w:val="20"/>
        </w:rPr>
        <w:t xml:space="preserve"> </w:t>
      </w:r>
      <w:r>
        <w:rPr>
          <w:rFonts w:ascii="Times New Roman;serif" w:hAnsi="Times New Roman;serif"/>
          <w:b w:val="false"/>
          <w:sz w:val="20"/>
        </w:rPr>
        <w:t>period under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mutually agreed upon sponsored research agreements that were entered into beginning in April 2020. During the initial research phase, the Company has the right to expand the scope of specified indications under the UT Southwestern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w:t>
      </w:r>
      <w:r>
        <w:rPr>
          <w:rFonts w:ascii="Times New Roman" w:hAnsi="Times New Roman"/>
          <w:sz w:val="20"/>
        </w:rPr>
        <w:t xml:space="preserve"> </w:t>
      </w:r>
      <w:r>
        <w:rPr>
          <w:rFonts w:ascii="Times New Roman;serif" w:hAnsi="Times New Roman;serif"/>
          <w:b w:val="false"/>
          <w:sz w:val="20"/>
        </w:rPr>
        <w:t>licensed product.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November 2019, as partial consideration for the license rights granted under the UT Southwestern Agreement, the Company issued 2,179,000</w:t>
      </w:r>
      <w:r>
        <w:rPr>
          <w:rFonts w:ascii="Times New Roman" w:hAnsi="Times New Roman"/>
          <w:sz w:val="20"/>
        </w:rPr>
        <w:t xml:space="preserve"> </w:t>
      </w:r>
      <w:r>
        <w:rPr>
          <w:rFonts w:ascii="Times New Roman;serif" w:hAnsi="Times New Roman;serif"/>
          <w:b w:val="false"/>
          <w:sz w:val="20"/>
        </w:rPr>
        <w:t>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Queen’s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w:t>
      </w:r>
      <w:r>
        <w:rPr>
          <w:rFonts w:ascii="Times New Roman" w:hAnsi="Times New Roman"/>
          <w:sz w:val="20"/>
        </w:rPr>
        <w:t xml:space="preserve"> </w:t>
      </w:r>
      <w:r>
        <w:rPr>
          <w:rFonts w:ascii="Times New Roman;serif" w:hAnsi="Times New Roman;serif"/>
          <w:b w:val="false"/>
          <w:sz w:val="20"/>
        </w:rPr>
        <w:t>million in April 2020 which was recorded within research and development expenses in the consolidated statements of operations for the year ended December 31, 2020 since the acquired license does not have an alternative future use. The Company is obligated to make aggregate cash payments of up to $10.0</w:t>
      </w:r>
      <w:r>
        <w:rPr>
          <w:rFonts w:ascii="Times New Roman" w:hAnsi="Times New Roman"/>
          <w:sz w:val="20"/>
        </w:rPr>
        <w:t xml:space="preserve"> </w:t>
      </w:r>
      <w:r>
        <w:rPr>
          <w:rFonts w:ascii="Times New Roman;serif" w:hAnsi="Times New Roman;serif"/>
          <w:b w:val="false"/>
          <w:sz w:val="20"/>
        </w:rPr>
        <w:t>million upon the completion of a combination of regulatory milestones and up to $10.0</w:t>
      </w:r>
      <w:r>
        <w:rPr>
          <w:rFonts w:ascii="Times New Roman" w:hAnsi="Times New Roman"/>
          <w:sz w:val="20"/>
        </w:rPr>
        <w:t xml:space="preserve"> </w:t>
      </w:r>
      <w:r>
        <w:rPr>
          <w:rFonts w:ascii="Times New Roman;serif" w:hAnsi="Times New Roman;serif"/>
          <w:b w:val="false"/>
          <w:sz w:val="20"/>
        </w:rPr>
        <w:t>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additional milestone payments were made in connection with the Queen’s Agreement during the three months ended March 31, 2023.</w:t>
      </w:r>
    </w:p>
    <w:p>
      <w:pPr>
        <w:pStyle w:val="TextBody"/>
        <w:bidi w:val="0"/>
        <w:spacing w:before="240" w:after="0"/>
        <w:jc w:val="left"/>
        <w:rPr>
          <w:rFonts w:ascii="Times New Roman" w:hAnsi="Times New Roman"/>
          <w:sz w:val="20"/>
        </w:rPr>
      </w:pPr>
      <w:r>
        <w:rPr>
          <w:rFonts w:ascii="Times New Roman;serif" w:hAnsi="Times New Roman;serif"/>
          <w:b/>
          <w:i/>
          <w:sz w:val="20"/>
        </w:rPr>
        <w:t>Abeona CLN1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the Company entered into license and inventory purchase agreements (collectively, the “Abeona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Abeona Agreements, the Company made initial cash payments to Abeona of $3.0</w:t>
      </w:r>
      <w:r>
        <w:rPr>
          <w:rFonts w:ascii="Times New Roman" w:hAnsi="Times New Roman"/>
          <w:sz w:val="20"/>
        </w:rPr>
        <w:t xml:space="preserve"> </w:t>
      </w:r>
      <w:r>
        <w:rPr>
          <w:rFonts w:ascii="Times New Roman;serif" w:hAnsi="Times New Roman;serif"/>
          <w:b w:val="false"/>
          <w:sz w:val="20"/>
        </w:rPr>
        <w:t>million for the license fee and $4.0</w:t>
      </w:r>
      <w:r>
        <w:rPr>
          <w:rFonts w:ascii="Times New Roman" w:hAnsi="Times New Roman"/>
          <w:sz w:val="20"/>
        </w:rPr>
        <w:t xml:space="preserve"> </w:t>
      </w:r>
      <w:r>
        <w:rPr>
          <w:rFonts w:ascii="Times New Roman;serif" w:hAnsi="Times New Roman;serif"/>
          <w:b w:val="false"/>
          <w:sz w:val="20"/>
        </w:rPr>
        <w:t>million for purchase of clinical materials and reimbursement for previously incurred development costs in October 2020. In exchange for the license rights, the Company recorded an aggregate of $7.0</w:t>
      </w:r>
      <w:r>
        <w:rPr>
          <w:rFonts w:ascii="Times New Roman" w:hAnsi="Times New Roman"/>
          <w:sz w:val="20"/>
        </w:rPr>
        <w:t xml:space="preserve"> </w:t>
      </w:r>
      <w:r>
        <w:rPr>
          <w:rFonts w:ascii="Times New Roman;serif" w:hAnsi="Times New Roman;serif"/>
          <w:b w:val="false"/>
          <w:sz w:val="20"/>
        </w:rPr>
        <w:t>million within research and development expenses in the consolidated statements of operations for the year ended December 31, 2020 since the acquired license or acquired inventory do not have an alternative future use. The Company is obligated to make up to $26.0</w:t>
      </w:r>
      <w:r>
        <w:rPr>
          <w:rFonts w:ascii="Times New Roman" w:hAnsi="Times New Roman"/>
          <w:sz w:val="20"/>
        </w:rPr>
        <w:t xml:space="preserve"> </w:t>
      </w:r>
      <w:r>
        <w:rPr>
          <w:rFonts w:ascii="Times New Roman;serif" w:hAnsi="Times New Roman;serif"/>
          <w:b w:val="false"/>
          <w:sz w:val="20"/>
        </w:rPr>
        <w:t>million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regulatory-related milestones and up to $30.0</w:t>
      </w:r>
      <w:r>
        <w:rPr>
          <w:rFonts w:ascii="Times New Roman" w:hAnsi="Times New Roman"/>
          <w:sz w:val="20"/>
        </w:rPr>
        <w:t xml:space="preserve"> </w:t>
      </w:r>
      <w:r>
        <w:rPr>
          <w:rFonts w:ascii="Times New Roman;serif" w:hAnsi="Times New Roman;serif"/>
          <w:b w:val="false"/>
          <w:sz w:val="20"/>
        </w:rPr>
        <w:t>million in sales-related milestones per licensed CLN1 product. The Company will also pay an annual earned royalty in the high single digits on net sales of any licensed CLN1 products. The license agreement with Abeona (the “Abeona License Agreement”) expires on a country-by-country and licensed product-by-licensed product basis upon the expiration of the last royalty term of a licensed product. Either party may terminate the Abeona License Agreement upon an uncured material breach of the agreement or insolvency of the other party. The Company may terminate the Abeona License Agreement for convenience upon specified prior written notice to Abeona.</w:t>
      </w:r>
    </w:p>
    <w:p>
      <w:pPr>
        <w:pStyle w:val="TextBody"/>
        <w:bidi w:val="0"/>
        <w:spacing w:before="240" w:after="0"/>
        <w:jc w:val="left"/>
        <w:rPr>
          <w:rFonts w:ascii="Times New Roman" w:hAnsi="Times New Roman"/>
          <w:sz w:val="20"/>
        </w:rPr>
      </w:pPr>
      <w:r>
        <w:rPr>
          <w:rFonts w:ascii="Times New Roman;serif" w:hAnsi="Times New Roman;serif"/>
          <w:b w:val="false"/>
          <w:sz w:val="20"/>
        </w:rPr>
        <w:t>In December 2021, a regulatory milestone was triggered in connection with this agreement and therefore the Company recorded $3.0</w:t>
      </w:r>
      <w:r>
        <w:rPr>
          <w:rFonts w:ascii="Times New Roman" w:hAnsi="Times New Roman"/>
          <w:sz w:val="20"/>
        </w:rPr>
        <w:t xml:space="preserve"> </w:t>
      </w:r>
      <w:r>
        <w:rPr>
          <w:rFonts w:ascii="Times New Roman;serif" w:hAnsi="Times New Roman;serif"/>
          <w:b w:val="false"/>
          <w:sz w:val="20"/>
        </w:rPr>
        <w:t>million within research and development expenses in the consolidated statements of operations for the year ended December 31, 2021. The milestone fee was paid in January 2022 and classified as an investing cash outflow in the condensed consolidated statements of cash flows for the three months ended March 31, 2022. No additional milestone payments were triggered in connection with this agreement during the three months ended March 31, 2023.</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Abeona Rett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Subject to certain obligations of Abeona, the Company is required to use commercially reasonable efforts to develop at least one licensed product and commercialize at least one licensed product in the United States.</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Abeona Rett Agreement, the Company paid Abeona a one-time upfront license fee of $3.0</w:t>
      </w:r>
      <w:r>
        <w:rPr>
          <w:rFonts w:ascii="Times New Roman" w:hAnsi="Times New Roman"/>
          <w:sz w:val="20"/>
        </w:rPr>
        <w:t xml:space="preserve"> </w:t>
      </w:r>
      <w:r>
        <w:rPr>
          <w:rFonts w:ascii="Times New Roman;serif" w:hAnsi="Times New Roman;serif"/>
          <w:b w:val="false"/>
          <w:sz w:val="20"/>
        </w:rPr>
        <w:t>million which was recorded in research and development expenses in the consolidated statements of operations for the year ended December 31, 2020 since the acquired license does not have an alternative future use. The Company is obligated to pay Abeona up to $26.5</w:t>
      </w:r>
      <w:r>
        <w:rPr>
          <w:rFonts w:ascii="Times New Roman" w:hAnsi="Times New Roman"/>
          <w:sz w:val="20"/>
        </w:rPr>
        <w:t xml:space="preserve"> </w:t>
      </w:r>
      <w:r>
        <w:rPr>
          <w:rFonts w:ascii="Times New Roman;serif" w:hAnsi="Times New Roman;serif"/>
          <w:b w:val="false"/>
          <w:sz w:val="20"/>
        </w:rPr>
        <w:t>million in regulatory-related milestones and up to $30.0</w:t>
      </w:r>
      <w:r>
        <w:rPr>
          <w:rFonts w:ascii="Times New Roman" w:hAnsi="Times New Roman"/>
          <w:sz w:val="20"/>
        </w:rPr>
        <w:t xml:space="preserve"> </w:t>
      </w:r>
      <w:r>
        <w:rPr>
          <w:rFonts w:ascii="Times New Roman;serif" w:hAnsi="Times New Roman;serif"/>
          <w:b w:val="false"/>
          <w:sz w:val="20"/>
        </w:rPr>
        <w:t>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bidi w:val="0"/>
        <w:spacing w:before="240" w:after="0"/>
        <w:jc w:val="left"/>
        <w:rPr>
          <w:rFonts w:ascii="Times New Roman" w:hAnsi="Times New Roman"/>
          <w:sz w:val="20"/>
        </w:rPr>
      </w:pPr>
      <w:r>
        <w:rPr>
          <w:rFonts w:ascii="Times New Roman;serif" w:hAnsi="Times New Roman;serif"/>
          <w:b w:val="false"/>
          <w:sz w:val="20"/>
        </w:rPr>
        <w:t>In March 2022, the Company’s clinical trial application ("CTA") filing for TSHA-102 for the treatment of Rett Syndrome was approved by Health Canada and therefore triggered a regulatory milestone payment in connection with this agreement. The Company recorded $1.0</w:t>
      </w:r>
      <w:r>
        <w:rPr>
          <w:rFonts w:ascii="Times New Roman" w:hAnsi="Times New Roman"/>
          <w:sz w:val="20"/>
        </w:rPr>
        <w:t xml:space="preserve"> </w:t>
      </w:r>
      <w:r>
        <w:rPr>
          <w:rFonts w:ascii="Times New Roman;serif" w:hAnsi="Times New Roman;serif"/>
          <w:b w:val="false"/>
          <w:sz w:val="20"/>
        </w:rPr>
        <w:t>million within research and development expenses in the condensed consolidated statements of operations for the three months ended March 31, 2022. The $1.0</w:t>
      </w:r>
      <w:r>
        <w:rPr>
          <w:rFonts w:ascii="Times New Roman" w:hAnsi="Times New Roman"/>
          <w:sz w:val="20"/>
        </w:rPr>
        <w:t xml:space="preserve"> </w:t>
      </w:r>
      <w:r>
        <w:rPr>
          <w:rFonts w:ascii="Times New Roman;serif" w:hAnsi="Times New Roman;serif"/>
          <w:b w:val="false"/>
          <w:sz w:val="20"/>
        </w:rPr>
        <w:t>million regulatory milestone fee was paid in July 2022. No</w:t>
      </w:r>
      <w:r>
        <w:rPr>
          <w:rFonts w:ascii="Times New Roman" w:hAnsi="Times New Roman"/>
          <w:sz w:val="20"/>
        </w:rPr>
        <w:t xml:space="preserve"> </w:t>
      </w:r>
      <w:r>
        <w:rPr>
          <w:rFonts w:ascii="Times New Roman;serif" w:hAnsi="Times New Roman;serif"/>
          <w:b w:val="false"/>
          <w:sz w:val="20"/>
        </w:rPr>
        <w:t>additional milestone payments were made in connection with this agreement during the three months ended March 31, 2023.</w:t>
      </w:r>
    </w:p>
    <w:p>
      <w:pPr>
        <w:pStyle w:val="TextBody"/>
        <w:bidi w:val="0"/>
        <w:spacing w:before="240" w:after="0"/>
        <w:jc w:val="left"/>
        <w:rPr>
          <w:rFonts w:ascii="Times New Roman" w:hAnsi="Times New Roman"/>
          <w:sz w:val="20"/>
        </w:rPr>
      </w:pPr>
      <w:r>
        <w:rPr>
          <w:rFonts w:ascii="Times New Roman;serif" w:hAnsi="Times New Roman;serif"/>
          <w:b/>
          <w:i/>
          <w:sz w:val="20"/>
        </w:rPr>
        <w:t>Acquisition of Worldwide Rights for TSHA-120 for the treatment of GAN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(“NIH”)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 (the “GAN Agreement”).</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terms of the GAN Agreement, in exchange for granting the Company the exclusive worldwide rights to TSHA-120, HHF received an upfront payment of $5.5</w:t>
      </w:r>
      <w:r>
        <w:rPr>
          <w:rFonts w:ascii="Times New Roman" w:hAnsi="Times New Roman"/>
          <w:sz w:val="20"/>
        </w:rPr>
        <w:t xml:space="preserve"> </w:t>
      </w:r>
      <w:r>
        <w:rPr>
          <w:rFonts w:ascii="Times New Roman;serif" w:hAnsi="Times New Roman;serif"/>
          <w:b w:val="false"/>
          <w:sz w:val="20"/>
        </w:rPr>
        <w:t>million and will be eligible to receive clinical, regulatory and commercial milestones totaling up to $19.3</w:t>
      </w:r>
      <w:r>
        <w:rPr>
          <w:rFonts w:ascii="Times New Roman" w:hAnsi="Times New Roman"/>
          <w:sz w:val="20"/>
        </w:rPr>
        <w:t xml:space="preserve"> </w:t>
      </w:r>
      <w:r>
        <w:rPr>
          <w:rFonts w:ascii="Times New Roman;serif" w:hAnsi="Times New Roman;serif"/>
          <w:b w:val="false"/>
          <w:sz w:val="20"/>
        </w:rPr>
        <w:t>million, as well as a low, single-digit royalty on net sales upon commercialization of the product. No</w:t>
      </w:r>
      <w:r>
        <w:rPr>
          <w:rFonts w:ascii="Times New Roman" w:hAnsi="Times New Roman"/>
          <w:sz w:val="20"/>
        </w:rPr>
        <w:t xml:space="preserve"> </w:t>
      </w:r>
      <w:r>
        <w:rPr>
          <w:rFonts w:ascii="Times New Roman;serif" w:hAnsi="Times New Roman;serif"/>
          <w:b w:val="false"/>
          <w:sz w:val="20"/>
        </w:rPr>
        <w:t>additional milestone payments were made in connection with the GAN Agreement during the three months ended March 31,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License Agreement for CLN7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w:t>
      </w:r>
      <w:r>
        <w:rPr>
          <w:rFonts w:ascii="Times New Roman" w:hAnsi="Times New Roman"/>
          <w:sz w:val="20"/>
        </w:rPr>
        <w:t xml:space="preserve"> </w:t>
      </w:r>
      <w:r>
        <w:rPr>
          <w:rFonts w:ascii="Times New Roman;serif" w:hAnsi="Times New Roman;serif"/>
          <w:b w:val="false"/>
          <w:sz w:val="20"/>
        </w:rPr>
        <w:t>million. The Company recorded the upfront license fee in research and development expense in the condensed consolidated statements of operations since the acquired license does not have an alternative future use. The Company is obligated to pay UT Southwestern up to $7.7</w:t>
      </w:r>
      <w:r>
        <w:rPr>
          <w:rFonts w:ascii="Times New Roman" w:hAnsi="Times New Roman"/>
          <w:sz w:val="20"/>
        </w:rPr>
        <w:t xml:space="preserve"> </w:t>
      </w:r>
      <w:r>
        <w:rPr>
          <w:rFonts w:ascii="Times New Roman;serif" w:hAnsi="Times New Roman;serif"/>
          <w:b w:val="false"/>
          <w:sz w:val="20"/>
        </w:rPr>
        <w:t>million in regulatory-related milestones and up to $7.5</w:t>
      </w:r>
      <w:r>
        <w:rPr>
          <w:rFonts w:ascii="Times New Roman" w:hAnsi="Times New Roman"/>
          <w:sz w:val="20"/>
        </w:rPr>
        <w:t xml:space="preserve"> </w:t>
      </w:r>
      <w:r>
        <w:rPr>
          <w:rFonts w:ascii="Times New Roman;serif" w:hAnsi="Times New Roman;serif"/>
          <w:b w:val="false"/>
          <w:sz w:val="20"/>
        </w:rPr>
        <w:t>million in sales-related milestones, as well as a low, single-digit royalty on net sales upon commercialization of the product. No</w:t>
      </w:r>
      <w:r>
        <w:rPr>
          <w:rFonts w:ascii="Times New Roman" w:hAnsi="Times New Roman"/>
          <w:sz w:val="20"/>
        </w:rPr>
        <w:t xml:space="preserve"> </w:t>
      </w:r>
      <w:r>
        <w:rPr>
          <w:rFonts w:ascii="Times New Roman;serif" w:hAnsi="Times New Roman;serif"/>
          <w:b w:val="false"/>
          <w:sz w:val="20"/>
        </w:rPr>
        <w:t>additional milestone payments were made in connection with this agreement during the three months ended March 31, 2023.</w:t>
      </w:r>
    </w:p>
    <w:p>
      <w:pPr>
        <w:pStyle w:val="TextBody"/>
        <w:bidi w:val="0"/>
        <w:spacing w:before="360" w:after="0"/>
        <w:jc w:val="left"/>
        <w:rPr>
          <w:rFonts w:ascii="Times New Roman" w:hAnsi="Times New Roman"/>
          <w:sz w:val="20"/>
        </w:rPr>
      </w:pPr>
      <w:r>
        <w:rPr>
          <w:rFonts w:ascii="Times New Roman;serif" w:hAnsi="Times New Roman;serif"/>
          <w:b/>
          <w:sz w:val="20"/>
        </w:rPr>
        <w:t>Note 8—Stock-Based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1, 2020, the Company’s board of directors approved the 2020 Equity Incentive Plan (“Existing Plan”) which permits the granting of incentive stock options, non-statutory stock options, stock appreciation rights, RSAs, RSUs and other stock-based awards to employees, directors, officers and consultants. As of September 16, 2020, the approval date of the New Plan (as defined below), no additional awards will be granted under the Existing Plan. The terms of the Existing Plan will continue to govern the terms of outstanding equity awards that were granted prior to approval of the New Plan.</w:t>
      </w:r>
    </w:p>
    <w:p>
      <w:pPr>
        <w:pStyle w:val="TextBody"/>
        <w:bidi w:val="0"/>
        <w:spacing w:before="240" w:after="0"/>
        <w:jc w:val="left"/>
        <w:rPr>
          <w:rFonts w:ascii="Times New Roman" w:hAnsi="Times New Roman"/>
          <w:sz w:val="20"/>
        </w:rPr>
      </w:pPr>
      <w:r>
        <w:rPr>
          <w:rFonts w:ascii="Times New Roman;serif" w:hAnsi="Times New Roman;serif"/>
          <w:b w:val="false"/>
          <w:sz w:val="20"/>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w:t>
      </w:r>
      <w:r>
        <w:rPr>
          <w:rFonts w:ascii="Times New Roman;serif" w:hAnsi="Times New Roman;serif"/>
          <w:sz w:val="20"/>
        </w:rPr>
        <w:t xml:space="preserve"> </w:t>
      </w:r>
      <w:r>
        <w:rPr>
          <w:rFonts w:ascii="Times New Roman;serif" w:hAnsi="Times New Roman;serif"/>
          <w:b w:val="false"/>
          <w:sz w:val="20"/>
        </w:rPr>
        <w:t>continuing through January 1, 2030, by 5% of the total number of shares of common stock outstanding on December 31 of the preceding calendar year, or a lesser number of shares as may be determined by the Company’s board of directors.</w:t>
      </w:r>
      <w:r>
        <w:rPr>
          <w:rFonts w:ascii="Times New Roman" w:hAnsi="Times New Roman"/>
          <w:sz w:val="20"/>
        </w:rPr>
        <w:t xml:space="preserve"> </w:t>
      </w:r>
      <w:r>
        <w:rPr>
          <w:rFonts w:ascii="Times New Roman;serif" w:hAnsi="Times New Roman;serif"/>
          <w:b w:val="false"/>
          <w:sz w:val="20"/>
        </w:rPr>
        <w:t>On January 1, 2023, the Company’s board of directors increased the number of shares of common stock reserved for issuance under the New Plan by 3,160,375</w:t>
      </w:r>
      <w:r>
        <w:rPr>
          <w:rFonts w:ascii="Times New Roman" w:hAnsi="Times New Roman"/>
          <w:sz w:val="20"/>
        </w:rPr>
        <w:t xml:space="preserve"> </w:t>
      </w:r>
      <w:r>
        <w:rPr>
          <w:rFonts w:ascii="Times New Roman;serif" w:hAnsi="Times New Roman;serif"/>
          <w:b w:val="false"/>
          <w:sz w:val="20"/>
        </w:rPr>
        <w:t>shares.</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w:t>
      </w:r>
      <w:r>
        <w:rPr>
          <w:rFonts w:ascii="Times New Roman" w:hAnsi="Times New Roman"/>
          <w:sz w:val="20"/>
        </w:rPr>
        <w:t xml:space="preserve"> </w:t>
      </w:r>
      <w:r>
        <w:rPr>
          <w:rFonts w:ascii="Times New Roman;serif" w:hAnsi="Times New Roman;serif"/>
          <w:b w:val="false"/>
          <w:sz w:val="20"/>
        </w:rPr>
        <w:t>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w:t>
      </w:r>
      <w:r>
        <w:rPr>
          <w:rFonts w:ascii="Times New Roman;serif" w:hAnsi="Times New Roman;serif"/>
          <w:sz w:val="20"/>
        </w:rPr>
        <w:t xml:space="preserve"> </w:t>
      </w:r>
      <w:r>
        <w:rPr>
          <w:rFonts w:ascii="Times New Roman;serif" w:hAnsi="Times New Roman;serif"/>
          <w:b w:val="false"/>
          <w:sz w:val="20"/>
        </w:rPr>
        <w:t>shares of common stock.</w:t>
      </w:r>
      <w:r>
        <w:rPr>
          <w:rFonts w:ascii="Times New Roman" w:hAnsi="Times New Roman"/>
          <w:sz w:val="20"/>
        </w:rPr>
        <w:t xml:space="preserve"> </w:t>
      </w: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shares were added to the ESPP in 2021. On January 1, 2022 and 2023, the Company’s board of directors increased the number of shares of common stock reserved for issuance under the ESPP by 384,739</w:t>
      </w:r>
      <w:r>
        <w:rPr>
          <w:rFonts w:ascii="Times New Roman" w:hAnsi="Times New Roman"/>
          <w:sz w:val="20"/>
        </w:rPr>
        <w:t xml:space="preserve"> </w:t>
      </w:r>
      <w:r>
        <w:rPr>
          <w:rFonts w:ascii="Times New Roman;serif" w:hAnsi="Times New Roman;serif"/>
          <w:b w:val="false"/>
          <w:sz w:val="20"/>
        </w:rPr>
        <w:t>and 632,075</w:t>
      </w:r>
      <w:r>
        <w:rPr>
          <w:rFonts w:ascii="Times New Roman" w:hAnsi="Times New Roman"/>
          <w:sz w:val="20"/>
        </w:rPr>
        <w:t xml:space="preserve"> </w:t>
      </w:r>
      <w:r>
        <w:rPr>
          <w:rFonts w:ascii="Times New Roman;serif" w:hAnsi="Times New Roman;serif"/>
          <w:b w:val="false"/>
          <w:sz w:val="20"/>
        </w:rPr>
        <w:t>respectively. The Company has issued 108,993</w:t>
      </w:r>
      <w:r>
        <w:rPr>
          <w:rFonts w:ascii="Times New Roman" w:hAnsi="Times New Roman"/>
          <w:sz w:val="20"/>
        </w:rPr>
        <w:t xml:space="preserve"> </w:t>
      </w:r>
      <w:r>
        <w:rPr>
          <w:rFonts w:ascii="Times New Roman;serif" w:hAnsi="Times New Roman;serif"/>
          <w:b w:val="false"/>
          <w:sz w:val="20"/>
        </w:rPr>
        <w:t>shares of common stock under the ESPP as of March 31,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number of shares available for grant under the Company's incentive plans were as follows:</w:t>
      </w:r>
    </w:p>
    <w:p>
      <w:pPr>
        <w:pStyle w:val="TextBody"/>
        <w:bidi w:val="0"/>
        <w:spacing w:before="120" w:after="0"/>
        <w:jc w:val="left"/>
        <w:rPr/>
      </w:pPr>
      <w:r>
        <w:rPr/>
        <w:t> </w:t>
      </w:r>
    </w:p>
    <w:tbl>
      <w:tblPr>
        <w:tblW w:w="7878" w:type="dxa"/>
        <w:jc w:val="left"/>
        <w:tblInd w:w="0" w:type="dxa"/>
        <w:tblLayout w:type="fixed"/>
        <w:tblCellMar>
          <w:top w:w="28" w:type="dxa"/>
          <w:left w:w="28" w:type="dxa"/>
          <w:bottom w:w="28" w:type="dxa"/>
          <w:right w:w="28" w:type="dxa"/>
        </w:tblCellMar>
      </w:tblPr>
      <w:tblGrid>
        <w:gridCol w:w="3436"/>
        <w:gridCol w:w="146"/>
        <w:gridCol w:w="146"/>
        <w:gridCol w:w="841"/>
        <w:gridCol w:w="166"/>
        <w:gridCol w:w="146"/>
        <w:gridCol w:w="146"/>
        <w:gridCol w:w="991"/>
        <w:gridCol w:w="166"/>
        <w:gridCol w:w="146"/>
        <w:gridCol w:w="146"/>
        <w:gridCol w:w="991"/>
        <w:gridCol w:w="4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Existing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Plan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Plan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Available for grant -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1,067,682</w:t>
            </w:r>
          </w:p>
        </w:tc>
        <w:tc>
          <w:tcPr>
            <w:tcW w:w="411" w:type="dxa"/>
            <w:tcBorders/>
            <w:vAlign w:val="center"/>
          </w:tcPr>
          <w:p>
            <w:pPr>
              <w:pStyle w:val="TableContents"/>
              <w:bidi w:val="0"/>
              <w:spacing w:before="0" w:after="0"/>
              <w:ind w:left="0" w:right="0" w:firstLine="200"/>
              <w:jc w:val="left"/>
              <w:rPr/>
            </w:pPr>
            <w:r>
              <w:rPr/>
              <w:t> </w:t>
            </w:r>
          </w:p>
        </w:tc>
      </w:tr>
      <w:tr>
        <w:trPr/>
        <w:tc>
          <w:tcPr>
            <w:tcW w:w="3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Plan adjustments and amendments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(667,828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3,828,203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3,160,375</w:t>
            </w:r>
          </w:p>
        </w:tc>
        <w:tc>
          <w:tcPr>
            <w:tcW w:w="411" w:type="dxa"/>
            <w:tcBorders/>
            <w:vAlign w:val="center"/>
          </w:tcPr>
          <w:p>
            <w:pPr>
              <w:pStyle w:val="TableContents"/>
              <w:bidi w:val="0"/>
              <w:spacing w:before="0" w:after="0"/>
              <w:ind w:left="0" w:right="0" w:firstLine="200"/>
              <w:jc w:val="left"/>
              <w:rPr/>
            </w:pPr>
            <w:r>
              <w:rPr/>
              <w:t> </w:t>
            </w:r>
          </w:p>
        </w:tc>
      </w:tr>
      <w:tr>
        <w:trPr/>
        <w:tc>
          <w:tcPr>
            <w:tcW w:w="3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(1,597,604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(1,597,604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Forfeitures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667,828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1,936,143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2,603,971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Available for grant -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5,234,424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5,234,424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March 31, 2023, 1,043,371</w:t>
      </w:r>
      <w:r>
        <w:rPr>
          <w:rFonts w:ascii="Times New Roman" w:hAnsi="Times New Roman"/>
          <w:sz w:val="20"/>
        </w:rPr>
        <w:t xml:space="preserve"> </w:t>
      </w:r>
      <w:r>
        <w:rPr>
          <w:rFonts w:ascii="Times New Roman;serif" w:hAnsi="Times New Roman;serif"/>
          <w:b w:val="false"/>
          <w:sz w:val="20"/>
        </w:rPr>
        <w:t>shares of common stock under the New Plan were awarded with a weighted-average grant date fair value per share of $0.85. The stock options vest over four years</w:t>
      </w:r>
      <w:r>
        <w:rPr>
          <w:rFonts w:ascii="Times New Roman" w:hAnsi="Times New Roman"/>
          <w:sz w:val="20"/>
        </w:rPr>
        <w:t xml:space="preserve"> </w:t>
      </w:r>
      <w:r>
        <w:rPr>
          <w:rFonts w:ascii="Times New Roman;serif" w:hAnsi="Times New Roman;serif"/>
          <w:b w:val="false"/>
          <w:sz w:val="20"/>
        </w:rPr>
        <w:t>and have a ten-year</w:t>
      </w:r>
      <w:r>
        <w:rPr>
          <w:rFonts w:ascii="Times New Roman" w:hAnsi="Times New Roman"/>
          <w:sz w:val="20"/>
        </w:rPr>
        <w:t xml:space="preserve"> </w:t>
      </w:r>
      <w:r>
        <w:rPr>
          <w:rFonts w:ascii="Times New Roman;serif" w:hAnsi="Times New Roman;serif"/>
          <w:b w:val="false"/>
          <w:sz w:val="20"/>
        </w:rPr>
        <w:t>contractual term.</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weighted-average assumptions were used to estimate the fair value of time-based vesting stock options that were granted during the three months ended March 31, 2023 and 2022:</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990" w:type="dxa"/>
        <w:jc w:val="left"/>
        <w:tblInd w:w="0" w:type="dxa"/>
        <w:tblLayout w:type="fixed"/>
        <w:tblCellMar>
          <w:top w:w="28" w:type="dxa"/>
          <w:left w:w="28" w:type="dxa"/>
          <w:bottom w:w="28" w:type="dxa"/>
          <w:right w:w="28" w:type="dxa"/>
        </w:tblCellMar>
      </w:tblPr>
      <w:tblGrid>
        <w:gridCol w:w="2131"/>
        <w:gridCol w:w="146"/>
        <w:gridCol w:w="213"/>
        <w:gridCol w:w="681"/>
        <w:gridCol w:w="396"/>
        <w:gridCol w:w="213"/>
        <w:gridCol w:w="213"/>
        <w:gridCol w:w="68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9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c>
          <w:tcPr>
            <w:tcW w:w="8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9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16"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3"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summarizes time-based vesting stock option activity, during the three months ended March 31, 2023:</w:t>
      </w:r>
      <w:r>
        <w:rPr>
          <w:rFonts w:ascii="Times New Roman" w:hAnsi="Times New Roman"/>
          <w:sz w:val="20"/>
        </w:rPr>
        <w:t xml:space="preserve"> </w:t>
      </w:r>
    </w:p>
    <w:p>
      <w:pPr>
        <w:pStyle w:val="TextBody"/>
        <w:bidi w:val="0"/>
        <w:spacing w:before="0" w:after="0"/>
        <w:jc w:val="left"/>
        <w:rPr/>
      </w:pPr>
      <w:r>
        <w:rPr/>
        <w:t> </w:t>
      </w:r>
    </w:p>
    <w:tbl>
      <w:tblPr>
        <w:tblW w:w="8872" w:type="dxa"/>
        <w:jc w:val="left"/>
        <w:tblInd w:w="0" w:type="dxa"/>
        <w:tblLayout w:type="fixed"/>
        <w:tblCellMar>
          <w:top w:w="28" w:type="dxa"/>
          <w:left w:w="28" w:type="dxa"/>
          <w:bottom w:w="28" w:type="dxa"/>
          <w:right w:w="28" w:type="dxa"/>
        </w:tblCellMar>
      </w:tblPr>
      <w:tblGrid>
        <w:gridCol w:w="3256"/>
        <w:gridCol w:w="146"/>
        <w:gridCol w:w="146"/>
        <w:gridCol w:w="991"/>
        <w:gridCol w:w="166"/>
        <w:gridCol w:w="146"/>
        <w:gridCol w:w="214"/>
        <w:gridCol w:w="582"/>
        <w:gridCol w:w="146"/>
        <w:gridCol w:w="146"/>
        <w:gridCol w:w="322"/>
        <w:gridCol w:w="803"/>
        <w:gridCol w:w="146"/>
        <w:gridCol w:w="146"/>
        <w:gridCol w:w="425"/>
        <w:gridCol w:w="700"/>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3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3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39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Life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6,158,078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1,043,371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cancelled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(1,765,389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8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5,312,862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in the above table is calculated as the difference between the fair value of the Company’s common stock at the respective reporting date and the exercise price of the stock options. As of March 31, 2023, the total unrecognized compensation related to unvested stock option awards granted was $12.6</w:t>
      </w:r>
      <w:r>
        <w:rPr>
          <w:rFonts w:ascii="Times New Roman" w:hAnsi="Times New Roman"/>
          <w:sz w:val="20"/>
        </w:rPr>
        <w:t xml:space="preserve"> </w:t>
      </w:r>
      <w:r>
        <w:rPr>
          <w:rFonts w:ascii="Times New Roman;serif" w:hAnsi="Times New Roman;serif"/>
          <w:b w:val="false"/>
          <w:sz w:val="20"/>
        </w:rPr>
        <w:t>million, which the Company expects to recognize over a weighted-average period of approximately</w:t>
      </w:r>
      <w:r>
        <w:rPr>
          <w:rFonts w:ascii="Times New Roman" w:hAnsi="Times New Roman"/>
          <w:sz w:val="20"/>
        </w:rPr>
        <w:t xml:space="preserve"> </w:t>
      </w:r>
      <w:r>
        <w:rPr>
          <w:rFonts w:ascii="Times New Roman;serif" w:hAnsi="Times New Roman;serif"/>
          <w:b w:val="false"/>
          <w:sz w:val="20"/>
        </w:rPr>
        <w:t>2.6</w:t>
      </w:r>
      <w:r>
        <w:rPr>
          <w:rFonts w:ascii="Times New Roman" w:hAnsi="Times New Roman"/>
          <w:sz w:val="20"/>
        </w:rPr>
        <w:t xml:space="preserve"> </w:t>
      </w:r>
      <w:r>
        <w:rPr>
          <w:rFonts w:ascii="Times New Roman;serif" w:hAnsi="Times New Roman;serif"/>
          <w:b w:val="false"/>
          <w:sz w:val="20"/>
        </w:rPr>
        <w:t>years. No</w:t>
      </w:r>
      <w:r>
        <w:rPr>
          <w:rFonts w:ascii="Times New Roman" w:hAnsi="Times New Roman"/>
          <w:sz w:val="20"/>
        </w:rPr>
        <w:t xml:space="preserve"> </w:t>
      </w:r>
      <w:r>
        <w:rPr>
          <w:rFonts w:ascii="Times New Roman;serif" w:hAnsi="Times New Roman;serif"/>
          <w:b w:val="false"/>
          <w:sz w:val="20"/>
        </w:rPr>
        <w:t>stock options were exercised during the period.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Performance and Market-based 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2023, the Company issued 140,468</w:t>
      </w:r>
      <w:r>
        <w:rPr>
          <w:rFonts w:ascii="Times New Roman" w:hAnsi="Times New Roman"/>
          <w:sz w:val="20"/>
        </w:rPr>
        <w:t xml:space="preserve"> </w:t>
      </w:r>
      <w:r>
        <w:rPr>
          <w:rFonts w:ascii="Times New Roman;serif" w:hAnsi="Times New Roman;serif"/>
          <w:b w:val="false"/>
          <w:sz w:val="20"/>
        </w:rPr>
        <w:t>stock options to employees under the New Plan that contain a combination of performance and market-based vesting conditions, subject to continued employment through each anniversary and achievement of the market and performance conditions. The grant date fair value of the stock options that contain performance and market-based vesting conditions was not material. As of March 31, 2023, 116,690</w:t>
      </w:r>
      <w:r>
        <w:rPr>
          <w:rFonts w:ascii="Times New Roman" w:hAnsi="Times New Roman"/>
          <w:sz w:val="20"/>
        </w:rPr>
        <w:t xml:space="preserve"> </w:t>
      </w:r>
      <w:r>
        <w:rPr>
          <w:rFonts w:ascii="Times New Roman;serif" w:hAnsi="Times New Roman;serif"/>
          <w:b w:val="false"/>
          <w:sz w:val="20"/>
        </w:rPr>
        <w:t>of the performance and market-based options were outstanding, and no</w:t>
      </w:r>
      <w:r>
        <w:rPr>
          <w:rFonts w:ascii="Times New Roman" w:hAnsi="Times New Roman"/>
          <w:sz w:val="20"/>
        </w:rPr>
        <w:t xml:space="preserve"> </w:t>
      </w:r>
      <w:r>
        <w:rPr>
          <w:rFonts w:ascii="Times New Roman;serif" w:hAnsi="Times New Roman;serif"/>
          <w:b w:val="false"/>
          <w:sz w:val="20"/>
        </w:rPr>
        <w:t>options vested during the period.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2023, the Company issued 81,236</w:t>
      </w:r>
      <w:r>
        <w:rPr>
          <w:rFonts w:ascii="Times New Roman" w:hAnsi="Times New Roman"/>
          <w:sz w:val="20"/>
        </w:rPr>
        <w:t xml:space="preserve"> </w:t>
      </w:r>
      <w:r>
        <w:rPr>
          <w:rFonts w:ascii="Times New Roman;serif" w:hAnsi="Times New Roman;serif"/>
          <w:b w:val="false"/>
          <w:sz w:val="20"/>
        </w:rPr>
        <w:t>RSUs to employees under the New Plan. The RSUs are subject to a service-based vesting condition. The service-based RSUs vest in equal annual installments over a four-year</w:t>
      </w:r>
      <w:r>
        <w:rPr>
          <w:rFonts w:ascii="Times New Roman" w:hAnsi="Times New Roman"/>
          <w:sz w:val="20"/>
        </w:rPr>
        <w:t xml:space="preserve"> </w:t>
      </w:r>
      <w:r>
        <w:rPr>
          <w:rFonts w:ascii="Times New Roman;serif" w:hAnsi="Times New Roman;serif"/>
          <w:b w:val="false"/>
          <w:sz w:val="20"/>
        </w:rPr>
        <w:t>period. The Company at any time may accelerate the vesting of the RSUs. Such shares are not accounted for as outstanding until they vest.</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the total unrecognized compensation related to unvested RSUs granted was $3.3</w:t>
      </w:r>
      <w:r>
        <w:rPr>
          <w:rFonts w:ascii="Times New Roman" w:hAnsi="Times New Roman"/>
          <w:sz w:val="20"/>
        </w:rPr>
        <w:t xml:space="preserve"> </w:t>
      </w:r>
      <w:r>
        <w:rPr>
          <w:rFonts w:ascii="Times New Roman;serif" w:hAnsi="Times New Roman;serif"/>
          <w:b w:val="false"/>
          <w:sz w:val="20"/>
        </w:rPr>
        <w:t>million which is expected to be amortized on a straight-line basis over a weighted-average period of approximately 1.3</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pStyle w:val="TextBody"/>
        <w:bidi w:val="0"/>
        <w:spacing w:before="240" w:after="0"/>
        <w:jc w:val="left"/>
        <w:rPr>
          <w:rFonts w:ascii="Times New Roman" w:hAnsi="Times New Roman"/>
          <w:sz w:val="20"/>
        </w:rPr>
      </w:pPr>
      <w:r>
        <w:rPr>
          <w:rFonts w:ascii="Times New Roman;serif" w:hAnsi="Times New Roman;serif"/>
          <w:b w:val="false"/>
          <w:sz w:val="20"/>
        </w:rPr>
        <w:t>In March 2023, the Company issued 251,296</w:t>
      </w:r>
      <w:r>
        <w:rPr>
          <w:rFonts w:ascii="Times New Roman" w:hAnsi="Times New Roman"/>
          <w:sz w:val="20"/>
        </w:rPr>
        <w:t xml:space="preserve"> </w:t>
      </w:r>
      <w:r>
        <w:rPr>
          <w:rFonts w:ascii="Times New Roman;serif" w:hAnsi="Times New Roman;serif"/>
          <w:b w:val="false"/>
          <w:sz w:val="20"/>
        </w:rPr>
        <w:t>RSUs to RA Session II, the former President and Chief Executive officer of the Company in connection with his resignation from the Company and Board of Directors. The RSUs vested immediately.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RSU activity for the three months ended March 31, 2023 was as follows:</w:t>
      </w:r>
      <w:r>
        <w:rPr>
          <w:rFonts w:ascii="Times New Roman" w:hAnsi="Times New Roman"/>
          <w:sz w:val="20"/>
        </w:rPr>
        <w:t xml:space="preserve"> </w:t>
      </w:r>
    </w:p>
    <w:p>
      <w:pPr>
        <w:pStyle w:val="TextBody"/>
        <w:bidi w:val="0"/>
        <w:spacing w:before="0" w:after="0"/>
        <w:jc w:val="left"/>
        <w:rPr/>
      </w:pPr>
      <w:r>
        <w:rPr/>
        <w:t> </w:t>
      </w:r>
    </w:p>
    <w:tbl>
      <w:tblPr>
        <w:tblW w:w="5677" w:type="dxa"/>
        <w:jc w:val="left"/>
        <w:tblInd w:w="0" w:type="dxa"/>
        <w:tblLayout w:type="fixed"/>
        <w:tblCellMar>
          <w:top w:w="28" w:type="dxa"/>
          <w:left w:w="28" w:type="dxa"/>
          <w:bottom w:w="28" w:type="dxa"/>
          <w:right w:w="28" w:type="dxa"/>
        </w:tblCellMar>
      </w:tblPr>
      <w:tblGrid>
        <w:gridCol w:w="2806"/>
        <w:gridCol w:w="146"/>
        <w:gridCol w:w="146"/>
        <w:gridCol w:w="931"/>
        <w:gridCol w:w="166"/>
        <w:gridCol w:w="146"/>
        <w:gridCol w:w="294"/>
        <w:gridCol w:w="65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1,257,844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391" w:type="dxa"/>
            <w:tcBorders/>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332,532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391" w:type="dxa"/>
            <w:tcBorders/>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91" w:type="dxa"/>
            <w:tcBorders/>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(658,343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680,737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Performance and Market-based Restricted Stock Units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2023, the Company issued 81,233</w:t>
      </w:r>
      <w:r>
        <w:rPr>
          <w:rFonts w:ascii="Times New Roman" w:hAnsi="Times New Roman"/>
          <w:sz w:val="20"/>
        </w:rPr>
        <w:t xml:space="preserve"> </w:t>
      </w:r>
      <w:r>
        <w:rPr>
          <w:rFonts w:ascii="Times New Roman;serif" w:hAnsi="Times New Roman;serif"/>
          <w:b w:val="false"/>
          <w:sz w:val="20"/>
        </w:rPr>
        <w:t>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March 31, 2023, 69,344</w:t>
      </w:r>
      <w:r>
        <w:rPr>
          <w:rFonts w:ascii="Times New Roman" w:hAnsi="Times New Roman"/>
          <w:sz w:val="20"/>
        </w:rPr>
        <w:t xml:space="preserve"> </w:t>
      </w:r>
      <w:r>
        <w:rPr>
          <w:rFonts w:ascii="Times New Roman;serif" w:hAnsi="Times New Roman;serif"/>
          <w:b w:val="false"/>
          <w:sz w:val="20"/>
        </w:rPr>
        <w:t>of the performance and market-based RSUs were outstanding and no RSUs vested during the period.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Stock Awards</w:t>
      </w:r>
    </w:p>
    <w:p>
      <w:pPr>
        <w:pStyle w:val="TextBody"/>
        <w:bidi w:val="0"/>
        <w:spacing w:before="120" w:after="0"/>
        <w:jc w:val="left"/>
        <w:rPr>
          <w:rFonts w:ascii="Times New Roman" w:hAnsi="Times New Roman"/>
          <w:sz w:val="20"/>
        </w:rPr>
      </w:pPr>
      <w:r>
        <w:rPr>
          <w:rFonts w:ascii="Times New Roman;serif" w:hAnsi="Times New Roman;serif"/>
          <w:b w:val="false"/>
          <w:sz w:val="20"/>
        </w:rPr>
        <w:t>RA Session II, the Company’s former President and Chief Executive Officer, was awarded 769,058</w:t>
      </w:r>
      <w:r>
        <w:rPr>
          <w:rFonts w:ascii="Times New Roman" w:hAnsi="Times New Roman"/>
          <w:sz w:val="20"/>
        </w:rPr>
        <w:t xml:space="preserve"> </w:t>
      </w:r>
      <w:r>
        <w:rPr>
          <w:rFonts w:ascii="Times New Roman;serif" w:hAnsi="Times New Roman;serif"/>
          <w:b w:val="false"/>
          <w:sz w:val="20"/>
        </w:rPr>
        <w:t>RSAs under the Existing Plan on July 1, 2020, which are expected to vest over a three-year</w:t>
      </w:r>
      <w:r>
        <w:rPr>
          <w:rFonts w:ascii="Times New Roman" w:hAnsi="Times New Roman"/>
          <w:sz w:val="20"/>
        </w:rPr>
        <w:t xml:space="preserve"> </w:t>
      </w:r>
      <w:r>
        <w:rPr>
          <w:rFonts w:ascii="Times New Roman;serif" w:hAnsi="Times New Roman;serif"/>
          <w:b w:val="false"/>
          <w:sz w:val="20"/>
        </w:rPr>
        <w:t>term, subject to continuous employment. The fair value of these RSAs at the grant date of July 1, 2020 was $5.28</w:t>
      </w:r>
      <w:r>
        <w:rPr>
          <w:rFonts w:ascii="Times New Roman" w:hAnsi="Times New Roman"/>
          <w:sz w:val="20"/>
        </w:rPr>
        <w:t xml:space="preserve"> </w:t>
      </w:r>
      <w:r>
        <w:rPr>
          <w:rFonts w:ascii="Times New Roman;serif" w:hAnsi="Times New Roman;serif"/>
          <w:b w:val="false"/>
          <w:sz w:val="20"/>
        </w:rPr>
        <w:t>per share. On March 2, 2023, Mr. Session resigned from the Board of Directors, therefore cancelling any unvested tranches.</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Company’s RSA activity for the three months ended March 31, 2023 was as follows:</w:t>
      </w:r>
      <w:r>
        <w:rPr>
          <w:rFonts w:ascii="Times New Roman" w:hAnsi="Times New Roman"/>
          <w:sz w:val="20"/>
        </w:rPr>
        <w:t xml:space="preserve"> </w:t>
      </w:r>
    </w:p>
    <w:tbl>
      <w:tblPr>
        <w:tblW w:w="5482" w:type="dxa"/>
        <w:jc w:val="left"/>
        <w:tblInd w:w="0" w:type="dxa"/>
        <w:tblLayout w:type="fixed"/>
        <w:tblCellMar>
          <w:top w:w="28" w:type="dxa"/>
          <w:left w:w="28" w:type="dxa"/>
          <w:bottom w:w="28" w:type="dxa"/>
          <w:right w:w="28" w:type="dxa"/>
        </w:tblCellMar>
      </w:tblPr>
      <w:tblGrid>
        <w:gridCol w:w="2806"/>
        <w:gridCol w:w="146"/>
        <w:gridCol w:w="146"/>
        <w:gridCol w:w="736"/>
        <w:gridCol w:w="166"/>
        <w:gridCol w:w="146"/>
        <w:gridCol w:w="294"/>
        <w:gridCol w:w="65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vAlign w:val="center"/>
          </w:tcPr>
          <w:p>
            <w:pPr>
              <w:pStyle w:val="TableContents"/>
              <w:bidi w:val="0"/>
              <w:spacing w:before="0" w:after="0"/>
              <w:ind w:left="0" w:right="0" w:firstLine="200"/>
              <w:jc w:val="left"/>
              <w:rPr/>
            </w:pPr>
            <w:r>
              <w:rPr/>
              <w:t> </w:t>
            </w:r>
          </w:p>
        </w:tc>
      </w:tr>
      <w:tr>
        <w:trPr/>
        <w:tc>
          <w:tcPr>
            <w:tcW w:w="2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w:t>
      </w:r>
      <w:r>
        <w:rPr>
          <w:rFonts w:ascii="Times New Roman" w:hAnsi="Times New Roman"/>
          <w:sz w:val="20"/>
        </w:rPr>
        <w:t xml:space="preserve"> </w:t>
      </w:r>
      <w:r>
        <w:rPr>
          <w:rFonts w:ascii="Times New Roman;serif" w:hAnsi="Times New Roman;serif"/>
          <w:b w:val="false"/>
          <w:sz w:val="20"/>
        </w:rPr>
        <w:t>of shares of Taysha common stock during any offering period. During the three months ended March 31, 2023 and 2022, stock-based compensation expense related to the ESPP was not material.</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summarizes the total stock-based compensation expense for the stock options, ESPP, RSAs and RSUs recorded in the condensed consolidated statements of operations for the three months ended March 31, 2023 and 2022 (in thousands):</w:t>
      </w:r>
      <w:r>
        <w:rPr>
          <w:rFonts w:ascii="Times New Roman" w:hAnsi="Times New Roman"/>
          <w:sz w:val="20"/>
        </w:rPr>
        <w:t xml:space="preserve"> </w:t>
      </w:r>
    </w:p>
    <w:p>
      <w:pPr>
        <w:pStyle w:val="TextBody"/>
        <w:bidi w:val="0"/>
        <w:spacing w:before="0" w:after="0"/>
        <w:jc w:val="left"/>
        <w:rPr/>
      </w:pPr>
      <w:r>
        <w:rPr/>
        <w:t> </w:t>
      </w:r>
    </w:p>
    <w:tbl>
      <w:tblPr>
        <w:tblW w:w="6535" w:type="dxa"/>
        <w:jc w:val="left"/>
        <w:tblInd w:w="0" w:type="dxa"/>
        <w:tblLayout w:type="fixed"/>
        <w:tblCellMar>
          <w:top w:w="28" w:type="dxa"/>
          <w:left w:w="28" w:type="dxa"/>
          <w:bottom w:w="28" w:type="dxa"/>
          <w:right w:w="28" w:type="dxa"/>
        </w:tblCellMar>
      </w:tblPr>
      <w:tblGrid>
        <w:gridCol w:w="3016"/>
        <w:gridCol w:w="146"/>
        <w:gridCol w:w="335"/>
        <w:gridCol w:w="908"/>
        <w:gridCol w:w="264"/>
        <w:gridCol w:w="232"/>
        <w:gridCol w:w="335"/>
        <w:gridCol w:w="908"/>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8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9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2" w:type="dxa"/>
            <w:tcBorders/>
            <w:vAlign w:val="center"/>
          </w:tcPr>
          <w:p>
            <w:pPr>
              <w:pStyle w:val="TableContents"/>
              <w:bidi w:val="0"/>
              <w:spacing w:before="0" w:after="0"/>
              <w:ind w:left="0" w:right="0" w:hanging="0"/>
              <w:jc w:val="center"/>
              <w:rPr/>
            </w:pPr>
            <w:r>
              <w:rPr/>
              <w:t> </w:t>
            </w:r>
          </w:p>
        </w:tc>
        <w:tc>
          <w:tcPr>
            <w:tcW w:w="12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2"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391"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1,938</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0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20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9—Net Loss Per Common Share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represents the calculation of basic and diluted net loss per common share (in thousands, except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924"/>
        <w:gridCol w:w="146"/>
        <w:gridCol w:w="219"/>
        <w:gridCol w:w="1079"/>
        <w:gridCol w:w="172"/>
        <w:gridCol w:w="151"/>
        <w:gridCol w:w="219"/>
        <w:gridCol w:w="1079"/>
        <w:gridCol w:w="216"/>
      </w:tblGrid>
      <w:tr>
        <w:trPr/>
        <w:tc>
          <w:tcPr>
            <w:tcW w:w="6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9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16" w:type="dxa"/>
            <w:tcBorders/>
            <w:vAlign w:val="center"/>
          </w:tcPr>
          <w:p>
            <w:pPr>
              <w:pStyle w:val="TableContents"/>
              <w:bidi w:val="0"/>
              <w:spacing w:before="0" w:after="0"/>
              <w:ind w:left="0" w:right="0" w:hanging="0"/>
              <w:jc w:val="center"/>
              <w:rPr/>
            </w:pPr>
            <w:r>
              <w:rPr/>
              <w:t> </w:t>
            </w:r>
          </w:p>
        </w:tc>
      </w:tr>
      <w:tr>
        <w:trPr/>
        <w:tc>
          <w:tcPr>
            <w:tcW w:w="69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12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(17,622</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(50,317</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of common stock outstanding used to compute net loss per common share, basic and diluted</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63,260,905</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38,174,717</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common stock equivalents outstanding as of March 31, 2023 and 2022 were excluded from the computation of diluted net loss per share attributable to common stockholders for the periods presented because including them would have been anti</w:t>
        <w:noBreakHyphen/>
        <w:t>dilutive:</w:t>
      </w:r>
    </w:p>
    <w:p>
      <w:pPr>
        <w:pStyle w:val="TextBody"/>
        <w:bidi w:val="0"/>
        <w:spacing w:before="0" w:after="0"/>
        <w:jc w:val="left"/>
        <w:rPr/>
      </w:pPr>
      <w:r>
        <w:rPr/>
        <w:t> </w:t>
      </w:r>
    </w:p>
    <w:tbl>
      <w:tblPr>
        <w:tblW w:w="4364" w:type="dxa"/>
        <w:jc w:val="left"/>
        <w:tblInd w:w="0" w:type="dxa"/>
        <w:tblLayout w:type="fixed"/>
        <w:tblCellMar>
          <w:top w:w="28" w:type="dxa"/>
          <w:left w:w="28" w:type="dxa"/>
          <w:bottom w:w="28" w:type="dxa"/>
          <w:right w:w="28" w:type="dxa"/>
        </w:tblCellMar>
      </w:tblPr>
      <w:tblGrid>
        <w:gridCol w:w="1381"/>
        <w:gridCol w:w="146"/>
        <w:gridCol w:w="146"/>
        <w:gridCol w:w="931"/>
        <w:gridCol w:w="146"/>
        <w:gridCol w:w="146"/>
        <w:gridCol w:w="146"/>
        <w:gridCol w:w="931"/>
        <w:gridCol w:w="3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1,886,765</w:t>
            </w:r>
          </w:p>
        </w:tc>
        <w:tc>
          <w:tcPr>
            <w:tcW w:w="391" w:type="dxa"/>
            <w:tcBorders/>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RSAs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277,855</w:t>
            </w:r>
          </w:p>
        </w:tc>
        <w:tc>
          <w:tcPr>
            <w:tcW w:w="391" w:type="dxa"/>
            <w:tcBorders/>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5,429,552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5,437,837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3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6,179,633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7,602,457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10—Income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w:t>
      </w:r>
      <w:r>
        <w:rPr>
          <w:rFonts w:ascii="Times New Roman" w:hAnsi="Times New Roman"/>
          <w:sz w:val="20"/>
        </w:rPr>
        <w:t xml:space="preserve"> </w:t>
      </w:r>
      <w:r>
        <w:rPr>
          <w:rFonts w:ascii="Times New Roman;serif" w:hAnsi="Times New Roman;serif"/>
          <w:b w:val="false"/>
          <w:sz w:val="20"/>
        </w:rPr>
        <w:t>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there were no material changes to either the nature or the amounts of the uncertain tax positions previously determined for the year ended December 31, 2022.</w:t>
      </w:r>
    </w:p>
    <w:p>
      <w:pPr>
        <w:pStyle w:val="TextBody"/>
        <w:bidi w:val="0"/>
        <w:spacing w:before="360" w:after="0"/>
        <w:jc w:val="left"/>
        <w:rPr>
          <w:rFonts w:ascii="Times New Roman" w:hAnsi="Times New Roman"/>
          <w:sz w:val="20"/>
        </w:rPr>
      </w:pPr>
      <w:r>
        <w:rPr>
          <w:rFonts w:ascii="Times New Roman;serif" w:hAnsi="Times New Roman;serif"/>
          <w:b/>
          <w:sz w:val="20"/>
        </w:rPr>
        <w:t>Note 11—Commitments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normal course of business, the Company enters into contracts that contain a variety of indemnifications with its employees, licensors, suppliers and service providers. The Company’s maximum exposure under these arrangements is unknown at March 31, 2023. The Company does not anticipate recognizing any significant losses relating to these arrangements.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12 – Strategic Reprioritization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prioritization of programs, the Company reduced headcount by approximately 35% across all functions in March 2022. In accordance with ASC 420,</w:t>
      </w:r>
      <w:r>
        <w:rPr>
          <w:rFonts w:ascii="Times New Roman" w:hAnsi="Times New Roman"/>
          <w:sz w:val="20"/>
        </w:rPr>
        <w:t xml:space="preserve"> </w:t>
      </w:r>
      <w:r>
        <w:rPr>
          <w:rFonts w:ascii="Times New Roman;serif" w:hAnsi="Times New Roman;serif"/>
          <w:b w:val="false"/>
          <w:i/>
          <w:sz w:val="20"/>
        </w:rPr>
        <w:t>Exit and Disposal Activities,</w:t>
      </w:r>
      <w:r>
        <w:rPr>
          <w:rFonts w:ascii="Times New Roman" w:hAnsi="Times New Roman"/>
          <w:sz w:val="20"/>
        </w:rPr>
        <w:t xml:space="preserve"> </w:t>
      </w:r>
      <w:r>
        <w:rPr>
          <w:rFonts w:ascii="Times New Roman;serif" w:hAnsi="Times New Roman;serif"/>
          <w:b w:val="false"/>
          <w:sz w:val="20"/>
        </w:rPr>
        <w:t>the Company recorded one-time severance and termination-related costs of $2.6</w:t>
      </w:r>
      <w:r>
        <w:rPr>
          <w:rFonts w:ascii="Times New Roman" w:hAnsi="Times New Roman"/>
          <w:sz w:val="20"/>
        </w:rPr>
        <w:t xml:space="preserve"> </w:t>
      </w:r>
      <w:r>
        <w:rPr>
          <w:rFonts w:ascii="Times New Roman;serif" w:hAnsi="Times New Roman;serif"/>
          <w:b w:val="false"/>
          <w:sz w:val="20"/>
        </w:rPr>
        <w:t>million in the condensed consolidated statements of operations for the three months ended March 31, 2022, primarily within research and development expenses. In December 2022 and throughout the first quarter of 2023, the Company further reduced headcount and recorded additional one-time severance and termination related costs of $2.7</w:t>
      </w:r>
      <w:r>
        <w:rPr>
          <w:rFonts w:ascii="Times New Roman" w:hAnsi="Times New Roman"/>
          <w:sz w:val="20"/>
        </w:rPr>
        <w:t xml:space="preserve"> </w:t>
      </w:r>
      <w:r>
        <w:rPr>
          <w:rFonts w:ascii="Times New Roman;serif" w:hAnsi="Times New Roman;serif"/>
          <w:b w:val="false"/>
          <w:sz w:val="20"/>
        </w:rPr>
        <w:t>million within research and development and general and administrative expenses.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expects payment of these costs to be complete by March 31, 2024. The amount of accrued severance recorded as of March 31, 2023 is as follows (amounts in thousands):</w:t>
      </w:r>
    </w:p>
    <w:p>
      <w:pPr>
        <w:pStyle w:val="TextBody"/>
        <w:bidi w:val="0"/>
        <w:spacing w:before="120" w:after="0"/>
        <w:jc w:val="left"/>
        <w:rPr/>
      </w:pPr>
      <w:r>
        <w:rPr/>
        <w:t> </w:t>
      </w:r>
    </w:p>
    <w:tbl>
      <w:tblPr>
        <w:tblW w:w="6613" w:type="dxa"/>
        <w:jc w:val="left"/>
        <w:tblInd w:w="0" w:type="dxa"/>
        <w:tblLayout w:type="fixed"/>
        <w:tblCellMar>
          <w:top w:w="28" w:type="dxa"/>
          <w:left w:w="28" w:type="dxa"/>
          <w:bottom w:w="28" w:type="dxa"/>
          <w:right w:w="28" w:type="dxa"/>
        </w:tblCellMar>
      </w:tblPr>
      <w:tblGrid>
        <w:gridCol w:w="4351"/>
        <w:gridCol w:w="146"/>
        <w:gridCol w:w="477"/>
        <w:gridCol w:w="1428"/>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March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severance balance as of December 31, 2022</w:t>
            </w:r>
          </w:p>
        </w:tc>
        <w:tc>
          <w:tcPr>
            <w:tcW w:w="146" w:type="dxa"/>
            <w:tcBorders/>
            <w:vAlign w:val="center"/>
          </w:tcPr>
          <w:p>
            <w:pPr>
              <w:pStyle w:val="TableContents"/>
              <w:bidi w:val="0"/>
              <w:spacing w:before="0" w:after="0"/>
              <w:ind w:left="0" w:right="0" w:hanging="0"/>
              <w:jc w:val="right"/>
              <w:rPr/>
            </w:pPr>
            <w:r>
              <w:rPr/>
              <w:t> </w:t>
            </w:r>
          </w:p>
        </w:tc>
        <w:tc>
          <w:tcPr>
            <w:tcW w:w="4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1,463</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Severance recorded</w:t>
            </w:r>
          </w:p>
        </w:tc>
        <w:tc>
          <w:tcPr>
            <w:tcW w:w="146" w:type="dxa"/>
            <w:tcBorders/>
            <w:vAlign w:val="center"/>
          </w:tcPr>
          <w:p>
            <w:pPr>
              <w:pStyle w:val="TableContents"/>
              <w:bidi w:val="0"/>
              <w:spacing w:before="0" w:after="0"/>
              <w:ind w:left="0" w:right="0" w:hanging="0"/>
              <w:jc w:val="right"/>
              <w:rPr/>
            </w:pPr>
            <w:r>
              <w:rPr/>
              <w:t> </w:t>
            </w:r>
          </w:p>
        </w:tc>
        <w:tc>
          <w:tcPr>
            <w:tcW w:w="477" w:type="dxa"/>
            <w:tcBorders/>
            <w:vAlign w:val="center"/>
          </w:tcPr>
          <w:p>
            <w:pPr>
              <w:pStyle w:val="TableContents"/>
              <w:bidi w:val="0"/>
              <w:spacing w:before="0" w:after="0"/>
              <w:ind w:left="0" w:right="0" w:hanging="0"/>
              <w:jc w:val="left"/>
              <w:rPr/>
            </w:pPr>
            <w:r>
              <w:rPr/>
              <w:t> </w:t>
            </w:r>
          </w:p>
        </w:tc>
        <w:tc>
          <w:tcPr>
            <w:tcW w:w="14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2,691</w:t>
            </w:r>
          </w:p>
        </w:tc>
        <w:tc>
          <w:tcPr>
            <w:tcW w:w="211" w:type="dxa"/>
            <w:tcBorders/>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Severance paid</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severance balance as of March 31, 2023</w:t>
            </w:r>
          </w:p>
        </w:tc>
        <w:tc>
          <w:tcPr>
            <w:tcW w:w="146" w:type="dxa"/>
            <w:tcBorders/>
            <w:vAlign w:val="center"/>
          </w:tcPr>
          <w:p>
            <w:pPr>
              <w:pStyle w:val="TableContents"/>
              <w:bidi w:val="0"/>
              <w:spacing w:before="0" w:after="0"/>
              <w:ind w:left="0" w:right="0" w:hanging="0"/>
              <w:jc w:val="right"/>
              <w:rPr/>
            </w:pPr>
            <w:r>
              <w:rPr/>
              <w:t> </w:t>
            </w:r>
          </w:p>
        </w:tc>
        <w:tc>
          <w:tcPr>
            <w:tcW w:w="4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13 – Retirement Plan</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to the 401(k) retirement savings plan for the three months ended March 31, 2023 and 2022, respectively.</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Note 14– Subsequent Events</w:t>
      </w:r>
    </w:p>
    <w:p>
      <w:pPr>
        <w:pStyle w:val="TextBody"/>
        <w:bidi w:val="0"/>
        <w:spacing w:before="120" w:after="0"/>
        <w:jc w:val="left"/>
        <w:rPr>
          <w:rFonts w:ascii="Times New Roman" w:hAnsi="Times New Roman"/>
          <w:sz w:val="20"/>
        </w:rPr>
      </w:pPr>
      <w:r>
        <w:rPr>
          <w:rFonts w:ascii="Times New Roman;serif" w:hAnsi="Times New Roman;serif"/>
          <w:b w:val="false"/>
          <w:sz w:val="20"/>
        </w:rPr>
        <w:t>In April 2023, the Company entered into a securities purchase agreement, or the SSI Securities Purchase Agreement, with two affiliates of SSI Strategy Holdings LLC, or SSI, named therein, or the SSI Investors, pursuant to which the Company agreed to issue and sell to the SSI Investors in a private placement, or the SSI Private Placement, 705,218</w:t>
      </w:r>
      <w:r>
        <w:rPr>
          <w:rFonts w:ascii="Times New Roman" w:hAnsi="Times New Roman"/>
          <w:sz w:val="20"/>
        </w:rPr>
        <w:t xml:space="preserve"> </w:t>
      </w:r>
      <w:r>
        <w:rPr>
          <w:rFonts w:ascii="Times New Roman;serif" w:hAnsi="Times New Roman;serif"/>
          <w:b w:val="false"/>
          <w:sz w:val="20"/>
        </w:rPr>
        <w:t>shares of its common stock, or the SSI Shares, and warrants, or the SSI Warrants, to purchase an aggregate of 525,000</w:t>
      </w:r>
      <w:r>
        <w:rPr>
          <w:rFonts w:ascii="Times New Roman" w:hAnsi="Times New Roman"/>
          <w:sz w:val="20"/>
        </w:rPr>
        <w:t xml:space="preserve"> </w:t>
      </w:r>
      <w:r>
        <w:rPr>
          <w:rFonts w:ascii="Times New Roman;serif" w:hAnsi="Times New Roman;serif"/>
          <w:b w:val="false"/>
          <w:sz w:val="20"/>
        </w:rPr>
        <w:t>shares of the Company's common stock, or the Warrant Shares. SSI provides certain consulting services to the Company. Each SSI Warrant has an exercise price of $0.7090</w:t>
      </w:r>
      <w:r>
        <w:rPr>
          <w:rFonts w:ascii="Times New Roman" w:hAnsi="Times New Roman"/>
          <w:sz w:val="20"/>
        </w:rPr>
        <w:t xml:space="preserve"> </w:t>
      </w:r>
      <w:r>
        <w:rPr>
          <w:rFonts w:ascii="Times New Roman;serif" w:hAnsi="Times New Roman;serif"/>
          <w:b w:val="false"/>
          <w:sz w:val="20"/>
        </w:rPr>
        <w:t>per Warrant Share, which was the closing price of the Company's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$500,000. The shares of common stock issued by the Company pursuant to the SSI Securities Purchase Agreement were not initially registered under the Securities Act. The Company relied on the exemption from the registration requirements of the Securities Act under Section 4(a)(2) thereof.</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r>
        <w:rPr>
          <w:rFonts w:ascii="Times New Roman" w:hAnsi="Times New Roman"/>
          <w:caps/>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2022 and the related Management’s Discussion and Analysis of Financial Condition and Results of Operations, included in our Annual Report on Form 10-K for the year ended December 31, 2022, or Annual Report, filed with the Securities and Exchange Commission, or the SEC, on March 28, 2023. Unless the context requires otherwise, references in this Quarterly Report on Form 10-Q to “we,” “us,” and “our” refer to Taysha Gene Therapies, Inc. together with its consolidated subsidiaries.</w:t>
      </w:r>
    </w:p>
    <w:p>
      <w:pPr>
        <w:pStyle w:val="TextBody"/>
        <w:bidi w:val="0"/>
        <w:spacing w:before="360" w:after="0"/>
        <w:jc w:val="left"/>
        <w:rPr>
          <w:rFonts w:ascii="Times New Roman;serif" w:hAnsi="Times New Roman;serif"/>
          <w:b/>
          <w:sz w:val="20"/>
        </w:rPr>
      </w:pPr>
      <w:r>
        <w:rPr>
          <w:rFonts w:ascii="Times New Roman;serif" w:hAnsi="Times New Roman;serif"/>
          <w:b/>
          <w:sz w:val="20"/>
        </w:rPr>
        <w:t>Forward-Looking Statements</w:t>
      </w:r>
    </w:p>
    <w:p>
      <w:pPr>
        <w:pStyle w:val="TextBody"/>
        <w:bidi w:val="0"/>
        <w:spacing w:before="120" w:after="0"/>
        <w:jc w:val="left"/>
        <w:rPr>
          <w:rFonts w:ascii="Times New Roman" w:hAnsi="Times New Roman"/>
          <w:sz w:val="20"/>
        </w:rPr>
      </w:pPr>
      <w:r>
        <w:rPr>
          <w:rFonts w:ascii="Times New Roman;serif" w:hAnsi="Times New Roman;serif"/>
          <w:b w:val="false"/>
          <w:i/>
          <w:sz w:val="20"/>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w:t>
      </w:r>
      <w:r>
        <w:rPr>
          <w:rFonts w:ascii="Times New Roman" w:hAnsi="Times New Roman"/>
          <w:sz w:val="20"/>
        </w:rPr>
        <w:t xml:space="preserve"> </w:t>
      </w:r>
      <w:r>
        <w:rPr>
          <w:rFonts w:ascii="Times New Roman;serif" w:hAnsi="Times New Roman;serif"/>
          <w:b w:val="false"/>
          <w:i/>
          <w:sz w:val="20"/>
        </w:rPr>
        <w:t>Part II, Item 1A, “Risk Factors” in this Quarterly Report on Form 10-Q and Part II, Item 1A, “Risk Factors” in our Annual Report. The forward-looking statements are applicable only as of the date on which they are made, and we do not assume any obligation to update any forward-looking statements.</w:t>
      </w:r>
    </w:p>
    <w:p>
      <w:pPr>
        <w:pStyle w:val="TextBody"/>
        <w:bidi w:val="0"/>
        <w:spacing w:before="360" w:after="0"/>
        <w:jc w:val="left"/>
        <w:rPr>
          <w:rFonts w:ascii="Times New Roman;serif" w:hAnsi="Times New Roman;serif"/>
          <w:b/>
          <w:sz w:val="20"/>
        </w:rPr>
      </w:pPr>
      <w:r>
        <w:rPr>
          <w:rFonts w:ascii="Times New Roman;serif" w:hAnsi="Times New Roman;serif"/>
          <w:b/>
          <w:sz w:val="20"/>
        </w:rPr>
        <w:t>Note Regarding Trademarks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All brand names or trademarks appearing in this report are the property of their respective holders. Unless the context requires otherwise, references in this report to the “Company,” “we,” “us,” and “our” refer to Taysha Gene Therapies, Inc.</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are a patient-centric gene therapy company focused on developing and commercializing AAV-based gene therapies for the treatment of monogenic diseases of the central nervous system, or CNS. We were founded in partnership with The University of Texas Southwestern Medical Center, or UT Southwestern, to develop and commercialize transformative gene therapy treatments. Together with UT Southwestern, we possess a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giant axonal neuropathy, or GAN, and Rett syndrome, and we have subsequently further paused substantially all other research and development activities to increase operational efficiency.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April 2021, we acquired exclusive worldwide rights to TSHA-120, a clinical-stage, intrathecally dosed AAV9 gene therapy program for the treatment of GAN. A Phase 1/2 clinical trial of TSHA-120 is being conducted by the National Institutes of Health, or NIH, under an accepted investigational new drug application, or IND. We reported clinical safety and functional MFM32, a validated 32-item scale for motor function measurement developed for neuromuscular diseases, data from this trial for the highest dose cohort of 3.5x10</w:t>
      </w:r>
      <w:r>
        <w:rPr>
          <w:rFonts w:ascii="Times New Roman;serif" w:hAnsi="Times New Roman;serif"/>
          <w:b w:val="false"/>
          <w:sz w:val="13"/>
        </w:rPr>
        <w:t xml:space="preserve">14 </w:t>
      </w:r>
      <w:r>
        <w:rPr>
          <w:rFonts w:ascii="Times New Roman;serif" w:hAnsi="Times New Roman;serif"/>
          <w:b w:val="false"/>
          <w:sz w:val="20"/>
        </w:rPr>
        <w:t>total vg (by dot blot) and 1.0x10</w:t>
      </w:r>
      <w:r>
        <w:rPr>
          <w:rFonts w:ascii="Times New Roman;serif" w:hAnsi="Times New Roman;serif"/>
          <w:b w:val="false"/>
          <w:sz w:val="13"/>
        </w:rPr>
        <w:t xml:space="preserve">14 </w:t>
      </w:r>
      <w:r>
        <w:rPr>
          <w:rFonts w:ascii="Times New Roman;serif" w:hAnsi="Times New Roman;serif"/>
          <w:b w:val="false"/>
          <w:sz w:val="20"/>
        </w:rPr>
        <w:t>total vg (by ddPCR) in January 2022, where we saw continued clinically meaningful slowing of disease progression similar to that achieved with the lower dose cohorts, which we considered confirmatory of disease modification. We recently completed a commercially representative Good Manufacturing Practices, or GMP, batch of TSHA-120, which demonstrated that the pivotal lots from the commercial grade material were generally analytically comparable to the original clinical trial material. Release testing for this batch was completed in the fourth quarter of 2022. In September 2022, we submitted a meeting request to the U.S. Food and Drug Administration, or the FDA, and were granted a Type B end-of-Phase 2 meeting via teleconference on December 13, 2022.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Biologics License Application, or BLA. The FDA acknowledged that our overall approach to manufacturing of commercial material was appropriate pending review of a planned Chemistry, Manufacturing and Controls, or CMC, data package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TSHA-120. Subsequently, we submitted follow up questions in response to the formal meeting minutes. The FDA clarified MFM32 as a relevant primary endpoint in the setting of a randomized, double-blind, placebo controlled trial and acknowledged Taysha's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 patients will depend on demonstration of product comparability. We have completed the CMC module 3 amendment submission detailing drug comparability data and are awaiting FDA feedback.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evaluating TSHA-102 in the REVEAL Phase 1/2 clinical trial, which is an open-label, dose escalation, randomized, multicenter study that is examining the safety and efficacy of TSHA-102 in adult female patients with Rett syndrome. We expect to dose the first adult patient with Rett syndrome in the first half of 2023 and to report initial available clinical data in the first half of 2023, with planned quarterly updates on available clinical data, primarily on safety, from the adult study thereafter. We anticipate submission of a clinical trial application, or CTA, to the United Kingdom’s Medicines and Healthcare Products Regulatory Agency, or MHRA, for TSHA-102 in pediatric patients with Rett syndrome in mid-2023. We plan to submit an IND application for Rett syndrome to the FDA in the second half of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Both of our lead product candidates are still in the clinical stage. We do not have any product candidates approved for sale and have not generated any revenue from product sales. We have funded our operations primarily through: (i) the sale of equity, raising an aggregate of $438.5 million of gross proceeds from our initial public offering, or the IPO, sales of common stock pursuant to our Sales Agreement (as defined below) and our October 2022 follow-on offering; (ii) pre-IPO private placements of our convertible preferred stock; (iii) our Term Loan Agreement (as defined below); and (iv) the Astellas Transactions.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drew an additional $10.0 million term loan on December 29, 2021. We did not draw any of the additional $20.0 million tranches prior to their expiration on September 30, 2022 and March 31, 2023.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Since our inception, we have incurred significant operating losses. Our net losses were $17.6 million for the three months ended March 31, 2023 and $50.3 million for the three months ended March 31, 2022. As of March 31, 2023, we had an accumulated deficit of $419.1 million. We expect to continue to incur significant expenses and operating losses for the foreseeable future. We anticipate that our expenses will increase significantly in connection with our ongoing activities,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advance the clinical development of our product candidates and, if we determine to do so in the future, reprioritize the advancement of our preclinical and discovery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conduct our ongoing clinical trials of TSHA-102, TSHA-120 and any other future product candidates that we advance;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regulatory approval for any product candidates that successfully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continue to develop our gene therapy product candidate pipeline;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scale up our clinical and regulatory capabilities;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work with CMOs for the manufacture current Good Manufacturing Practice, or cGMP material for clinical trials or potential commercial sales;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adapt our regulatory compliance efforts to incorporate requirements applicable to marketed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hire additional clinical, manufacturing quality control, regulatory, manufacturing and scientific and administrative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incur additional legal, accounting and other expenses in operating as a public company. </w:t>
      </w:r>
    </w:p>
    <w:p>
      <w:pPr>
        <w:pStyle w:val="TextBody"/>
        <w:bidi w:val="0"/>
        <w:spacing w:before="360" w:after="0"/>
        <w:jc w:val="left"/>
        <w:rPr>
          <w:rFonts w:ascii="Times New Roman;serif" w:hAnsi="Times New Roman;serif"/>
          <w:b/>
          <w:sz w:val="20"/>
        </w:rPr>
      </w:pPr>
      <w:r>
        <w:rPr>
          <w:rFonts w:ascii="Times New Roman;serif" w:hAnsi="Times New Roman;serif"/>
          <w:b/>
          <w:sz w:val="20"/>
        </w:rPr>
        <w:t>Our Pipeline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possess a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pStyle w:val="TextBody"/>
        <w:bidi w:val="0"/>
        <w:spacing w:before="0" w:after="0"/>
        <w:jc w:val="left"/>
        <w:rPr/>
      </w:pPr>
      <w:r>
        <w:rPr/>
        <w:t> </w:t>
      </w:r>
    </w:p>
    <w:p>
      <w:pPr>
        <w:pStyle w:val="TextBody"/>
        <w:bidi w:val="0"/>
        <w:spacing w:before="0" w:after="0"/>
        <w:jc w:val="center"/>
        <w:rPr/>
      </w:pPr>
      <w:r>
        <w:rPr/>
        <w:drawing>
          <wp:inline distT="0" distB="0" distL="0" distR="0">
            <wp:extent cx="68580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51447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TSHA-120 for Giant Axonal Neuropathy (GAN)</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2021, we acquired the exclusive worldwide rights to a clinical-stage, intrathecally dosed AAV9 gene therapy program, now known as TSHA-120, for the treatment of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GAN is an ultra-rare autosomal recessive, progressive neurodegenerative disease of the central, peripheral and autonomic nervous systems caused by deficiency or complete loss-of-function of gigaxonin and the accumulation of intermediate filaments. Epidemiology studies indicate there are between 1,000 and 1,500 treatable GAN patients in the United States, European Union and United Kingdom.</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is an early (classical) and late-onset (non-classical) phenotype associated with the disease, with shared pathophysiology due to accumulation of intermediate filaments. Symptoms and features of children with classical GAN usually develop before the age of five years with distal muscle weakness and sensory loss due to axonal sensory motor neuropathy, manifesting as bilateral foot drop and difficulties with fine motor coordination. An abnormal, wide based, unsteady gait due to central nervous system and cerebellar involvement is also a common initial clinical manifestation. Children with the classical phenotype typically have dull, tightly curled, coarse hair (“kinky” hair), “giant” axons pathognomonic on a nerve biopsy due to accumulation of intermediate filaments, and progressive spinal cord atrophy and white matter abnormalities, initially around the cerebellar dentate nucleus, on MRI images. Symptoms progress and, as the children grow older, they develop progressive proximal muscle weakness, resulting in difficulties raising their arms and standing from the floor or a chair, scoliosis, distal contractures, progressive gait and limb ataxia, leading to loss of ambulation by the second decade. Progressive optic nerve atrophy, seen early in the disease, results in increasing deterioration of visual acuity in later stages and has been more recently described. Indeed, decreased visual acuity was seen at baseline in approximately half of GAN patients aged 3-21 years, enrolled in a natural history study [Brain. 2021 Nov 29;144(10):3239-3250]. Due to increased respiratory muscle weakness and restrictive respiratory failure as a result of severe scoliosis, assisted ventilation is required in adolescents. GAN patients often die during their late teens or early twenties, typically due to respiratory failure.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late-onset, or non-classical, phenotype is often categorized as Charcot-Marie-Tooth Type 2, or CMT2, as it presents as a typical early onset axonal sensory motor neuropathy without the typical kinky hair and CNS involvement of the classical phenotype and has a relatively slow progression. This phenotype might represent up to 6% of all CMT2 diagnosis. In the late-onset population, patients have poor quality of life and significantly compromised activities of daily living. The disease is life limiting but not as severely as classic GAN. In classic GAN, symptomatic treatments attempt to maximize physical development and minimize the rate of deterioration. Currently, there are no approved disease-modifying therapies available, only palliative treatments.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TSHA-120 is an AAV9 self-complementary viral vector with an engineered transgene encoding the full length human gigaxonin protein. The construct was invented by Dr. Steven Gray and is the first AAV9 gene therapy candidate to deliver a codon optimized, functional copy of the GAN gene with optimal tropism and rapid expression under the control of a JeT promoter that drives ubiquitous expression.</w:t>
      </w:r>
    </w:p>
    <w:p>
      <w:pPr>
        <w:pStyle w:val="TextBody"/>
        <w:bidi w:val="0"/>
        <w:spacing w:before="0" w:after="0"/>
        <w:jc w:val="left"/>
        <w:rPr/>
      </w:pPr>
      <w:r>
        <w:rPr/>
        <w:t> </w:t>
      </w:r>
    </w:p>
    <w:p>
      <w:pPr>
        <w:pStyle w:val="TextBody"/>
        <w:bidi w:val="0"/>
        <w:spacing w:before="120" w:after="0"/>
        <w:jc w:val="center"/>
        <w:rPr/>
      </w:pPr>
      <w:r>
        <w:rPr/>
        <w:drawing>
          <wp:inline distT="0" distB="0" distL="0" distR="0">
            <wp:extent cx="6029325" cy="194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29325" cy="1943100"/>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We have received orphan drug designation and rare pediatric disease designation from the FDA for TSHA-120 for the treatment of GAN. In April 2022, we received orphan drug designation from the European Commission for TSHA-120 for the treatment of GAN.</w:t>
      </w:r>
    </w:p>
    <w:p>
      <w:pPr>
        <w:pStyle w:val="TextBody"/>
        <w:bidi w:val="0"/>
        <w:spacing w:before="240" w:after="0"/>
        <w:jc w:val="left"/>
        <w:rPr>
          <w:rFonts w:ascii="Times New Roman" w:hAnsi="Times New Roman"/>
          <w:sz w:val="20"/>
        </w:rPr>
      </w:pPr>
      <w:r>
        <w:rPr>
          <w:rFonts w:ascii="Times New Roman;serif" w:hAnsi="Times New Roman;serif"/>
          <w:b w:val="false"/>
          <w:sz w:val="20"/>
        </w:rPr>
        <w:t>There is an ongoing longitudinal prospective natural history study being led by the NIH, that has already identified and followed a number of patients with GAN for over five years with disease progression characterized by a number of clinical assessments. This is a basket natural history study, where GAN was one of the rare diseases to be included. The baseline characteristics of the first 45 GAN patients, aged 3 to 21 years have been published.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Nocturnal hypoventilation and sleep apnea progressed over time, with sleep apnea worsening as ambulatory function deteriorated.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Total MFM32 score also correlated with ambulatory status, where independently ambulant individuals performed better and had higher MFM32 scores than the non-ambulant group, as shown in the graph below.</w:t>
      </w:r>
    </w:p>
    <w:p>
      <w:pPr>
        <w:pStyle w:val="TextBody"/>
        <w:bidi w:val="0"/>
        <w:spacing w:before="120" w:after="360"/>
        <w:jc w:val="center"/>
        <w:rPr/>
      </w:pPr>
      <w:r>
        <w:rPr/>
        <w:drawing>
          <wp:inline distT="0" distB="0" distL="0" distR="0">
            <wp:extent cx="3419475" cy="401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19475" cy="4010025"/>
                    </a:xfrm>
                    <a:prstGeom prst="rect">
                      <a:avLst/>
                    </a:prstGeom>
                  </pic:spPr>
                </pic:pic>
              </a:graphicData>
            </a:graphic>
          </wp:inline>
        </w:drawing>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Other composite scores evaluating neuropathy severity, Neuropathy Impairment Score, or NIS, and ataxia, Friedreich’s Ataxia Rating Scale, or FARS, showed a highly significant correlation with age in the classic GAN patients, as well as MFM32, with all three composite scores tracking well with ambulatory status. These three clinically relevant composite scores are therefore relevant markers of function for the classic GAN phenotype.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preliminary data and analysis from longitudinal follow up, ten patients have had at least a second timepoint at different time intervals. The rate of decline in the MFM32 scores demonstrated some consistency across patients of all ages, with most demonstrating a calculated annualized average 8-point decline regardless of age and/or baseline MFM32 score, as shown in the natural history plot below.</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120" w:after="0"/>
        <w:jc w:val="center"/>
        <w:rPr/>
      </w:pPr>
      <w:r>
        <w:rPr/>
        <w:drawing>
          <wp:inline distT="0" distB="0" distL="0" distR="0">
            <wp:extent cx="3381375" cy="2743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81375" cy="2743200"/>
                    </a:xfrm>
                    <a:prstGeom prst="rect">
                      <a:avLst/>
                    </a:prstGeom>
                  </pic:spPr>
                </pic:pic>
              </a:graphicData>
            </a:graphic>
          </wp:inline>
        </w:drawing>
      </w:r>
      <w:r>
        <w:rPr/>
        <w:t>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A 4-point score change in the MFM32 is considered clinically meaningful in other pediatric neuromuscular disorders, such as Spinal Muscular Atrophy, suggesting that patients with GAN lose significant function annually. To date, we have up to eight years of robust data from this study.</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Preclinical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TSHA-120 performed well across in vitro and in vivo studies, and demonstrated improved motor function and nerve pathology, and long-term safety across several animal models. Of note, improved dorsal root ganglia, or DRG, pathology was demonstrated in TSHA-120-treated GAN knockout, or KO, mice. These preclinical results have been published in a number of peer-reviewed journals.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Additional preclinical data from a GAN KO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pStyle w:val="TextBody"/>
        <w:bidi w:val="0"/>
        <w:spacing w:before="0" w:after="0"/>
        <w:jc w:val="left"/>
        <w:rPr/>
      </w:pPr>
      <w:r>
        <w:rPr/>
        <w:t> </w:t>
      </w:r>
    </w:p>
    <w:p>
      <w:pPr>
        <w:pStyle w:val="TextBody"/>
        <w:bidi w:val="0"/>
        <w:spacing w:before="120" w:after="0"/>
        <w:jc w:val="center"/>
        <w:rPr/>
      </w:pPr>
      <w:r>
        <w:rPr/>
        <w:drawing>
          <wp:inline distT="0" distB="0" distL="0" distR="0">
            <wp:extent cx="4810125" cy="3009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10125" cy="3009900"/>
                    </a:xfrm>
                    <a:prstGeom prst="rect">
                      <a:avLst/>
                    </a:prstGeom>
                  </pic:spPr>
                </pic:pic>
              </a:graphicData>
            </a:graphic>
          </wp:inline>
        </w:drawing>
      </w: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Source: Unpublished rotarod performance data of a rat model of GAN (homozygous A49E variant) from Dr Steven Gray</w:t>
      </w:r>
    </w:p>
    <w:p>
      <w:pPr>
        <w:pStyle w:val="TextBody"/>
        <w:bidi w:val="0"/>
        <w:spacing w:before="12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KO mice. Shown below is tissue from a GAN KO mouse model with numerous abnormal neuronal inclusions containing aggregates of damaged neurofilament in the DRG as indicated by the yellow arrows. On image C, tissue from the GAN KO mice treated with an intrathecal, or IT, injection of TSHA-120 had a notable improvement in the reduction of these neuronal inclusions in the DRG.</w:t>
      </w:r>
    </w:p>
    <w:p>
      <w:pPr>
        <w:pStyle w:val="TextBody"/>
        <w:bidi w:val="0"/>
        <w:spacing w:before="0" w:after="0"/>
        <w:jc w:val="left"/>
        <w:rPr/>
      </w:pPr>
      <w:r>
        <w:rPr/>
        <w:t> </w:t>
      </w:r>
    </w:p>
    <w:p>
      <w:pPr>
        <w:pStyle w:val="TextBody"/>
        <w:bidi w:val="0"/>
        <w:spacing w:before="120" w:after="0"/>
        <w:jc w:val="center"/>
        <w:rPr/>
      </w:pPr>
      <w:r>
        <w:rPr/>
        <w:drawing>
          <wp:inline distT="0" distB="0" distL="0" distR="0">
            <wp:extent cx="6305550" cy="238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05550" cy="2381250"/>
                    </a:xfrm>
                    <a:prstGeom prst="rect">
                      <a:avLst/>
                    </a:prstGeom>
                  </pic:spPr>
                </pic:pic>
              </a:graphicData>
            </a:graphic>
          </wp:inline>
        </w:drawing>
      </w: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Source: Variant of Fig 6 A-C from Bailey RM, Armao D, Kalburgi SN, Gray SJ (2018) </w:t>
      </w:r>
      <w:r>
        <w:rPr>
          <w:rFonts w:ascii="Times New Roman;serif" w:hAnsi="Times New Roman;serif"/>
          <w:b/>
          <w:sz w:val="16"/>
        </w:rPr>
        <w:t xml:space="preserve">Development of Intrathecal Aav9 Gene Therapy for Giant Axonal Neuropathy. </w:t>
      </w:r>
      <w:r>
        <w:rPr>
          <w:rFonts w:ascii="Times New Roman;serif" w:hAnsi="Times New Roman;serif"/>
          <w:b w:val="false"/>
          <w:sz w:val="16"/>
        </w:rPr>
        <w:t>Molecular Therapy-Methods &amp; Clinical Development 9160-171.</w:t>
      </w:r>
    </w:p>
    <w:p>
      <w:pPr>
        <w:pStyle w:val="TextBody"/>
        <w:bidi w:val="0"/>
        <w:spacing w:before="16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When a quantitative approach to reduce inclusions in the DRG was applied, it was observed that TSHA-120 treated mice experienced a statistically significant reduction in the average number of neuronal inclusions versus the GAN KO mice that received vehicle as illustrated below.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pPr>
      <w:r>
        <w:rPr/>
        <w:drawing>
          <wp:inline distT="0" distB="0" distL="0" distR="0">
            <wp:extent cx="3467100" cy="3486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467100" cy="3486150"/>
                    </a:xfrm>
                    <a:prstGeom prst="rect">
                      <a:avLst/>
                    </a:prstGeom>
                  </pic:spPr>
                </pic:pic>
              </a:graphicData>
            </a:graphic>
          </wp:inline>
        </w:drawing>
      </w:r>
      <w:r>
        <w:rPr/>
        <w:t> </w:t>
      </w:r>
    </w:p>
    <w:p>
      <w:pPr>
        <w:pStyle w:val="TextBody"/>
        <w:bidi w:val="0"/>
        <w:spacing w:before="120" w:after="0"/>
        <w:jc w:val="left"/>
        <w:rPr>
          <w:rFonts w:ascii="Times New Roman;serif" w:hAnsi="Times New Roman;serif"/>
          <w:b w:val="false"/>
          <w:sz w:val="16"/>
        </w:rPr>
      </w:pPr>
      <w:r>
        <w:rPr>
          <w:rFonts w:ascii="Times New Roman;serif" w:hAnsi="Times New Roman;serif"/>
          <w:b w:val="false"/>
          <w:sz w:val="16"/>
        </w:rPr>
        <w:t>Source: Variant of Fig 6 D from Bailey RM, Armao D, Kalburgi SN, Gray SJ (2018) Development of Intrathecal Aav9 Gene Therapy for Giant Axonal Neuropathy. Molecular Therapy-Methods &amp; Clinical Development 9160-171.</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TSHA-120 demonstrated improved pathology of the sciatic nerve in the GAN KO mice as shown below.</w:t>
      </w:r>
    </w:p>
    <w:p>
      <w:pPr>
        <w:pStyle w:val="TextBody"/>
        <w:bidi w:val="0"/>
        <w:spacing w:before="0" w:after="0"/>
        <w:jc w:val="left"/>
        <w:rPr/>
      </w:pPr>
      <w:r>
        <w:rPr/>
        <w:t> </w:t>
      </w:r>
    </w:p>
    <w:p>
      <w:pPr>
        <w:pStyle w:val="TextBody"/>
        <w:bidi w:val="0"/>
        <w:spacing w:before="120" w:after="0"/>
        <w:jc w:val="center"/>
        <w:rPr/>
      </w:pPr>
      <w:r>
        <w:rPr/>
        <w:drawing>
          <wp:inline distT="0" distB="0" distL="0" distR="0">
            <wp:extent cx="6858000" cy="3448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448050"/>
                    </a:xfrm>
                    <a:prstGeom prst="rect">
                      <a:avLst/>
                    </a:prstGeom>
                  </pic:spPr>
                </pic:pic>
              </a:graphicData>
            </a:graphic>
          </wp:inline>
        </w:drawing>
      </w: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Source: variant of Fig 7 A and B from Bailey RM, Armao D, Kalburgi SN, Gray SJ (2018) </w:t>
      </w:r>
      <w:r>
        <w:rPr>
          <w:rFonts w:ascii="Times New Roman;serif" w:hAnsi="Times New Roman;serif"/>
          <w:b/>
          <w:sz w:val="16"/>
        </w:rPr>
        <w:t>Development of Intrathecal Aav9 Gene Therapy for Giant Axonal Neuropathy</w:t>
      </w:r>
      <w:r>
        <w:rPr>
          <w:rFonts w:ascii="Times New Roman;serif" w:hAnsi="Times New Roman;serif"/>
          <w:b w:val="false"/>
          <w:sz w:val="16"/>
        </w:rPr>
        <w:t>. Molecular Therapy-Methods &amp; Clinical Development 9160-171.</w:t>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Results of Ongoing Phase 1/2 Clinical Trial</w:t>
      </w:r>
    </w:p>
    <w:p>
      <w:pPr>
        <w:pStyle w:val="TextBody"/>
        <w:bidi w:val="0"/>
        <w:spacing w:before="120" w:after="0"/>
        <w:jc w:val="left"/>
        <w:rPr>
          <w:rFonts w:ascii="Times New Roman" w:hAnsi="Times New Roman"/>
          <w:sz w:val="20"/>
        </w:rPr>
      </w:pPr>
      <w:r>
        <w:rPr>
          <w:rFonts w:ascii="Times New Roman;serif" w:hAnsi="Times New Roman;serif"/>
          <w:b w:val="false"/>
          <w:sz w:val="20"/>
        </w:rPr>
        <w:t>A Phase 1/2 clinical trial of TSHA-120 is being conducted by the NIH under an accepted IND. The ongoing trial is a single-site, open-label, non-randomized, dose-escalation trial, in which patients are intrathecally dosed with one of four dose levels of TSHA-120 – 3.5x10</w:t>
      </w:r>
      <w:r>
        <w:rPr>
          <w:rFonts w:ascii="Times New Roman;serif" w:hAnsi="Times New Roman;serif"/>
          <w:b w:val="false"/>
          <w:sz w:val="13"/>
        </w:rPr>
        <w:t>13</w:t>
      </w:r>
      <w:r>
        <w:rPr>
          <w:rFonts w:ascii="Times New Roman" w:hAnsi="Times New Roman"/>
          <w:sz w:val="20"/>
        </w:rPr>
        <w:t xml:space="preserve"> </w:t>
      </w:r>
      <w:r>
        <w:rPr>
          <w:rFonts w:ascii="Times New Roman;serif" w:hAnsi="Times New Roman;serif"/>
          <w:b w:val="false"/>
          <w:sz w:val="20"/>
        </w:rPr>
        <w:t>total vg, 1.2x10</w:t>
      </w:r>
      <w:r>
        <w:rPr>
          <w:rFonts w:ascii="Times New Roman;serif" w:hAnsi="Times New Roman;serif"/>
          <w:b w:val="false"/>
          <w:sz w:val="13"/>
        </w:rPr>
        <w:t xml:space="preserve">14 </w:t>
      </w:r>
      <w:r>
        <w:rPr>
          <w:rFonts w:ascii="Times New Roman;serif" w:hAnsi="Times New Roman;serif"/>
          <w:b w:val="false"/>
          <w:sz w:val="20"/>
        </w:rPr>
        <w:t>total vg, 1.8x10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or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(by dot blot). The primary endpoint is to assess safety, with secondary endpoints measuring efficacy using pathologic, physiologic, functional, and clinical markers. To date, 14 patients have been intrathecally dosed and 12 patients have up to three years’ worth of long-term follow up data. The pre-treatment period interval between visits in these patients ranged from 3.7 to 31.5 months, with patients having at least two visits before being treated. A calculated yearly natural history decline was based on this data and served as a comparison for all post-treatment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At 1-year post-gene transfer, a clinically meaningful and statistically significant slowing or halting of disease progression was seen with TSHA-120 at the highest dose of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(n=3). The change in the rate of decline in the MFM32 score improved by 5 points in the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cohort compared to an 8-point decline in natural history.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primary Bayesian efficacy analysis for MFM32 was conducted in the per protocol population, by dose group, at Year 1 post-dosing interval. Hierarchical models for repeated measures were used to estimate posterior distributions for change in slope of the total MFM32 percent score compared to pre-treatment decline in trial participants. Frequentist analysis of change from baseline in total MFM32 percent score was also performed, by dose group, using linear mixed models.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change in the rate of decline in the MFM32 score of all therapeutic doses combined (n=12) showed the change in the rate of decline in the MFM32 score slowed by 5.20% points (p=0.0022), compared with the annualized pre-gene transfer rate of decline of 7.73% points.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center"/>
        <w:rPr/>
      </w:pPr>
      <w:r>
        <w:rPr/>
        <w:drawing>
          <wp:inline distT="0" distB="0" distL="0" distR="0">
            <wp:extent cx="6858000" cy="2790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2790825"/>
                    </a:xfrm>
                    <a:prstGeom prst="rect">
                      <a:avLst/>
                    </a:prstGeom>
                  </pic:spPr>
                </pic:pic>
              </a:graphicData>
            </a:graphic>
          </wp:inline>
        </w:drawing>
      </w: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Source: Preliminary analysis with a data cut as of July 2022</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t>A Bayesian analysis was conducted on the 1.2x10</w:t>
      </w:r>
      <w:r>
        <w:rPr>
          <w:rFonts w:ascii="Times New Roman;serif" w:hAnsi="Times New Roman;serif"/>
          <w:b w:val="false"/>
          <w:sz w:val="13"/>
        </w:rPr>
        <w:t xml:space="preserve">14 </w:t>
      </w:r>
      <w:r>
        <w:rPr>
          <w:rFonts w:ascii="Times New Roman;serif" w:hAnsi="Times New Roman;serif"/>
          <w:b w:val="false"/>
          <w:sz w:val="20"/>
        </w:rPr>
        <w:t>total vg, 1.8x10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and 3.5x10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79.4% probability of clinically meaningful slowing of 50% or more following treatment with TSHA-120 compared to natural history data.</w:t>
      </w:r>
    </w:p>
    <w:p>
      <w:pPr>
        <w:pStyle w:val="TextBody"/>
        <w:bidi w:val="0"/>
        <w:spacing w:before="0" w:after="0"/>
        <w:jc w:val="left"/>
        <w:rPr/>
      </w:pPr>
      <w:r>
        <w:rPr/>
        <w:t> </w:t>
      </w:r>
    </w:p>
    <w:p>
      <w:pPr>
        <w:pStyle w:val="TextBody"/>
        <w:bidi w:val="0"/>
        <w:spacing w:before="120" w:after="0"/>
        <w:jc w:val="center"/>
        <w:rPr/>
      </w:pPr>
      <w:r>
        <w:rPr/>
        <w:drawing>
          <wp:inline distT="0" distB="0" distL="0" distR="0">
            <wp:extent cx="5943600" cy="1562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1562100"/>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Source: Variant of Table 12 from Appendix 3 of the Type B End-of-Phase 2 Meeting package submitted to the FDA in Oct-2022 and held Dec2022.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There remained consistent improvement in TSHA-120’s effect over time on the mean change from baseline in the MFM32 score for patients in the therapeutic dose cohorts compared to their estimated decline over the years in the pre-treatment period.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Analysis of long-term MFM total (%) scores showed slowing of disease progression by 2.49% (p=0.0065) points on the MFM% total score, as seen in the chart below.</w:t>
      </w:r>
    </w:p>
    <w:p>
      <w:pPr>
        <w:pStyle w:val="TextBody"/>
        <w:bidi w:val="0"/>
        <w:spacing w:before="240" w:after="0"/>
        <w:jc w:val="left"/>
        <w:rPr/>
      </w:pPr>
      <w:r>
        <w:rPr/>
        <w:drawing>
          <wp:inline distT="0" distB="0" distL="0" distR="0">
            <wp:extent cx="6858000" cy="2686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2686050"/>
                    </a:xfrm>
                    <a:prstGeom prst="rect">
                      <a:avLst/>
                    </a:prstGeom>
                  </pic:spPr>
                </pic:pic>
              </a:graphicData>
            </a:graphic>
          </wp:inline>
        </w:drawing>
      </w:r>
      <w:r>
        <w:rPr/>
        <w:t> </w:t>
      </w:r>
    </w:p>
    <w:p>
      <w:pPr>
        <w:pStyle w:val="TextBody"/>
        <w:bidi w:val="0"/>
        <w:spacing w:before="120" w:after="360"/>
        <w:jc w:val="left"/>
        <w:rPr>
          <w:rFonts w:ascii="Times New Roman;serif" w:hAnsi="Times New Roman;serif"/>
          <w:b w:val="false"/>
          <w:sz w:val="16"/>
        </w:rPr>
      </w:pPr>
      <w:r>
        <w:rPr>
          <w:rFonts w:ascii="Times New Roman;serif" w:hAnsi="Times New Roman;serif"/>
          <w:b w:val="false"/>
          <w:sz w:val="16"/>
        </w:rPr>
        <w:t>Source: Preliminary analysis with a data cut as of July 2022</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Additional Endpoints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Many additional endpoints have been collected in this clinical trial pre-and post-treatment and long-term follow up data is being collected. Most data transfer from NIH have been recently completed and we have been performing quality control and additional analyses on the data. Other endpoints are being analyzed, including objective measures such as nerve fiber density in skin biopsies, brain and spine MRI white matter and volumetric measures, sensory and motor nerve conduction studies, electro impedance myography, and nerve biopsies; as well as clinically relevant effort-dependent measures such as FARS (ataxia scale), NIS (neuropathy scale). We will submit a request for a formal meeting with the FDA in the second quarter of 2023 and anticipate a meeting in the third quarter of 2023 to inform us on the next steps in the regulatory pathway on GAN.</w:t>
      </w:r>
    </w:p>
    <w:p>
      <w:pPr>
        <w:pStyle w:val="TextBody"/>
        <w:bidi w:val="0"/>
        <w:spacing w:before="240" w:after="0"/>
        <w:jc w:val="left"/>
        <w:rPr>
          <w:rFonts w:ascii="Times New Roman" w:hAnsi="Times New Roman"/>
          <w:sz w:val="20"/>
        </w:rPr>
      </w:pPr>
      <w:r>
        <w:rPr>
          <w:rFonts w:ascii="Times New Roman;serif" w:hAnsi="Times New Roman;serif"/>
          <w:b w:val="false"/>
          <w:i/>
          <w:sz w:val="20"/>
        </w:rPr>
        <w:t>Safety and Tolerability</w:t>
      </w: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br/>
      </w:r>
      <w:r>
        <w:rPr>
          <w:rFonts w:ascii="Times New Roman" w:hAnsi="Times New Roman"/>
          <w:sz w:val="20"/>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center"/>
        <w:rPr/>
      </w:pPr>
      <w:r>
        <w:rPr/>
        <w:drawing>
          <wp:inline distT="0" distB="0" distL="0" distR="0">
            <wp:extent cx="4048125" cy="2743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48125" cy="2743200"/>
                    </a:xfrm>
                    <a:prstGeom prst="rect">
                      <a:avLst/>
                    </a:prstGeom>
                  </pic:spPr>
                </pic:pic>
              </a:graphicData>
            </a:graphic>
          </wp:inline>
        </w:drawing>
      </w: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Source: NIH</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currently have up to six years of longitudinal data in individual patients with GAN from our ongoing clinical study. Treatment with TSHA-120 was well-tolerated with no significant safety issues. There was no increase in incidence of adverse events with increased dose, no dose-limiting toxicity, no signs of acute or subacute inflammation, no sudden sensory changes and no drug-related or persistent elevation of transaminases. Adverse events related to immunosuppression or study procedures were similar to what was seen with other gene therapies and transient in nature.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order to deliver a robust CMC data package to support licensure discussions, we have successfully completed six development and GMP lots of TSHA-120 with our contract development and manufacturing organization, or CDMO, partner. We have also completed a comprehensive side-by-side biochemical and biophysical analysis of current and previous clinical lots. Our CDMO utilizes the same Pro10TM manufacturing platform used to produce the original GAN lots, which is intended to reduce comparability risk. Five development lots ranging from 2L to 250L scale and one full-scale 500L GMP lot were analyzed side-by-side with the current TSHA-120 clinical lot using a comprehensive analytical panel that is expected to meet current regulatory requirements including assays for critical attributes such as product and process residuals, empty/full ratio, genetic integrity, potency and strength.</w:t>
      </w:r>
    </w:p>
    <w:p>
      <w:pPr>
        <w:pStyle w:val="TextBody"/>
        <w:bidi w:val="0"/>
        <w:spacing w:before="240" w:after="0"/>
        <w:jc w:val="left"/>
        <w:rPr>
          <w:rFonts w:ascii="Times New Roman" w:hAnsi="Times New Roman"/>
          <w:sz w:val="20"/>
        </w:rPr>
      </w:pPr>
      <w:r>
        <w:rPr>
          <w:rFonts w:ascii="Times New Roman;serif" w:hAnsi="Times New Roman;serif"/>
          <w:b w:val="false"/>
          <w:sz w:val="20"/>
        </w:rPr>
        <w:t>The TSHA-120 pivotal lot, which yielded over 50 patient doses of TSHA-120 at the highest dose cohort of 1.0x1014 vg by ddPCR, was released in November 2022. This material positions us for future BLA-enabling activities and commercial production. These lots were also placed on stability to provide critical shelf-life data in support of our BLA filing.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September 2021, we submitted a request for a Scientific Advice meeting for TSHA-120 to the MHRA and were granted a meeting in January 2022. The MHRA agreed on our commercial manufacturing and release assay testing strategy including potency assays. Finally, the MHRA was supportive of our proposal to perform validation work on MFM32 for GAN as a key clinical endpoint and for us to explore the MFM32 items with patients and families as part of this process. In September 2022, we submitted a meeting request to the FDA and were granted a Type B end-of-Phase 2 meeting via teleconference on December 13, 2022.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BLA. The FDA acknowledged our overall approach to manufacturing of commercial material was deemed appropriate pending review of a planned CMC data package for TSHA-120. Subsequently, we submitted follow-up questions in response to the formal meeting minutes. The FDA clarified MFM32 as a relevant primary endpoint in the setting of a controlled trial and acknowledged our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patients will depend on demonstration of product comparability. We have completed the CMC module 3 amendment submission detailing drug comparability data and are awaiting FDA feedback.</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TSHA-102 for Rett Syndrome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TSHA-102 is a self-complementary intrathecally delivered AAV9 gene transfer therapy product candidate in clinical evaluation for Rett syndrome, a neurodevelopmental disorder and one of the most common genetic causes of severe intellectual disability, characterized by rapid developmental regression and in many cases caused by heterozygous loss of function mutations in MECP2, a gene essential for neuronal and synaptic function in the brain. TSHA-102 has been designed to prevent gene overexpression-related toxicity by inserting microRNA, or miRNA target binding sites into the 3’ untranslated region of viral genomes. This overexpression of MECP2 is seen clinically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which enables cellular regulation of both endogenous and exogenous MECP2 expression.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In May 2021, preclinical data for TSHA-102 were published online in </w:t>
      </w:r>
      <w:r>
        <w:rPr>
          <w:rFonts w:ascii="Times New Roman;serif" w:hAnsi="Times New Roman;serif"/>
          <w:b w:val="false"/>
          <w:i/>
          <w:sz w:val="20"/>
        </w:rPr>
        <w:t>Brain</w:t>
      </w:r>
      <w:r>
        <w:rPr>
          <w:rFonts w:ascii="Times New Roman;serif" w:hAnsi="Times New Roman;serif"/>
          <w:b w:val="false"/>
          <w:sz w:val="20"/>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 in adolescent mice between four and five weeks of age. TSHA-102 was compared to unregulated full length MECP2 (AAV9/MECP2) and unregulated miniMECP2 (AAV9/miniMECP2).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TSHA-102 extended survival of KO (MECP2 -/y) mice by 56% via IT delivery. In contrast, the unregulated miniMECP2 gene transfer failed to significantly extend KO survival at all doses tested. Additionally, the unregulated full-length MECP2 construct did not demonstrate a significant extension in survival and was associated with an unacceptable toxicity profile in wild type mice.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pStyle w:val="TextBody"/>
        <w:bidi w:val="0"/>
        <w:spacing w:before="240" w:after="0"/>
        <w:jc w:val="left"/>
        <w:rPr>
          <w:rFonts w:ascii="Times New Roman" w:hAnsi="Times New Roman"/>
          <w:sz w:val="20"/>
        </w:rPr>
      </w:pPr>
      <w:r>
        <w:rPr>
          <w:rFonts w:ascii="Times New Roman;serif" w:hAnsi="Times New Roman;serif"/>
          <w:b w:val="false"/>
          <w:sz w:val="20"/>
        </w:rPr>
        <w:t>miRARE-mediated genotype-dependent gene regulation was demonstrated by analyzing tissue sections from wild type and KO mice treated with AAV9 vectors given intrathecally. When KO mice were injected with a vector expressing the mini-MECP2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transgene with and without the miRARE element, miRARE reduced overall miniMECP2 transgene expression compared to unregulated miniMECP2 in wild type mice as shown below.</w:t>
      </w:r>
    </w:p>
    <w:p>
      <w:pPr>
        <w:pStyle w:val="TextBody"/>
        <w:bidi w:val="0"/>
        <w:spacing w:before="240" w:after="0"/>
        <w:jc w:val="left"/>
        <w:rPr>
          <w:rFonts w:ascii="Times New Roman" w:hAnsi="Times New Roman"/>
          <w:sz w:val="20"/>
        </w:rPr>
      </w:pPr>
      <w:r>
        <w:rPr>
          <w:rFonts w:ascii="Times New Roman;serif" w:hAnsi="Times New Roman;serif"/>
          <w:b w:val="false"/>
          <w:sz w:val="20"/>
        </w:rPr>
        <w:t>The graph on the left depicts KO mice treated with regulated and unregulated vectors showed equivalent vector DNA biodistribution, confirming matched titers and injection accuracy (n = 3-8 mice per bar).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graph on the right depicts miRARE significantly decreased transgene expression versus that conferred by the unregulated vector construct (n = 6-8 mice per bar; P &lt; 0.05 for brain, cervical cord, or CC, thoracic cord, or TC, and lumbar cord, or LC).</w:t>
      </w:r>
      <w:r>
        <w:rPr>
          <w:rFonts w:ascii="Times New Roman" w:hAnsi="Times New Roman"/>
          <w:sz w:val="20"/>
        </w:rPr>
        <w:t xml:space="preserve"> </w:t>
      </w:r>
      <w:r>
        <w:rPr>
          <w:rFonts w:ascii="Times New Roman" w:hAnsi="Times New Roman"/>
          <w:sz w:val="20"/>
        </w:rPr>
        <w:drawing>
          <wp:inline distT="0" distB="0" distL="0" distR="0">
            <wp:extent cx="6858000" cy="3857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7625"/>
                    </a:xfrm>
                    <a:prstGeom prst="rect">
                      <a:avLst/>
                    </a:prstGeom>
                  </pic:spPr>
                </pic:pic>
              </a:graphicData>
            </a:graphic>
          </wp:inline>
        </w:drawing>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Source: Variant of Supplemental Fig 6B and C from Sinnett et al 2021</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KO mice (p&lt;0.05), thereby demonstrating that TSHA-102 achieved MECP2 expression levels similar to normal physiological parameters.</w:t>
      </w:r>
    </w:p>
    <w:p>
      <w:pPr>
        <w:pStyle w:val="TextBody"/>
        <w:bidi w:val="0"/>
        <w:spacing w:before="160" w:after="0"/>
        <w:jc w:val="left"/>
        <w:rPr/>
      </w:pPr>
      <w:r>
        <w:rPr/>
        <w:t> </w:t>
      </w:r>
    </w:p>
    <w:p>
      <w:pPr>
        <w:pStyle w:val="TextBody"/>
        <w:bidi w:val="0"/>
        <w:spacing w:before="120" w:after="0"/>
        <w:jc w:val="center"/>
        <w:rPr/>
      </w:pPr>
      <w:r>
        <w:rPr/>
        <w:drawing>
          <wp:inline distT="0" distB="0" distL="0" distR="0">
            <wp:extent cx="5181600" cy="3181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181600" cy="3181350"/>
                    </a:xfrm>
                    <a:prstGeom prst="rect">
                      <a:avLst/>
                    </a:prstGeom>
                  </pic:spPr>
                </pic:pic>
              </a:graphicData>
            </a:graphic>
          </wp:inline>
        </w:drawing>
      </w:r>
      <w:r>
        <w:rPr/>
        <w:t> </w:t>
      </w:r>
    </w:p>
    <w:p>
      <w:pPr>
        <w:pStyle w:val="TextBody"/>
        <w:bidi w:val="0"/>
        <w:spacing w:before="12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Source: Variant of Fig 6B from Sinnett SE, Boyle E, Lyons C, Gray SJ. Engineered microRNA-based regulatory element permits safe high-dose miniMECP2 gene therapy in Rett mice. Brain. 2021; 144(10): 3005-3019</w:t>
      </w:r>
    </w:p>
    <w:p>
      <w:pPr>
        <w:pStyle w:val="TextBody"/>
        <w:bidi w:val="0"/>
        <w:spacing w:before="360" w:after="0"/>
        <w:jc w:val="center"/>
        <w:rPr/>
      </w:pPr>
      <w:r>
        <w:rPr/>
        <w:drawing>
          <wp:inline distT="0" distB="0" distL="0" distR="0">
            <wp:extent cx="5324475" cy="2571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324475" cy="2571750"/>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Source: Figure 6C from Sinnett SE, Boyle E, Lyons C, Gray SJ. Engineered microRNA-based regulatory element permits safe high-dose miniMECP2 gene therapy in Rett mice. </w:t>
      </w:r>
      <w:r>
        <w:rPr>
          <w:rFonts w:ascii="Times New Roman;serif" w:hAnsi="Times New Roman;serif"/>
          <w:b w:val="false"/>
          <w:i/>
          <w:sz w:val="16"/>
        </w:rPr>
        <w:t>Brain</w:t>
      </w:r>
      <w:r>
        <w:rPr>
          <w:rFonts w:ascii="Times New Roman;serif" w:hAnsi="Times New Roman;serif"/>
          <w:b w:val="false"/>
          <w:sz w:val="16"/>
        </w:rPr>
        <w:t>. 2021; 144(10): 3005-3019.</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t>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KO mouse model of Rett syndrome across three dose levels and 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KO mice. An additional study in neonatal mice (n=45) was completed and data showed prolonged survival. Finally, IND/CTA-enabling 6-month GLP toxicology studies examined the biodistribution, toxicological effects and mechanism of action of TSHA-102 when intrathecally administered to NHP and rats in three dose levels, up to 2.0x10</w:t>
      </w:r>
      <w:r>
        <w:rPr>
          <w:rFonts w:ascii="Times New Roman;serif" w:hAnsi="Times New Roman;serif"/>
          <w:b w:val="false"/>
          <w:sz w:val="13"/>
        </w:rPr>
        <w:t>15</w:t>
      </w:r>
      <w:r>
        <w:rPr>
          <w:rFonts w:ascii="Times New Roman" w:hAnsi="Times New Roman"/>
          <w:sz w:val="20"/>
        </w:rPr>
        <w:t xml:space="preserve"> </w:t>
      </w:r>
      <w:r>
        <w:rPr>
          <w:rFonts w:ascii="Times New Roman;serif" w:hAnsi="Times New Roman;serif"/>
          <w:b w:val="false"/>
          <w:sz w:val="20"/>
        </w:rPr>
        <w:t>vg/animal, which was well tolerated in both WT species. Biodistribution, as reflected by DNA copy number, was observed in multiple areas of the brain, sections of spinal cord and the DRG as shown below.</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HelveticaNeueLT Pro 55 Roman;sans-serif" w:hAnsi="HelveticaNeueLT Pro 55 Roman;sans-serif"/>
          <w:b/>
          <w:sz w:val="27"/>
        </w:rPr>
        <w:t>NHP Toxicology Study - Broad biodistribution to brain and spinal cord</w:t>
      </w:r>
      <w:r>
        <w:rPr>
          <w:rFonts w:ascii="Times New Roman" w:hAnsi="Times New Roman"/>
          <w:sz w:val="20"/>
        </w:rPr>
        <w:t xml:space="preserve"> </w:t>
      </w:r>
      <w:r>
        <w:rPr>
          <w:rFonts w:ascii="Times New Roman" w:hAnsi="Times New Roman"/>
          <w:sz w:val="20"/>
        </w:rPr>
        <w:drawing>
          <wp:inline distT="0" distB="0" distL="0" distR="0">
            <wp:extent cx="6858000" cy="2647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2647950"/>
                    </a:xfrm>
                    <a:prstGeom prst="rect">
                      <a:avLst/>
                    </a:prstGeom>
                  </pic:spPr>
                </pic:pic>
              </a:graphicData>
            </a:graphic>
          </wp:inline>
        </w:drawing>
      </w:r>
    </w:p>
    <w:p>
      <w:pPr>
        <w:pStyle w:val="TextBody"/>
        <w:bidi w:val="0"/>
        <w:spacing w:before="16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Source: Company data</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Importantly, mRNA levels across multiple tissues were low, indicating miRARE regulation is minimizing transgene expression from the construct in the presence of endogenous MECP2 as expected, despite the high levels of DNA that were delivered. No toxicity from transgene overexpression was observed, confirmed by functional and histopathologic evaluations demonstrating no detrimental change in neurobehavioral assessments and no adverse tissue findings on necropsy.</w:t>
      </w:r>
    </w:p>
    <w:p>
      <w:pPr>
        <w:pStyle w:val="TextBody"/>
        <w:bidi w:val="0"/>
        <w:spacing w:before="240" w:after="0"/>
        <w:jc w:val="left"/>
        <w:rPr>
          <w:rFonts w:ascii="Times New Roman" w:hAnsi="Times New Roman"/>
          <w:sz w:val="20"/>
        </w:rPr>
      </w:pPr>
      <w:r>
        <w:rPr>
          <w:rFonts w:ascii="Times New Roman;serif" w:hAnsi="Times New Roman;serif"/>
          <w:b w:val="false"/>
          <w:sz w:val="20"/>
        </w:rPr>
        <w:t>In a neonatal KO Rett mouse efficacy study, treatment with TSHA-102 resulted in near normalization of survival as shown below. TSHA-102 at the dose of 8.8x10</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vg/mouse, which translates to the Human Equivalent Dose of 2.86x10</w:t>
      </w:r>
      <w:r>
        <w:rPr>
          <w:rFonts w:ascii="Times New Roman;serif" w:hAnsi="Times New Roman;serif"/>
          <w:b w:val="false"/>
          <w:sz w:val="13"/>
        </w:rPr>
        <w:t xml:space="preserve">14 </w:t>
      </w:r>
      <w:r>
        <w:rPr>
          <w:rFonts w:ascii="Times New Roman;serif" w:hAnsi="Times New Roman;serif"/>
          <w:b w:val="false"/>
          <w:sz w:val="20"/>
        </w:rPr>
        <w:t xml:space="preserve">vg/participant significantly improved survival when administered in Postnatal day mice by intracerebroventricular, or ICV, injection. While the longest lived vehicle‐treated </w:t>
      </w:r>
      <w:r>
        <w:rPr>
          <w:rFonts w:ascii="Times New Roman;serif" w:hAnsi="Times New Roman;serif"/>
          <w:b w:val="false"/>
          <w:i/>
          <w:sz w:val="20"/>
        </w:rPr>
        <w:t>Mecp2</w:t>
      </w:r>
      <w:r>
        <w:rPr>
          <w:rFonts w:ascii="Times New Roman" w:hAnsi="Times New Roman"/>
          <w:sz w:val="20"/>
        </w:rPr>
        <w:t>‐</w:t>
      </w:r>
      <w:r>
        <w:rPr>
          <w:rFonts w:ascii="Times New Roman;serif" w:hAnsi="Times New Roman;serif"/>
          <w:b w:val="false"/>
          <w:i/>
          <w:sz w:val="13"/>
        </w:rPr>
        <w:t xml:space="preserve">/Y </w:t>
      </w:r>
      <w:r>
        <w:rPr>
          <w:rFonts w:ascii="Times New Roman;serif" w:hAnsi="Times New Roman;serif"/>
          <w:b w:val="false"/>
          <w:sz w:val="20"/>
        </w:rPr>
        <w:t xml:space="preserve">male survived to 13.3 weeks only, 47% of the treated </w:t>
      </w:r>
      <w:r>
        <w:rPr>
          <w:rFonts w:ascii="Times New Roman;serif" w:hAnsi="Times New Roman;serif"/>
          <w:b w:val="false"/>
          <w:i/>
          <w:sz w:val="20"/>
        </w:rPr>
        <w:t>Mecp2</w:t>
      </w:r>
      <w:r>
        <w:rPr>
          <w:rFonts w:ascii="Times New Roman" w:hAnsi="Times New Roman"/>
          <w:sz w:val="20"/>
        </w:rPr>
        <w:t>‐</w:t>
      </w:r>
      <w:r>
        <w:rPr>
          <w:rFonts w:ascii="Times New Roman;serif" w:hAnsi="Times New Roman;serif"/>
          <w:b w:val="false"/>
          <w:i/>
          <w:sz w:val="13"/>
        </w:rPr>
        <w:t xml:space="preserve">/Y </w:t>
      </w:r>
      <w:r>
        <w:rPr>
          <w:rFonts w:ascii="Times New Roman;serif" w:hAnsi="Times New Roman;serif"/>
          <w:b w:val="false"/>
          <w:sz w:val="20"/>
        </w:rPr>
        <w:t>males survived to 36 weeks of age, which was the conclusion of the study and all subjects were then sacrificed. The Bird Score, a composite measure of six different phenotypes, was significantly improved in TSHA‐102‐treated KO mice. TSHA‐102 significantly delayed the average age of onset for severe clasping from approximately 7 to 21 weeks and severely abnormal gait from approximately 8 to 20 weeks. TSHA‐102 treatment at 8.8x10</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vg/mouse extended survival significantly in neonatal Mecp2‐/Y males, improved weight, improved their overall phenotypic score, and delayed the age of onset for severely abnormal limb clasping and gait.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648075" cy="2733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48075" cy="2733675"/>
                    </a:xfrm>
                    <a:prstGeom prst="rect">
                      <a:avLst/>
                    </a:prstGeom>
                  </pic:spPr>
                </pic:pic>
              </a:graphicData>
            </a:graphic>
          </wp:inline>
        </w:drawing>
      </w:r>
      <w:r>
        <w:rPr/>
        <w:t> </w:t>
      </w:r>
    </w:p>
    <w:p>
      <w:pPr>
        <w:pStyle w:val="TextBody"/>
        <w:bidi w:val="0"/>
        <w:spacing w:before="0" w:after="0"/>
        <w:jc w:val="center"/>
        <w:rPr>
          <w:rFonts w:ascii="Times New Roman" w:hAnsi="Times New Roman"/>
          <w:sz w:val="20"/>
        </w:rPr>
      </w:pPr>
      <w:r>
        <w:rPr>
          <w:rFonts w:ascii="Times New Roman;serif" w:hAnsi="Times New Roman;serif"/>
          <w:b w:val="false"/>
          <w:sz w:val="16"/>
        </w:rPr>
        <w:t>Source: Company data</w:t>
      </w:r>
      <w:r>
        <w:rPr>
          <w:rFonts w:ascii="Times New Roman" w:hAnsi="Times New Roman"/>
          <w:sz w:val="20"/>
        </w:rPr>
        <w:t xml:space="preserve">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In addition, neonatal KO Rett mice demonstrated normalization of behavior following treatment with TSHA-102 as assessed by the Bird Score, a composite measure of six different phenotypic abilities. KO animals were initially assessed at four weeks of age with a mean Bird Score of four. Over the course of the study, TSHA-102 improved the behaviors (as assessed by the Bird aggregate score) of TSHA-102 treated mice as shown below.</w:t>
      </w:r>
    </w:p>
    <w:p>
      <w:pPr>
        <w:pStyle w:val="TextBody"/>
        <w:bidi w:val="0"/>
        <w:spacing w:before="360" w:after="0"/>
        <w:jc w:val="center"/>
        <w:rPr/>
      </w:pPr>
      <w:r>
        <w:rPr/>
        <w:drawing>
          <wp:inline distT="0" distB="0" distL="0" distR="0">
            <wp:extent cx="4467225" cy="2895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467225" cy="2895600"/>
                    </a:xfrm>
                    <a:prstGeom prst="rect">
                      <a:avLst/>
                    </a:prstGeom>
                  </pic:spPr>
                </pic:pic>
              </a:graphicData>
            </a:graphic>
          </wp:inline>
        </w:drawing>
      </w:r>
      <w:r>
        <w:rPr/>
        <w:t>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Source: Lyst MJ, Bird A. Rett syndrome: a complex disorder with simple roots. Nat Rev Genet. 2015 May;16(5):261-75. doi: 10.1038/nrg3897. Epub 2015 Mar 3. PMID: 25732612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shown in the table below, TSHA-102 demonstrated broad biodistribution to the brain and spinal cord with low mRNA in the tissue of NHPs. Vector genome copy numbers detected in the brain, spinal cord and DRG were appropriately above 1.0 vg/diploid genome. miniMECP2 mRNA measured in the brain, spinal cord and DRG were zero, indicating downregulation of miRNA copies.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summary, we believe the totality of preclinical data generated to date, which includes the mouse pharmacology study to ascertain the minimally effective dose, two toxicology studies (wild type rat and wild type NHP), a mouse distribution and gene expression study, and the recent neonatal mouse data, represents the most robust package supporting clinical advancement of TSHA-102 in Rett syndrome as shown below.</w:t>
      </w:r>
    </w:p>
    <w:p>
      <w:pPr>
        <w:pStyle w:val="TextBody"/>
        <w:bidi w:val="0"/>
        <w:spacing w:before="360" w:after="0"/>
        <w:jc w:val="center"/>
        <w:rPr/>
      </w:pPr>
      <w:r>
        <w:rPr/>
        <w:drawing>
          <wp:inline distT="0" distB="0" distL="0" distR="0">
            <wp:extent cx="6781800" cy="2514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781800" cy="2514600"/>
                    </a:xfrm>
                    <a:prstGeom prst="rect">
                      <a:avLst/>
                    </a:prstGeom>
                  </pic:spPr>
                </pic:pic>
              </a:graphicData>
            </a:graphic>
          </wp:inline>
        </w:drawing>
      </w:r>
      <w:r>
        <w:rPr/>
        <w:t>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Safety and biodistribution assessments in NHPs were presented in May 2022 at the International Rett Syndrome Foundation (IRSF) meeting along with the caregiver perspective on Rett syndrome in adulthood. At the ASCEND National Summit, there was an oral presentation on “Putting Patients at the Center.” Finally, mouse pharmacology, rat and NHP toxicology data were presented at the 25th Annual Meeting of the American Society of Gene &amp; Cell Therapy (ASGCT) and the European Society for Gene and Cell Therapy Congress (ESGCT).</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Phase 1/2 REVEAL Clinical Trial</w:t>
      </w:r>
    </w:p>
    <w:p>
      <w:pPr>
        <w:pStyle w:val="TextBody"/>
        <w:bidi w:val="0"/>
        <w:spacing w:before="120" w:after="0"/>
        <w:jc w:val="left"/>
        <w:rPr>
          <w:rFonts w:ascii="Times New Roman" w:hAnsi="Times New Roman"/>
          <w:sz w:val="20"/>
        </w:rPr>
      </w:pPr>
      <w:r>
        <w:rPr>
          <w:rFonts w:ascii="Times New Roman;serif" w:hAnsi="Times New Roman;serif"/>
          <w:b w:val="false"/>
          <w:sz w:val="20"/>
        </w:rPr>
        <w:t>We submitted a CTA for TSHA-102 in November 2021 and announced initiation of clinical development under a CTA approved by Health Canada in March 2022. We are advancing TSHA-102 in the REVEAL Phase 1/2 clinical trial, which is an open-label, dose escalation, randomized, multicenter study that will examine the safety and efficacy of TSHA-102 in up to 18 adult female patients with Rett syndrome. In the first cohort, a single 5x10</w:t>
      </w:r>
      <w:r>
        <w:rPr>
          <w:rFonts w:ascii="Times New Roman;serif" w:hAnsi="Times New Roman;serif"/>
          <w:b w:val="false"/>
          <w:sz w:val="13"/>
        </w:rPr>
        <w:t>14</w:t>
      </w:r>
      <w:r>
        <w:rPr>
          <w:rFonts w:ascii="Times New Roman" w:hAnsi="Times New Roman"/>
          <w:sz w:val="20"/>
        </w:rPr>
        <w:t xml:space="preserve"> </w:t>
      </w:r>
      <w:r>
        <w:rPr>
          <w:rFonts w:ascii="Times New Roman;serif" w:hAnsi="Times New Roman;serif"/>
          <w:b w:val="false"/>
          <w:sz w:val="20"/>
        </w:rPr>
        <w:t>total vg dose of TSHA-102 will be given intrathecally. The second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cohort will be given a 1x10</w:t>
      </w:r>
      <w:r>
        <w:rPr>
          <w:rFonts w:ascii="Times New Roman;serif" w:hAnsi="Times New Roman;serif"/>
          <w:b w:val="false"/>
          <w:sz w:val="13"/>
        </w:rPr>
        <w:t>15</w:t>
      </w:r>
      <w:r>
        <w:rPr>
          <w:rFonts w:ascii="Times New Roman" w:hAnsi="Times New Roman"/>
          <w:sz w:val="20"/>
        </w:rPr>
        <w:t xml:space="preserve"> </w:t>
      </w:r>
      <w:r>
        <w:rPr>
          <w:rFonts w:ascii="Times New Roman;serif" w:hAnsi="Times New Roman;serif"/>
          <w:b w:val="false"/>
          <w:sz w:val="20"/>
        </w:rPr>
        <w:t>total vg dose of TSHA-102. Key assessments will include Rett-specific and global assessments, quality of life, biomarkers, and neurophysiology and imaging assessments as seen below.</w:t>
      </w:r>
      <w:r>
        <w:rPr>
          <w:rFonts w:ascii="Times New Roman" w:hAnsi="Times New Roman"/>
          <w:sz w:val="20"/>
        </w:rPr>
        <w:t xml:space="preserve"> </w:t>
      </w:r>
    </w:p>
    <w:p>
      <w:pPr>
        <w:pStyle w:val="TextBody"/>
        <w:bidi w:val="0"/>
        <w:spacing w:before="120" w:after="0"/>
        <w:jc w:val="left"/>
        <w:rPr/>
      </w:pPr>
      <w:r>
        <w:rPr/>
        <w:drawing>
          <wp:inline distT="0" distB="0" distL="0" distR="0">
            <wp:extent cx="6858000" cy="3524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524250"/>
                    </a:xfrm>
                    <a:prstGeom prst="rect">
                      <a:avLst/>
                    </a:prstGeom>
                  </pic:spPr>
                </pic:pic>
              </a:graphicData>
            </a:graphic>
          </wp:inline>
        </w:drawing>
      </w: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Sainte-Justine Mother and Child University Hospital Center in Montreal, Quebec, Canada has been selected as the initial clinical trial site under the direction of Dr. Elsa Rossignol, Assistant Professor Neuroscience and Pediatrics, and Principal Investigator. We expect to dose the first adult patient with Rett syndrome in the first half of 2023, with initial available clinical data expected in the first half of 2023, followed by planned quarterly updates on available clinical data, primarily on safety, thereafter. We anticipate submission of a CTA to the MHRA for TSHA-102 in pediatric patients with Rett syndrome in mid-2023 and plan to submit an IND application for Rett syndrome to the FDA in the second half of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received orphan drug designation and rare pediatric disease designation from the FDA and orphan drug designation from the European Commission for TSHA-102 for the treatment of Rett syndrome.</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Other Programs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at this time deprioritized the evaluation of our preclinical product candidates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TSHA-118 for CLN1 Disease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pStyle w:val="TextBody"/>
        <w:bidi w:val="0"/>
        <w:spacing w:before="240" w:after="0"/>
        <w:jc w:val="left"/>
        <w:rPr>
          <w:rFonts w:ascii="Times New Roman" w:hAnsi="Times New Roman"/>
          <w:sz w:val="20"/>
        </w:rPr>
      </w:pPr>
      <w:r>
        <w:rPr>
          <w:rFonts w:ascii="Times New Roman;serif" w:hAnsi="Times New Roman;serif"/>
          <w:b w:val="false"/>
          <w:sz w:val="20"/>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We believe that the introduction of a functional </w:t>
      </w:r>
      <w:r>
        <w:rPr>
          <w:rFonts w:ascii="Times New Roman;serif" w:hAnsi="Times New Roman;serif"/>
          <w:b w:val="false"/>
          <w:i/>
          <w:sz w:val="20"/>
        </w:rPr>
        <w:t>CLN1</w:t>
      </w:r>
      <w:r>
        <w:rPr>
          <w:rFonts w:ascii="Times New Roman" w:hAnsi="Times New Roman"/>
          <w:sz w:val="20"/>
        </w:rPr>
        <w:t xml:space="preserve"> </w:t>
      </w:r>
      <w:r>
        <w:rPr>
          <w:rFonts w:ascii="Times New Roman;serif" w:hAnsi="Times New Roman;serif"/>
          <w:b w:val="false"/>
          <w:sz w:val="20"/>
        </w:rPr>
        <w:t>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TSHA-118 has been granted orphan drug designation, rare pediatric disease designation and fast track designation from the FDA and orphan drug designation from the European Medicines Agency for the treatment of CLN1 disease.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is currently an open IND for the CLN1 program. We submitted a CTA filing for TSHA-118 which was approved by Health Canada in 2021. Clinical trial material has been manufactured and released and is now ready for use in a clinical trial setting.</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TSHA-105 for SLC13A5 Deficiency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developing TSHA-105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pStyle w:val="TextBody"/>
        <w:bidi w:val="0"/>
        <w:spacing w:before="240" w:after="0"/>
        <w:jc w:val="left"/>
        <w:rPr>
          <w:rFonts w:ascii="Times New Roman" w:hAnsi="Times New Roman"/>
          <w:sz w:val="20"/>
        </w:rPr>
      </w:pPr>
      <w:r>
        <w:rPr>
          <w:rFonts w:ascii="Times New Roman;serif" w:hAnsi="Times New Roman;serif"/>
          <w:b w:val="false"/>
          <w:sz w:val="20"/>
        </w:rPr>
        <w:t>We are developing TSHA-105 as a gene replacement therapy for SLC13A5 deficiency. TSHA-105 is constructed from a codon-optimized human SLC13A5 gene packaged in a self-complementary AAV9 capsid.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TSHA-113 for Tauopathies</w:t>
      </w:r>
    </w:p>
    <w:p>
      <w:pPr>
        <w:pStyle w:val="TextBody"/>
        <w:bidi w:val="0"/>
        <w:spacing w:before="240" w:after="0"/>
        <w:jc w:val="left"/>
        <w:rPr>
          <w:rFonts w:ascii="Times New Roman" w:hAnsi="Times New Roman"/>
          <w:sz w:val="20"/>
        </w:rPr>
      </w:pPr>
      <w:r>
        <w:rPr>
          <w:rFonts w:ascii="Times New Roman;serif" w:hAnsi="Times New Roman;serif"/>
          <w:b w:val="false"/>
          <w:sz w:val="20"/>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serif" w:hAnsi="Times New Roman;serif"/>
          <w:b w:val="false"/>
          <w:sz w:val="16"/>
        </w:rPr>
        <w:t>,</w:t>
      </w:r>
      <w:r>
        <w:rPr>
          <w:rFonts w:ascii="Times New Roman" w:hAnsi="Times New Roman"/>
          <w:sz w:val="20"/>
        </w:rPr>
        <w:t xml:space="preserve"> </w:t>
      </w:r>
      <w:r>
        <w:rPr>
          <w:rFonts w:ascii="Times New Roman;serif" w:hAnsi="Times New Roman;serif"/>
          <w:b w:val="false"/>
          <w:sz w:val="20"/>
        </w:rPr>
        <w:t>and Alzheimer’s disease affects an estimated 6.2 million Americans and 7.8 million Europeans.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TSHA-106 for Angelman syndrome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w:t>
      </w:r>
    </w:p>
    <w:p>
      <w:pPr>
        <w:pStyle w:val="TextBody"/>
        <w:bidi w:val="0"/>
        <w:spacing w:before="240" w:after="0"/>
        <w:jc w:val="left"/>
        <w:rPr>
          <w:rFonts w:ascii="Times New Roman" w:hAnsi="Times New Roman"/>
          <w:sz w:val="20"/>
        </w:rPr>
      </w:pPr>
      <w:r>
        <w:rPr>
          <w:rFonts w:ascii="Times New Roman;serif" w:hAnsi="Times New Roman;serif"/>
          <w:b w:val="false"/>
          <w:sz w:val="20"/>
        </w:rPr>
        <w:t>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are an estimated 55,000 patients with Angelman syndrome in the United States and Europe.</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TSHA-114 for Fragile X Syndrome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pStyle w:val="TextBody"/>
        <w:bidi w:val="0"/>
        <w:spacing w:before="240" w:after="0"/>
        <w:jc w:val="left"/>
        <w:rPr>
          <w:rFonts w:ascii="Times New Roman" w:hAnsi="Times New Roman"/>
          <w:sz w:val="20"/>
        </w:rPr>
      </w:pPr>
      <w:r>
        <w:rPr>
          <w:rFonts w:ascii="Times New Roman;serif" w:hAnsi="Times New Roman;serif"/>
          <w:b w:val="false"/>
          <w:sz w:val="20"/>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conditioning behavior. In addition, assessment of circadian locomotor activity revealed restoration of hyperactivity and sleep. Assessment of transgene expression and behavioral responses in individual mice demonstrated correlations between the level of FMRP expression and drug efficacy.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results from the study strongly support continued development. Ongoing and future work is focused on optimal dose and route of administration determination for IND enabling studies.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There are an estimated 75,000 patients with Fragile X syndrome in the United States and Europe.</w:t>
      </w:r>
    </w:p>
    <w:p>
      <w:pPr>
        <w:pStyle w:val="TextBody"/>
        <w:bidi w:val="0"/>
        <w:spacing w:before="360" w:after="0"/>
        <w:jc w:val="left"/>
        <w:rPr>
          <w:rFonts w:ascii="Times New Roman" w:hAnsi="Times New Roman"/>
          <w:sz w:val="20"/>
        </w:rPr>
      </w:pPr>
      <w:r>
        <w:rPr>
          <w:rFonts w:ascii="Times New Roman;serif" w:hAnsi="Times New Roman;serif"/>
          <w:b/>
          <w:sz w:val="20"/>
        </w:rPr>
        <w:t>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Research, Collaboration and License Agreement with The University of Texas Southwestern Medical Center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2019, we entered into a research, collaboration and license agreement, or the UT Southwestern Agreement, with The Board of Regents of the University of Texas System on behalf of UT Southwestern, as amended in April 2020.</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License Agreement with Abeona (CLN1 Disease)</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December 2021 the Company’s CTA filing for TSHA-118 for the treatment of CLN1 disease was approved by Health Canada and therefore triggered a regulatory milestone payment in connection with the Abeona CLN1 Agreement. We 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three months ended March 31, 2022. No additional milestone payments were made or triggered during the three months ended March 31,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License Agreement with Abeona (Rett Syndrome)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condensed consolidated statements of operations for the three months ended March 31, 2022. This milestone fee was paid in July 2022. No additional milestone payments were made during the three months ended March 31,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Option Agreement with Astellas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21, 2022, or the Effective Date, we entered into an Option Agreement, or the Option Agreement, with Audentes Therapeutics, Inc. (d/b/a Astellas Gene Therapy), or Astellas.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TSHA-120 Giant Axonal Neuropathy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is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TSHA-102 Rett Syndrome</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Option Agreement, we also granted to Astellas an exclusive option to obtain an exclusive, worldwide, royalty and milestone- bearing right and license (A) to Exploit any Rett Product (as defined below), and (B) under any intellectual property rights controlled by us or any of our affiliates with respect to such Exploitation, or the Rett Option, and together with the GAN Option, each, an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Going Concern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inception, we have incurred operating losses and expects to continue to incur significant operating losses for the foreseeable future and may never become profitable. Losses are expected to continue as we continue to invest in our research and development activities. We believe there is presently insufficient funding available to allow us to fund our currently planned research and discovery programs for a period exceeding one year from the date of this filing with the SEC. These conditions and events raise substantial doubt about the Company’s ability to continue as a going concern.</w:t>
      </w:r>
    </w:p>
    <w:p>
      <w:pPr>
        <w:pStyle w:val="TextBody"/>
        <w:bidi w:val="0"/>
        <w:spacing w:before="360" w:after="0"/>
        <w:jc w:val="left"/>
        <w:rPr>
          <w:rFonts w:ascii="Times New Roman" w:hAnsi="Times New Roman"/>
          <w:sz w:val="20"/>
        </w:rPr>
      </w:pPr>
      <w:r>
        <w:rPr>
          <w:rFonts w:ascii="Times New Roman;serif" w:hAnsi="Times New Roman;serif"/>
          <w:b/>
          <w:sz w:val="20"/>
        </w:rPr>
        <w:t>Recent Developments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NASDAQ Notice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April 25, 2023, we received a letter from The Nasdaq Stock Market, or Nasdaq, notifying us that, for the previous 30 consecutive business day periods prior to the date of the letter, the closing bid price for our common stock was below $1.00. In accordance with Nasdaq Listing Rule 5810(c)(3)(A) we were provided an initial period of 180 calendar days, or until October 23, 2023, to regain compliance with Nasdaq’s bid price requirement. If, at any time before October 23, 2023, the bid price for our common stock closed at $1.00 or more for a minimum of 10 consecutive business days, we would regain compliance with the bid price requirement, unless Nasdaq staff exercised its discretion to extend this 10-day period pursuant to Nasdaq rules. In the event we do not regain compliance with the minimum bid price requirement by October 23, 2023, we may be eligible for an additional 180-calendar day compliance period if we elect to transfer to The Nasdaq Capital Market to take advantage of the additional compliance period offered on that market.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bid price deficiency during the second compliance period. Our failure to regain compliance during this period could result in delisting.</w:t>
      </w:r>
    </w:p>
    <w:p>
      <w:pPr>
        <w:pStyle w:val="TextBody"/>
        <w:bidi w:val="0"/>
        <w:spacing w:before="36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 for the three months ended March 31, 2023 was derived from the Astellas Transactions. We recognize revenue as research and development activities related to our Rett program are performed and will recognize revenue related to the Rett and GAN Options at a point in time when the options are exercised or the option period expires.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licensed technology has not reached technological feasibility and has no alternative future use. Research and development expenses include or could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bonuses, benefits, stock-based compensation, severance costs and other related costs for those employees involved in research and development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license maintenance fees and milestone fees incurred in connection with various license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external research and development expenses incurred under agreements with consultants, contract research organizations, or CROs, investigative sites and consultants to conduct our preclinical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manufacturing material for our preclinical studies and clinical trials, including fees paid to contract manufacturing organizations, or CMOs;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laboratory supplies and research materials;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facilities, depreciation and other allocated expenses, which include direct and allocated expenses for rent, maintenance of facilities, insurance and equipment. </w:t>
      </w:r>
    </w:p>
    <w:p>
      <w:pPr>
        <w:pStyle w:val="TextBody"/>
        <w:bidi w:val="0"/>
        <w:spacing w:before="240" w:after="0"/>
        <w:jc w:val="left"/>
        <w:rPr>
          <w:rFonts w:ascii="Times New Roman" w:hAnsi="Times New Roman"/>
          <w:sz w:val="20"/>
        </w:rPr>
      </w:pPr>
      <w:r>
        <w:rPr>
          <w:rFonts w:ascii="Times New Roman;serif" w:hAnsi="Times New Roman;serif"/>
          <w:b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2021 to 2022 but plan to increase our research and development expenses, particularly with respect to the Rett clinical trials,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incurred to conduct preclinical studies required to advance our product candidates into clinical development;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 patient trial costs, including based on the number of doses that patients received;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of patients who enroll in each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of trials required for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of sites included in the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countries in which the trials are conducted;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length of time required to enroll eligible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drop-out or discontinuation rates of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additional safety monitoring requested by regulatory agencies;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duration of patient participation in the trials and follow-up;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phase of development of the product candidate;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third-party contractors failing to comply with regulatory requirements or meet their contractual obligations to us in a timely manner,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ability to manufacture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efficacy and safety profile of our product candidates.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anticipate that certain of our general and administrative expenses will decrease in the future as a result of the reductions in our headcount in 2022 and 2023 to support our infrastructure and focus on a more prioritized set of programs in Rett and GAN.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will stay constant for the near future but may increase over time.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Impairment of Long-lived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Impairment of long-lived assets are the result of an asset group's carrying value exceeding the fair value. In November 2022, we decided not to continue building out our manufacturing facility in North Carolina. We recorded a non-cash, non-recurring impairment charge related to the construction in progress and right-of-use lease assets at the manufacturing facility.</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Results of Operations for the Three Months ended March 31, 2023 and 2022</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our results of operations for the three months ended March 31, 2023 and 2022 (in thousands):</w:t>
      </w:r>
      <w:r>
        <w:rPr>
          <w:rFonts w:ascii="Times New Roman" w:hAnsi="Times New Roman"/>
          <w:sz w:val="20"/>
        </w:rPr>
        <w:t xml:space="preserve"> </w:t>
      </w:r>
    </w:p>
    <w:tbl>
      <w:tblPr>
        <w:tblW w:w="5074" w:type="dxa"/>
        <w:jc w:val="left"/>
        <w:tblInd w:w="0" w:type="dxa"/>
        <w:tblLayout w:type="fixed"/>
        <w:tblCellMar>
          <w:top w:w="28" w:type="dxa"/>
          <w:left w:w="28" w:type="dxa"/>
          <w:bottom w:w="28" w:type="dxa"/>
          <w:right w:w="28" w:type="dxa"/>
        </w:tblCellMar>
      </w:tblPr>
      <w:tblGrid>
        <w:gridCol w:w="2311"/>
        <w:gridCol w:w="146"/>
        <w:gridCol w:w="211"/>
        <w:gridCol w:w="736"/>
        <w:gridCol w:w="166"/>
        <w:gridCol w:w="146"/>
        <w:gridCol w:w="211"/>
        <w:gridCol w:w="736"/>
        <w:gridCol w:w="4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41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firstLine="200"/>
              <w:jc w:val="center"/>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38,182</w:t>
            </w:r>
          </w:p>
        </w:tc>
        <w:tc>
          <w:tcPr>
            <w:tcW w:w="411" w:type="dxa"/>
            <w:tcBorders/>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11,469</w:t>
            </w:r>
          </w:p>
        </w:tc>
        <w:tc>
          <w:tcPr>
            <w:tcW w:w="411" w:type="dxa"/>
            <w:tcBorders/>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21,265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49,651</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(49,651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411" w:type="dxa"/>
            <w:tcBorders/>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(50,317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4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related to the Astellas Transactions was $4.7 million for the three months ended March 31, 2023. The revenue recorded is the result of Rett research and development activities performed during the first quarter of 2023.</w:t>
      </w:r>
    </w:p>
    <w:p>
      <w:pPr>
        <w:pStyle w:val="TextBody"/>
        <w:bidi w:val="0"/>
        <w:spacing w:before="24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were $12.5 million for the three months ended March 31, 2023, compared to $38.2 million for the three months ending March 31, 2022. The $25.7 million decrease was due to reduced research and development compensation as a result of lower headcount of $10.7 million. The decrease was also due to reduced manufacturing and other raw material purchases of $7.1 million. We also incurred $6.4 million reduced expense in non-clinical studies related to translational and toxicology studies and $1.5 million lower expense in other research and development activities.</w:t>
      </w:r>
    </w:p>
    <w:p>
      <w:pPr>
        <w:pStyle w:val="TextBody"/>
        <w:bidi w:val="0"/>
        <w:spacing w:before="24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$8.8 million for the three months ended March 31, 2023, compared to $11.5 million for the three months ended March 31, 2022. The decrease of $2.7 million was due to reduced general and administrative compensation as a result of lower headcount and reduced consulting and professional fees.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Other Income (Expense)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was $1.4 million for the three months ended March 31, 2023, compared to $0.7 million for the three months ended March 31, 2022. The increase of approximately $0.7 million was primarily attributable to higher interest expense incurred under the Term Loan Agreement.</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generated any revenue from product sales and have incurred significant operating losses. As of March 31, 2023, we had cash and cash equivalents of $63.4 million. We have funded our operations primarily through equity financings, raising an aggregate of $438.5 million in gross proceeds from equity financings, including from our IPO, the sale of common stock pursuant to the Sales Agreement, our October 2022 Follow-on Offering, pre-IPO private placements of common stock and convertible preferred stock, from our loan agreement with Silicon Valley Bank and from the Astellas Transactions.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We did not draw on any of the additional $20.0 million tranches prior to their expiration on September 30, 2022 and March 31, 2023.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March 31,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Also on October 21, 2022, we entered into the Securities Purchase Agreement with Astellas, pursuant to which we agreed to issue and sell to Astellas in a private placement, or the Private Placement, an aggregate of 7,266,342 shares of our common stock, or the Private Placement Shares, for aggregate proceeds of approximately $30.0 million. The Private Placement closed on October 24, 2022. Pursuant to the Securities Purchase Agreement, in connection with the Private Placement, Astellas has the right to designate one individual to attend all meetings of the Board in a non-voting observer capacity. We also granted Astellas certain registration rights with respect to the Private Placement Shares.</w:t>
      </w:r>
    </w:p>
    <w:p>
      <w:pPr>
        <w:pStyle w:val="TextBody"/>
        <w:bidi w:val="0"/>
        <w:spacing w:before="240" w:after="0"/>
        <w:jc w:val="left"/>
        <w:rPr>
          <w:rFonts w:ascii="Times New Roman" w:hAnsi="Times New Roman"/>
          <w:sz w:val="20"/>
        </w:rPr>
      </w:pPr>
      <w:r>
        <w:rPr>
          <w:rFonts w:ascii="Times New Roman;serif" w:hAnsi="Times New Roman;serif"/>
          <w:b w:val="false"/>
          <w:sz w:val="20"/>
        </w:rPr>
        <w:t>On October 26, 2022, we entered into the Underwriting Agreement, to issue and sell 14,000,000 shares of our common stock, par value $0.00001 per share, in an underwritten public offering pursuant to an effective registration statement on Form S-3 and a related prospectus and prospectus supplement. The offering price to the public was $2.00 per share and the Underwriter purchased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Our expenses decreased from 2021 to 2022 as a result of our program prioritization efforts and reduced headcount. We anticipate further reductions in spending in 2023 compared to 2022 levels due to the strategic pipeline prioritization initiatives focused on developing Rett and GAN.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our material cash requirements consisted of $34.6 million in total lease payments under our noncancelable leases for equipment, laboratory space and office space. These leases are described in further detail in Note 4 to our unaudited condensed consolidated financial statements located in “Part I – Financial Information, Item 1. Financial Statements” in this Quarterly Report on Form 10-Q. Our most significant purchase commitments consist of approximately $10.4 million in cancellable purchase obligations to our CROs and other clinical trial vendors.</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that our existing cash and cash equivalents will enable us to fund our operating expenses and capital requirements into the first quarter of 2024. We will require additional capital to fund the research and development of our product candidates, to fund our manufacturing activities, to fund precommercial activities of our programs and for working capital and general corporate purposes. There is currently insufficient funding available to allow the us to fund our currently planned research and discovery programs for a period exceeding one year from the filing of this Quarterly Report on Form 10-Q, and that those conditions raised substantial doubt about our ability to continue as a going concern.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costs and results of discovery, preclinical development, laboratory testing and clinical trials for TSHA-102, TSHA-120 and any current and future product candidates that we advance;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access sufficient additional capital on a timely basis and on favorable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develop, in-license or acquire other product candidates and technologies in our gene therapy product candidate pipeline;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development requirements of product candidates that we may pursue;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timing and outcome of regulatory review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headcount growth and associated costs as we expand our research and development capabilities and establish a commercial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revenue, if any, received from commercial sales of our product candidates for which we receive marketing approval;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costs of operating as a public company. </w:t>
      </w:r>
    </w:p>
    <w:p>
      <w:pPr>
        <w:pStyle w:val="TextBody"/>
        <w:bidi w:val="0"/>
        <w:spacing w:before="360" w:after="0"/>
        <w:jc w:val="left"/>
        <w:rPr>
          <w:rFonts w:ascii="Times New Roman" w:hAnsi="Times New Roman"/>
          <w:sz w:val="20"/>
        </w:rPr>
      </w:pPr>
      <w:r>
        <w:rPr>
          <w:rFonts w:ascii="Times New Roman;serif" w:hAnsi="Times New Roman;serif"/>
          <w:b w:val="false"/>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shows a summary of our cash flows for the three months ended March 31, 2023 and 2022 (in thousands):</w:t>
      </w:r>
      <w:r>
        <w:rPr>
          <w:rFonts w:ascii="Times New Roman" w:hAnsi="Times New Roman"/>
          <w:sz w:val="20"/>
        </w:rPr>
        <w:t xml:space="preserve"> </w:t>
      </w:r>
    </w:p>
    <w:p>
      <w:pPr>
        <w:pStyle w:val="TextBody"/>
        <w:bidi w:val="0"/>
        <w:spacing w:before="0" w:after="0"/>
        <w:jc w:val="left"/>
        <w:rPr/>
      </w:pPr>
      <w:r>
        <w:rPr/>
        <w:t> </w:t>
      </w:r>
    </w:p>
    <w:tbl>
      <w:tblPr>
        <w:tblW w:w="7199" w:type="dxa"/>
        <w:jc w:val="left"/>
        <w:tblInd w:w="0" w:type="dxa"/>
        <w:tblLayout w:type="fixed"/>
        <w:tblCellMar>
          <w:top w:w="28" w:type="dxa"/>
          <w:left w:w="28" w:type="dxa"/>
          <w:bottom w:w="28" w:type="dxa"/>
          <w:right w:w="28" w:type="dxa"/>
        </w:tblCellMar>
      </w:tblPr>
      <w:tblGrid>
        <w:gridCol w:w="4636"/>
        <w:gridCol w:w="146"/>
        <w:gridCol w:w="211"/>
        <w:gridCol w:w="736"/>
        <w:gridCol w:w="166"/>
        <w:gridCol w:w="146"/>
        <w:gridCol w:w="211"/>
        <w:gridCol w:w="73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211" w:type="dxa"/>
            <w:tcBorders/>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(52,473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the three months ended March 31, 2023, our net cash used in operating activities of $20.2 million primarily consisted of a net loss of $17.6 million, primarily attributable to our spending on research and development expenses. The net loss of $17.6 million was partially offset by adjustments for non-cash items, primarily stock-based compensation expense of $1.7 million. Additional cash used in operating activities of $5.0 million was primarily due to a decrease in deferred revenue.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2022, our net cash used in operating activities of $40.9 million primarily consisted of a net loss of $50.3 million, primarily attributable to our spending on research and development expenses. The net loss of $50.3 million was partially offset by adjustments for non-cash items, primarily stock-based compensation of $5.3 million, and the add back of regulatory milestone and upfront license fees of $1.3 million. The $50.3 million net loss was also partially offset by a $2.0 million increase in the cash provided by operating assets and liabilities, primarily resulting from an increase in accounts payable.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investing activities used $3.9 million of cash primarily attributable to capital expenditures related to the close out of our in-house manufacturing facility project. During the three months ended March 31, 2022, investing activities used $11.4 million of cash primarily attributable to a regulatory milestone payment of $3.0 million paid to Abeona pursuant to the CLN1 Agreement, and capital expenditures related to our in-house manufacturing facility and office space.</w:t>
      </w:r>
    </w:p>
    <w:p>
      <w:pPr>
        <w:pStyle w:val="TextBody"/>
        <w:bidi w:val="0"/>
        <w:spacing w:before="24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financing activities used $0.4 million of cash, which is primarily attributable to the payment of shelf registration costs and other financing transactions. During the three months ended March 31, 2022, financing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activities used $0.1 million of cash, which is primarily attributable to the payment of shelf registration costs, and other financing transactions, which are partially offset by contributions to our Employee Stock Purchase Plan.</w:t>
      </w:r>
    </w:p>
    <w:p>
      <w:pPr>
        <w:pStyle w:val="TextBody"/>
        <w:bidi w:val="0"/>
        <w:spacing w:before="360" w:after="0"/>
        <w:jc w:val="left"/>
        <w:rPr>
          <w:rFonts w:ascii="Times New Roman;serif" w:hAnsi="Times New Roman;serif"/>
          <w:b/>
          <w:sz w:val="20"/>
        </w:rPr>
      </w:pPr>
      <w:r>
        <w:rPr>
          <w:rFonts w:ascii="Times New Roman;serif" w:hAnsi="Times New Roman;serif"/>
          <w:b/>
          <w:sz w:val="20"/>
        </w:rPr>
        <w:t>Off-Balance Sheet Arrangements</w:t>
      </w:r>
    </w:p>
    <w:p>
      <w:pPr>
        <w:pStyle w:val="TextBody"/>
        <w:bidi w:val="0"/>
        <w:spacing w:before="120" w:after="0"/>
        <w:jc w:val="left"/>
        <w:rPr>
          <w:rFonts w:ascii="Times New Roman" w:hAnsi="Times New Roman"/>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material changes to our critical accounting policies that are disclosed in our audited consolidated financial statements for the year ended December 31, 2022 filed with the SEC on March 28, 2023.</w:t>
      </w:r>
    </w:p>
    <w:p>
      <w:pPr>
        <w:pStyle w:val="TextBody"/>
        <w:bidi w:val="0"/>
        <w:spacing w:before="36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Emerging Growth Company and Smaller Reporting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as an emerging growth company, we may take advantage of specified reduced disclosure and other requirements that are otherwise applicable generally to public companies. These provisions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exception from compliance with the auditor attestation requirements of Section 404 of the Sarbanes-Oxley Act of 2002, as amended;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disclosure about our executive compensation arrangements in our periodic reports, proxy statements and registration statements;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exemptions from the requirements of holding non-binding advisory votes on executive compensation or golden parachute arrangements;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 exemption from compliance with the requirements of the Public Company Accounting Oversight Board regarding the communication of critical audit matters in the auditor’s report on financial statements. </w:t>
      </w:r>
    </w:p>
    <w:p>
      <w:pPr>
        <w:pStyle w:val="TextBody"/>
        <w:bidi w:val="0"/>
        <w:spacing w:before="240" w:after="0"/>
        <w:jc w:val="left"/>
        <w:rPr>
          <w:rFonts w:ascii="Times New Roman" w:hAnsi="Times New Roman"/>
          <w:sz w:val="20"/>
        </w:rPr>
      </w:pPr>
      <w:r>
        <w:rPr>
          <w:rFonts w:ascii="Times New Roman;serif" w:hAnsi="Times New Roman;serif"/>
          <w:b w:val="false"/>
          <w:sz w:val="20"/>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financial statements in our Annual Report on Form 10-K and, similar to emerging growth companies, smaller reporting companies have reduced disclosure obligations regarding executive compensation.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required under this Item.</w:t>
      </w:r>
    </w:p>
    <w:p>
      <w:pPr>
        <w:pStyle w:val="TextBody"/>
        <w:bidi w:val="0"/>
        <w:spacing w:before="360" w:after="0"/>
        <w:jc w:val="left"/>
        <w:rPr>
          <w:rFonts w:ascii="Times New Roman;serif" w:hAnsi="Times New Roman;serif"/>
          <w:b/>
          <w:sz w:val="20"/>
        </w:rPr>
      </w:pPr>
      <w:bookmarkStart w:id="11" w:name="item_4_controls_procedures"/>
      <w:bookmarkEnd w:id="11"/>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March 31, 2023, our disclosure controls and procedures were effective to provide reasonable assurance that the information required to be disclosed by us in this Form 10-Q was (a) reported</w:t>
      </w:r>
      <w:r>
        <w:rPr>
          <w:rFonts w:ascii="Times New Roman" w:hAnsi="Times New Roman"/>
          <w:sz w:val="20"/>
        </w:rPr>
        <w:t xml:space="preserve"> </w:t>
      </w:r>
      <w:r>
        <w:rPr>
          <w:rFonts w:ascii="Times New Roman;serif" w:hAnsi="Times New Roman;serif"/>
          <w:b w:val="false"/>
          <w:sz w:val="20"/>
        </w:rPr>
        <w:t>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Inherent Limitations on Effectiveness of Internal Controls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360" w:after="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360" w:after="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2022, filed with the Securities and Exchange Commission on March 28, 2023. Other than as described below, there have been no material changes to the risk factors described in that report.</w:t>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Risks Related to Ownership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120" w:after="0"/>
        <w:jc w:val="left"/>
        <w:rPr>
          <w:rFonts w:ascii="Times New Roman" w:hAnsi="Times New Roman"/>
          <w:sz w:val="20"/>
        </w:rPr>
      </w:pPr>
      <w:r>
        <w:rPr>
          <w:rFonts w:ascii="Times New Roman;serif" w:hAnsi="Times New Roman;serif"/>
          <w:b w:val="false"/>
          <w:sz w:val="20"/>
        </w:rPr>
        <w:t>On April 25, 2023, we received a letter from Nasdaq, notifying us that, for the previous 30 consecutive business day periods prior to the date of the letter, the closing bid price for our common stock was below $1.00. In accordance with Nasdaq Listing Rule 5810(c)(3)(A) we have been provided an initial period of 180 calendar days, or until October 23, 2023, to regain compliance with Nasdaq’s bid price requirement. If, at any time before October 23, 2023, the bid price for our common stock closes at $1.00 or more for a minimum of 10 consecutive business days, we will regain compliance with the bid price requirement, unless Nasdaq staff exercised its discretion to extend this 10-day period pursuant to Nasdaq rules.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(a) Recent Sales of Unregistered Equity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(b)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r>
        <w:rPr>
          <w:rFonts w:ascii="Times New Roman;serif" w:hAnsi="Times New Roman;serif"/>
          <w:b/>
          <w:sz w:val="20"/>
        </w:rPr>
        <w:t>(c) Issuer Purchases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8" w:name="item_5_or_information"/>
      <w:bookmarkEnd w:id="18"/>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120" w:after="0"/>
        <w:jc w:val="left"/>
        <w:rPr>
          <w:rFonts w:ascii="Times New Roman" w:hAnsi="Times New Roman"/>
          <w:sz w:val="20"/>
        </w:rPr>
      </w:pPr>
      <w:r>
        <w:rPr>
          <w:rFonts w:ascii="Times New Roman;serif" w:hAnsi="Times New Roman;serif"/>
          <w:b w:val="false"/>
          <w:sz w:val="20"/>
        </w:rPr>
        <w:t>The exhibits listed on the Exhibit Index are either filed or furnished with this report or incorporated herein by reference.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9229"/>
      </w:tblGrid>
      <w:tr>
        <w:trPr/>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9" w:type="dxa"/>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Description</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2">
              <w:r>
                <w:rPr>
                  <w:rStyle w:val="InternetLink"/>
                  <w:rFonts w:ascii="Times New Roman;serif" w:hAnsi="Times New Roman;serif"/>
                  <w:b w:val="false"/>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3">
              <w:r>
                <w:rPr>
                  <w:rStyle w:val="InternetLink"/>
                  <w:rFonts w:ascii="Times New Roman;serif" w:hAnsi="Times New Roman;serif"/>
                  <w:b w:val="false"/>
                  <w:sz w:val="20"/>
                  <w:u w:val="single"/>
                </w:rPr>
                <w:t>Amended and Restated Bylaws (incorporated by reference to Exhibit 3.4 to the Company’s Current Report on Form 8-K (File No. 001-39536), filed with the Securities and Exchange Commission on September 29, 2020).</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4">
              <w:r>
                <w:rPr>
                  <w:rStyle w:val="InternetLink"/>
                  <w:rFonts w:ascii="Times New Roman;serif" w:hAnsi="Times New Roman;serif"/>
                  <w:b w:val="false"/>
                  <w:sz w:val="20"/>
                  <w:u w:val="single"/>
                </w:rPr>
                <w:t>Executive Employment Agreement, effective as of December 30, 2022, by and between the Company and Sean Nolan (incorporated by reference to Exhibit 10.23 to the Company’s Annual Report on Form 10-K (File No. 001-39536), filed with the Securities and Exchange Commission on March 28, 2023).</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5">
              <w:r>
                <w:rPr>
                  <w:rStyle w:val="InternetLink"/>
                  <w:rFonts w:ascii="Times New Roman;serif" w:hAnsi="Times New Roman;serif"/>
                  <w:b w:val="false"/>
                  <w:sz w:val="20"/>
                  <w:u w:val="single"/>
                </w:rPr>
                <w:t>Executive Employment Agreement, effective as of December 30, 2022, by and between the Company and Sukumar Nagendran (incorporated by reference to Exhibit 10.24 to the Company’s Annual Report on Form 10-K (File No. 001-39536), filed with the Securities and Exchange Commission on March 28, 2023).</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6">
              <w:r>
                <w:rPr>
                  <w:rStyle w:val="InternetLink"/>
                  <w:rFonts w:ascii="Times New Roman;serif" w:hAnsi="Times New Roman;serif"/>
                  <w:b w:val="false"/>
                  <w:sz w:val="20"/>
                  <w:u w:val="single"/>
                </w:rPr>
                <w:t>Executive Separation Agreement, effective as of March 7, 2022, by and between the Company and RA Session II (incorporated by reference to Exhibit 10.25 to the Company’s Annual Report on Form 10-K (File No. 001-39536), filed with the Securities and Exchange Commission on March 28, 2023).</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sha-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sha-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sha-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sha-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XBRL Instance Document - the instance document does not appear in the Interactive Data File because its XBRL tags are embedded within the Inline XBRL document</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3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 w:hAnsi="Times New Roman"/>
          <w:sz w:val="20"/>
        </w:rPr>
      </w:pPr>
      <w:r>
        <w:rPr>
          <w:rFonts w:ascii="Times New Roman;serif" w:hAnsi="Times New Roman;serif"/>
          <w:b w:val="false"/>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Certain schedules to this agreement have been omitted in accordance with Item 601(b)(2) of Regulation S-K. A copy of any omitted schedules will be furnished supplementally to the SEC upon request.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Portions of this document (indicated by “[***]” have been omitted because they are not material and are the type that Taysha Gene Therapies, Inc. treats as private and confidential.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127" w:type="dxa"/>
        <w:jc w:val="left"/>
        <w:tblInd w:w="0" w:type="dxa"/>
        <w:tblLayout w:type="fixed"/>
        <w:tblCellMar>
          <w:top w:w="28" w:type="dxa"/>
          <w:left w:w="28" w:type="dxa"/>
          <w:bottom w:w="28" w:type="dxa"/>
          <w:right w:w="28" w:type="dxa"/>
        </w:tblCellMar>
      </w:tblPr>
      <w:tblGrid>
        <w:gridCol w:w="1741"/>
        <w:gridCol w:w="109"/>
        <w:gridCol w:w="406"/>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7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Taysha Gene Therapies, Inc.</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Sean Nolan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Sean Nolan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Kamran Alam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Kamran Alam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1" w:name="tsha-ex31_1.htm"/>
      <w:bookmarkStart w:id="22" w:name="kstshaex31_1"/>
      <w:bookmarkEnd w:id="21"/>
      <w:bookmarkEnd w:id="22"/>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Sean Nolan,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Taysha Gene Therapies,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762" w:type="dxa"/>
        <w:jc w:val="left"/>
        <w:tblInd w:w="0" w:type="dxa"/>
        <w:tblLayout w:type="fixed"/>
        <w:tblCellMar>
          <w:top w:w="28" w:type="dxa"/>
          <w:left w:w="28" w:type="dxa"/>
          <w:bottom w:w="28" w:type="dxa"/>
          <w:right w:w="28" w:type="dxa"/>
        </w:tblCellMar>
      </w:tblPr>
      <w:tblGrid>
        <w:gridCol w:w="1741"/>
        <w:gridCol w:w="109"/>
        <w:gridCol w:w="406"/>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Sean Nolan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Sean Nolan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tsha-ex31_2.htm"/>
      <w:bookmarkStart w:id="24" w:name="kstshaex31_2"/>
      <w:bookmarkEnd w:id="23"/>
      <w:bookmarkEnd w:id="24"/>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Kamran Alam,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Taysha Gene Therapies, Inc.;</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7567" w:type="dxa"/>
        <w:jc w:val="left"/>
        <w:tblInd w:w="0" w:type="dxa"/>
        <w:tblLayout w:type="fixed"/>
        <w:tblCellMar>
          <w:top w:w="28" w:type="dxa"/>
          <w:left w:w="28" w:type="dxa"/>
          <w:bottom w:w="28" w:type="dxa"/>
          <w:right w:w="28" w:type="dxa"/>
        </w:tblCellMar>
      </w:tblPr>
      <w:tblGrid>
        <w:gridCol w:w="1741"/>
        <w:gridCol w:w="109"/>
        <w:gridCol w:w="406"/>
        <w:gridCol w:w="53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Kamran Alam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Kamran Alam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5" w:name="tsha-ex32_1.htm"/>
      <w:bookmarkStart w:id="26" w:name="kstshaex32_1"/>
      <w:bookmarkEnd w:id="25"/>
      <w:bookmarkEnd w:id="26"/>
      <w:r>
        <w:rPr>
          <w:rFonts w:ascii="Times New Roman;serif" w:hAnsi="Times New Roman;serif"/>
          <w:b/>
          <w:sz w:val="20"/>
        </w:rPr>
        <w:t>Exhibit 32.1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Company’s Quarterly Report on Form 10-Q for the period ended March 31, 2023, to which this Certification is attached as Exhibit 32.1 (the “Periodic Report”) fully complies with the requirements of Section 13(a) or Section 15(d) of the Exchange Act;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Periodic Report fairly presents, in all material respects, the financial condition and results of operations of the Company.</w:t>
      </w:r>
    </w:p>
    <w:p>
      <w:pPr>
        <w:pStyle w:val="TextBody"/>
        <w:bidi w:val="0"/>
        <w:spacing w:before="0" w:after="0"/>
        <w:jc w:val="left"/>
        <w:rPr/>
      </w:pPr>
      <w:r>
        <w:rPr/>
        <w:t> </w:t>
      </w:r>
    </w:p>
    <w:tbl>
      <w:tblPr>
        <w:tblW w:w="4762" w:type="dxa"/>
        <w:jc w:val="left"/>
        <w:tblInd w:w="0" w:type="dxa"/>
        <w:tblLayout w:type="fixed"/>
        <w:tblCellMar>
          <w:top w:w="28" w:type="dxa"/>
          <w:left w:w="28" w:type="dxa"/>
          <w:bottom w:w="28" w:type="dxa"/>
          <w:right w:w="28" w:type="dxa"/>
        </w:tblCellMar>
      </w:tblPr>
      <w:tblGrid>
        <w:gridCol w:w="1741"/>
        <w:gridCol w:w="109"/>
        <w:gridCol w:w="406"/>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Sean Nolan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Sean Nolan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7" w:name="tsha-ex32_2.htm"/>
      <w:bookmarkStart w:id="28" w:name="kstshaex32_2"/>
      <w:bookmarkEnd w:id="27"/>
      <w:bookmarkEnd w:id="28"/>
      <w:r>
        <w:rPr>
          <w:rFonts w:ascii="Times New Roman;serif" w:hAnsi="Times New Roman;serif"/>
          <w:b/>
          <w:sz w:val="20"/>
        </w:rPr>
        <w:t>Exhibit 32.2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Company’s Quarterly Report on Form 10-Q for the period ended March 31, 2023, to which this Certification is attached as Exhibit 32.2 (the “Periodic Report”) fully complies with the requirements of Section 13(a) or Section 15(d) of the Exchange Act;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Periodic Report fairly presents, in all material respects, the financial condition and results of operations of the Company.</w:t>
      </w:r>
    </w:p>
    <w:p>
      <w:pPr>
        <w:pStyle w:val="TextBody"/>
        <w:bidi w:val="0"/>
        <w:spacing w:before="0" w:after="0"/>
        <w:jc w:val="left"/>
        <w:rPr/>
      </w:pPr>
      <w:r>
        <w:rPr/>
        <w:t> </w:t>
      </w:r>
    </w:p>
    <w:tbl>
      <w:tblPr>
        <w:tblW w:w="7567" w:type="dxa"/>
        <w:jc w:val="left"/>
        <w:tblInd w:w="0" w:type="dxa"/>
        <w:tblLayout w:type="fixed"/>
        <w:tblCellMar>
          <w:top w:w="28" w:type="dxa"/>
          <w:left w:w="28" w:type="dxa"/>
          <w:bottom w:w="28" w:type="dxa"/>
          <w:right w:w="28" w:type="dxa"/>
        </w:tblCellMar>
      </w:tblPr>
      <w:tblGrid>
        <w:gridCol w:w="1741"/>
        <w:gridCol w:w="109"/>
        <w:gridCol w:w="406"/>
        <w:gridCol w:w="53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3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Kamran Alam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Kamran Alam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3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Officer and Principal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HelveticaNeueLT Pro 55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hyperlink" Target="https://www.sec.gov/Archives/edgar/data/1806310/000119312520257858/d78879dex31.htm" TargetMode="External"/><Relationship Id="rId23" Type="http://schemas.openxmlformats.org/officeDocument/2006/relationships/hyperlink" Target="https://www.sec.gov/Archives/edgar/data/1806310/000119312520247565/d938924dex34.htm" TargetMode="External"/><Relationship Id="rId24" Type="http://schemas.openxmlformats.org/officeDocument/2006/relationships/hyperlink" Target="https://www.sec.gov/Archives/edgar/data/1806310/000095017023010343/tsha-ex10_23.htm" TargetMode="External"/><Relationship Id="rId25" Type="http://schemas.openxmlformats.org/officeDocument/2006/relationships/hyperlink" Target="https://www.sec.gov/Archives/edgar/data/1806310/000095017023010343/tsha-ex10_24.htm" TargetMode="External"/><Relationship Id="rId26" Type="http://schemas.openxmlformats.org/officeDocument/2006/relationships/hyperlink" Target="https://www.sec.gov/Archives/edgar/data/1806310/000095017023010343/tsha-ex10_25.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29525</Words>
  <Characters>163199</Characters>
  <CharactersWithSpaces>192979</CharactersWithSpaces>
  <Paragraphs>3549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