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8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Taysha Gene Therapies,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tbl>
      <w:tblPr>
        <w:tblLayout w:type="fixed"/>
        <w:tblInd w:w="1680" w:type="dxa"/>
        <w:tblCellMar>
          <w:top w:w="0" w:type="dxa"/>
          <w:left w:w="0" w:type="dxa"/>
          <w:bottom w:w="0" w:type="dxa"/>
          <w:right w:w="0" w:type="dxa"/>
        </w:tblCellMar>
      </w:tblPr>
      <w:tr>
        <w:trPr>
          <w:trHeight w:val="194"/>
        </w:trPr>
        <w:tc>
          <w:tcPr>
            <w:tcW w:w="4240" w:type="dxa"/>
            <w:vAlign w:val="bottom"/>
          </w:tcPr>
          <w:p>
            <w:pPr>
              <w:jc w:val="center"/>
              <w:ind w:right="1904"/>
              <w:spacing w:after="0"/>
              <w:rPr>
                <w:sz w:val="20"/>
                <w:szCs w:val="20"/>
                <w:color w:val="auto"/>
              </w:rPr>
            </w:pPr>
            <w:r>
              <w:rPr>
                <w:rFonts w:ascii="Times New Roman" w:cs="Times New Roman" w:eastAsia="Times New Roman" w:hAnsi="Times New Roman"/>
                <w:sz w:val="16"/>
                <w:szCs w:val="16"/>
                <w:color w:val="auto"/>
              </w:rPr>
              <w:t>Delaware</w:t>
            </w:r>
          </w:p>
        </w:tc>
        <w:tc>
          <w:tcPr>
            <w:tcW w:w="30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84-3199512</w:t>
            </w:r>
          </w:p>
        </w:tc>
      </w:tr>
      <w:tr>
        <w:trPr>
          <w:trHeight w:val="148"/>
        </w:trPr>
        <w:tc>
          <w:tcPr>
            <w:tcW w:w="4240" w:type="dxa"/>
            <w:vAlign w:val="bottom"/>
          </w:tcPr>
          <w:p>
            <w:pPr>
              <w:jc w:val="center"/>
              <w:ind w:right="1904"/>
              <w:spacing w:after="0" w:line="149" w:lineRule="exact"/>
              <w:rPr>
                <w:sz w:val="20"/>
                <w:szCs w:val="20"/>
                <w:color w:val="auto"/>
              </w:rPr>
            </w:pPr>
            <w:r>
              <w:rPr>
                <w:rFonts w:ascii="Times New Roman" w:cs="Times New Roman" w:eastAsia="Times New Roman" w:hAnsi="Times New Roman"/>
                <w:sz w:val="14"/>
                <w:szCs w:val="14"/>
                <w:color w:val="auto"/>
              </w:rPr>
              <w:t>( State or other jurisdiction of</w:t>
            </w:r>
          </w:p>
        </w:tc>
        <w:tc>
          <w:tcPr>
            <w:tcW w:w="3040" w:type="dxa"/>
            <w:vAlign w:val="bottom"/>
          </w:tcPr>
          <w:p>
            <w:pPr>
              <w:jc w:val="center"/>
              <w:ind w:left="190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240" w:type="dxa"/>
            <w:vAlign w:val="bottom"/>
          </w:tcPr>
          <w:p>
            <w:pPr>
              <w:jc w:val="center"/>
              <w:ind w:right="188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39"/>
        </w:trPr>
        <w:tc>
          <w:tcPr>
            <w:tcW w:w="4240" w:type="dxa"/>
            <w:vAlign w:val="bottom"/>
          </w:tcPr>
          <w:p>
            <w:pPr>
              <w:jc w:val="center"/>
              <w:ind w:right="1884"/>
              <w:spacing w:after="0"/>
              <w:rPr>
                <w:sz w:val="20"/>
                <w:szCs w:val="20"/>
                <w:color w:val="auto"/>
              </w:rPr>
            </w:pPr>
            <w:r>
              <w:rPr>
                <w:rFonts w:ascii="Times New Roman" w:cs="Times New Roman" w:eastAsia="Times New Roman" w:hAnsi="Times New Roman"/>
                <w:sz w:val="16"/>
                <w:szCs w:val="16"/>
                <w:color w:val="auto"/>
              </w:rPr>
              <w:t>3000 Pegasus Park Dr. Ste 1430</w:t>
            </w:r>
          </w:p>
        </w:tc>
        <w:tc>
          <w:tcPr>
            <w:tcW w:w="3040" w:type="dxa"/>
            <w:vAlign w:val="bottom"/>
          </w:tcPr>
          <w:p>
            <w:pPr>
              <w:spacing w:after="0"/>
              <w:rPr>
                <w:sz w:val="20"/>
                <w:szCs w:val="20"/>
                <w:color w:val="auto"/>
              </w:rPr>
            </w:pPr>
          </w:p>
        </w:tc>
      </w:tr>
      <w:tr>
        <w:trPr>
          <w:trHeight w:val="194"/>
        </w:trPr>
        <w:tc>
          <w:tcPr>
            <w:tcW w:w="4240" w:type="dxa"/>
            <w:vAlign w:val="bottom"/>
          </w:tcPr>
          <w:p>
            <w:pPr>
              <w:jc w:val="center"/>
              <w:ind w:right="1884"/>
              <w:spacing w:after="0"/>
              <w:rPr>
                <w:sz w:val="20"/>
                <w:szCs w:val="20"/>
                <w:color w:val="auto"/>
              </w:rPr>
            </w:pPr>
            <w:r>
              <w:rPr>
                <w:rFonts w:ascii="Times New Roman" w:cs="Times New Roman" w:eastAsia="Times New Roman" w:hAnsi="Times New Roman"/>
                <w:sz w:val="16"/>
                <w:szCs w:val="16"/>
                <w:color w:val="auto"/>
              </w:rPr>
              <w:t>Dallas, Texas</w:t>
            </w:r>
          </w:p>
        </w:tc>
        <w:tc>
          <w:tcPr>
            <w:tcW w:w="304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75247</w:t>
            </w:r>
          </w:p>
        </w:tc>
      </w:tr>
      <w:tr>
        <w:trPr>
          <w:trHeight w:val="188"/>
        </w:trPr>
        <w:tc>
          <w:tcPr>
            <w:tcW w:w="4240" w:type="dxa"/>
            <w:vAlign w:val="bottom"/>
          </w:tcPr>
          <w:p>
            <w:pPr>
              <w:jc w:val="center"/>
              <w:ind w:right="188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(214) 612-0000</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Trading</w:t>
            </w:r>
          </w:p>
        </w:tc>
        <w:tc>
          <w:tcPr>
            <w:tcW w:w="920" w:type="dxa"/>
            <w:vAlign w:val="bottom"/>
            <w:gridSpan w:val="2"/>
            <w:vMerge w:val="restart"/>
          </w:tcPr>
          <w:p>
            <w:pPr>
              <w:spacing w:after="0"/>
              <w:rPr>
                <w:sz w:val="18"/>
                <w:szCs w:val="18"/>
                <w:color w:val="auto"/>
              </w:rPr>
            </w:pPr>
          </w:p>
        </w:tc>
        <w:tc>
          <w:tcPr>
            <w:tcW w:w="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580" w:type="dxa"/>
            <w:vAlign w:val="bottom"/>
            <w:gridSpan w:val="2"/>
            <w:vMerge w:val="restart"/>
          </w:tcPr>
          <w:p>
            <w:pPr>
              <w:jc w:val="center"/>
              <w:ind w:right="8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color w:val="auto"/>
              </w:rPr>
              <w:t>Symbol(s)</w:t>
            </w:r>
          </w:p>
        </w:tc>
        <w:tc>
          <w:tcPr>
            <w:tcW w:w="3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gridSpan w:val="2"/>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gridSpan w:val="2"/>
          </w:tcPr>
          <w:p>
            <w:pPr>
              <w:jc w:val="center"/>
              <w:ind w:right="828"/>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53"/>
        </w:trPr>
        <w:tc>
          <w:tcPr>
            <w:tcW w:w="766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0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8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66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0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8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340" w:firstLine="74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74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the definitions of “large accelerated filer,” “accelerated filer,” “smaller reporting company,” and </w:t>
      </w:r>
      <w:r>
        <w:rPr>
          <w:rFonts w:ascii="Times New Roman" w:cs="Times New Roman" w:eastAsia="Times New Roman" w:hAnsi="Times New Roman"/>
          <w:sz w:val="16"/>
          <w:szCs w:val="16"/>
          <w:color w:val="auto"/>
        </w:rPr>
        <w:t>“emerging growth company” in Rule 12b-2 of the Exchange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3" w:lineRule="exact"/>
        <w:rPr>
          <w:sz w:val="24"/>
          <w:szCs w:val="24"/>
          <w:color w:val="auto"/>
        </w:rPr>
      </w:pPr>
    </w:p>
    <w:p>
      <w:pPr>
        <w:ind w:right="480" w:firstLine="74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140" w:firstLine="74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760"/>
        <w:spacing w:after="0" w:line="161" w:lineRule="exact"/>
        <w:tabs>
          <w:tab w:leader="none" w:pos="7440" w:val="left"/>
          <w:tab w:leader="none" w:pos="80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June 30, 2021, the aggregate market value of the common stock of the registrant held by non-affiliates was approximately: 478,697,081.</w:t>
      </w:r>
    </w:p>
    <w:p>
      <w:pPr>
        <w:spacing w:after="0" w:line="4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March 31, 2022, the registrant had 38,473,945 shares of common stock, $0.00001 par value per share, outstanding.</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2" w:lineRule="exact"/>
        <w:rPr>
          <w:sz w:val="24"/>
          <w:szCs w:val="24"/>
          <w:color w:val="auto"/>
        </w:rPr>
      </w:pPr>
    </w:p>
    <w:p>
      <w:pPr>
        <w:ind w:right="120" w:firstLine="749"/>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2022 Annual Meeting of Stockholders are incorporated herein by reference in Part III of this Annual Report on Form 10-K. The Proxy Statement will be filed with the Securities and Exchange Commission within 120 days after the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8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00" w:type="dxa"/>
            <w:vAlign w:val="bottom"/>
            <w:vMerge w:val="restart"/>
          </w:tcPr>
          <w:p>
            <w:pPr>
              <w:spacing w:after="0"/>
              <w:rPr>
                <w:rFonts w:ascii="Times New Roman" w:cs="Times New Roman" w:eastAsia="Times New Roman" w:hAnsi="Times New Roman"/>
                <w:sz w:val="18"/>
                <w:szCs w:val="18"/>
                <w:b w:val="1"/>
                <w:bCs w:val="1"/>
                <w:color w:val="0000EE"/>
                <w:w w:val="95"/>
              </w:rPr>
            </w:pPr>
            <w:hyperlink w:anchor="page5">
              <w:r>
                <w:rPr>
                  <w:rFonts w:ascii="Times New Roman" w:cs="Times New Roman" w:eastAsia="Times New Roman" w:hAnsi="Times New Roman"/>
                  <w:sz w:val="18"/>
                  <w:szCs w:val="18"/>
                  <w:b w:val="1"/>
                  <w:bCs w:val="1"/>
                  <w:color w:val="0000EE"/>
                  <w:w w:val="95"/>
                </w:rPr>
                <w:t>PART I</w:t>
              </w:r>
            </w:hyperlink>
          </w:p>
        </w:tc>
        <w:tc>
          <w:tcPr>
            <w:tcW w:w="5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Business</w:t>
              </w:r>
            </w:hyperlink>
          </w:p>
        </w:tc>
        <w:tc>
          <w:tcPr>
            <w:tcW w:w="86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Unresolved Staff Comments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Properties</w:t>
              </w:r>
            </w:hyperlink>
          </w:p>
        </w:tc>
        <w:tc>
          <w:tcPr>
            <w:tcW w:w="72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Legal Proceedings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Mine Safety Disclosures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rFonts w:ascii="Times New Roman" w:cs="Times New Roman" w:eastAsia="Times New Roman" w:hAnsi="Times New Roman"/>
                <w:sz w:val="18"/>
                <w:szCs w:val="18"/>
                <w:b w:val="1"/>
                <w:bCs w:val="1"/>
                <w:color w:val="0000EE"/>
              </w:rPr>
            </w:pPr>
            <w:hyperlink w:anchor="page89">
              <w:r>
                <w:rPr>
                  <w:rFonts w:ascii="Times New Roman" w:cs="Times New Roman" w:eastAsia="Times New Roman" w:hAnsi="Times New Roman"/>
                  <w:sz w:val="18"/>
                  <w:szCs w:val="18"/>
                  <w:b w:val="1"/>
                  <w:bCs w:val="1"/>
                  <w:color w:val="0000EE"/>
                </w:rPr>
                <w:t>PART II</w:t>
              </w:r>
            </w:hyperlink>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500" w:type="dxa"/>
            <w:vAlign w:val="bottom"/>
            <w:gridSpan w:val="3"/>
          </w:tcPr>
          <w:p>
            <w:pPr>
              <w:spacing w:after="0"/>
              <w:rPr>
                <w:sz w:val="18"/>
                <w:szCs w:val="18"/>
                <w:color w:val="auto"/>
              </w:rPr>
            </w:pP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Reserved</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Management’s Discussion and Analysis of Financial Condition and Results of Operation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Quantitative and Qualitative Disclosures About Market Risk</w:t>
              </w:r>
            </w:hyperlink>
          </w:p>
        </w:tc>
        <w:tc>
          <w:tcPr>
            <w:tcW w:w="2020" w:type="dxa"/>
            <w:vAlign w:val="bottom"/>
            <w:tcBorders>
              <w:top w:val="single" w:sz="8" w:color="0000EE"/>
            </w:tcBorders>
            <w:gridSpan w:val="3"/>
          </w:tcPr>
          <w:p>
            <w:pPr>
              <w:spacing w:after="0"/>
              <w:rPr>
                <w:sz w:val="18"/>
                <w:szCs w:val="18"/>
                <w:color w:val="auto"/>
              </w:rPr>
            </w:pPr>
          </w:p>
        </w:tc>
        <w:tc>
          <w:tcPr>
            <w:tcW w:w="29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Controls and Procedures</w:t>
              </w:r>
            </w:hyperlink>
          </w:p>
        </w:tc>
        <w:tc>
          <w:tcPr>
            <w:tcW w:w="2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Disclosure Regarding Foreign Jurisdiction that Prevent Inspections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39"/>
        </w:trPr>
        <w:tc>
          <w:tcPr>
            <w:tcW w:w="76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129">
              <w:r>
                <w:rPr>
                  <w:rFonts w:ascii="Times New Roman" w:cs="Times New Roman" w:eastAsia="Times New Roman" w:hAnsi="Times New Roman"/>
                  <w:sz w:val="18"/>
                  <w:szCs w:val="18"/>
                  <w:b w:val="1"/>
                  <w:bCs w:val="1"/>
                  <w:color w:val="0000EE"/>
                  <w:w w:val="96"/>
                </w:rPr>
                <w:t>PART III</w:t>
              </w:r>
            </w:hyperlink>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Directors, Executive Officers and Corporate Governance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29">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439"/>
        </w:trPr>
        <w:tc>
          <w:tcPr>
            <w:tcW w:w="72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5"/>
              </w:rPr>
            </w:pPr>
            <w:hyperlink w:anchor="page130">
              <w:r>
                <w:rPr>
                  <w:rFonts w:ascii="Times New Roman" w:cs="Times New Roman" w:eastAsia="Times New Roman" w:hAnsi="Times New Roman"/>
                  <w:sz w:val="18"/>
                  <w:szCs w:val="18"/>
                  <w:b w:val="1"/>
                  <w:bCs w:val="1"/>
                  <w:color w:val="0000EE"/>
                  <w:w w:val="95"/>
                </w:rPr>
                <w:t>PART IV</w:t>
              </w:r>
            </w:hyperlink>
          </w:p>
        </w:tc>
        <w:tc>
          <w:tcPr>
            <w:tcW w:w="4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30">
              <w:r>
                <w:rPr>
                  <w:rFonts w:ascii="Times New Roman" w:cs="Times New Roman" w:eastAsia="Times New Roman" w:hAnsi="Times New Roman"/>
                  <w:sz w:val="18"/>
                  <w:szCs w:val="18"/>
                  <w:color w:val="0000EE"/>
                  <w:w w:val="99"/>
                </w:rPr>
                <w:t>Exhibits and Financial Statement Schedules</w:t>
              </w:r>
            </w:hyperlink>
          </w:p>
        </w:tc>
        <w:tc>
          <w:tcPr>
            <w:tcW w:w="61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9300" w:type="dxa"/>
            <w:vAlign w:val="bottom"/>
            <w:gridSpan w:val="20"/>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Form 10-K Summary</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1160" w:type="dxa"/>
            <w:vAlign w:val="bottom"/>
            <w:gridSpan w:val="5"/>
          </w:tcPr>
          <w:p>
            <w:pPr>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Signatures</w:t>
              </w:r>
            </w:hyperlink>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ind w:right="280" w:firstLine="749"/>
        <w:spacing w:after="0" w:line="257" w:lineRule="auto"/>
        <w:rPr>
          <w:sz w:val="20"/>
          <w:szCs w:val="20"/>
          <w:color w:val="auto"/>
        </w:rPr>
      </w:pPr>
      <w:r>
        <w:rPr>
          <w:rFonts w:ascii="Times New Roman" w:cs="Times New Roman" w:eastAsia="Times New Roman" w:hAnsi="Times New Roman"/>
          <w:sz w:val="18"/>
          <w:szCs w:val="18"/>
          <w:color w:val="auto"/>
        </w:rPr>
        <w:t>This Annual Report on Form 10-K, or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86" w:lineRule="exact"/>
        <w:rPr>
          <w:sz w:val="20"/>
          <w:szCs w:val="20"/>
          <w:color w:val="auto"/>
        </w:rPr>
      </w:pPr>
    </w:p>
    <w:p>
      <w:pPr>
        <w:jc w:val="both"/>
        <w:ind w:left="1120" w:right="300" w:hanging="370"/>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120" w:hanging="370"/>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Investigational New Drug and Clinical Trial Agreement submissions, initiation of clinical trials and timing of expected clinical results for TSHA-101 for GM2, TSHA-102 for Rett, TSHA-105 for SLC13A5, TSHA-118 for CLN1, TSHA-120 for GAN and TSHA-121 for CLN7 and any other current and future product candidates that we advance;</w:t>
      </w:r>
    </w:p>
    <w:p>
      <w:pPr>
        <w:spacing w:after="0" w:line="67" w:lineRule="exact"/>
        <w:rPr>
          <w:rFonts w:ascii="Times New Roman" w:cs="Times New Roman" w:eastAsia="Times New Roman" w:hAnsi="Times New Roman"/>
          <w:sz w:val="18"/>
          <w:szCs w:val="18"/>
          <w:color w:val="auto"/>
        </w:rPr>
      </w:pPr>
    </w:p>
    <w:p>
      <w:pPr>
        <w:ind w:left="1120" w:right="5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53" w:lineRule="exact"/>
        <w:rPr>
          <w:rFonts w:ascii="Times New Roman" w:cs="Times New Roman" w:eastAsia="Times New Roman" w:hAnsi="Times New Roman"/>
          <w:sz w:val="18"/>
          <w:szCs w:val="18"/>
          <w:color w:val="auto"/>
        </w:rPr>
      </w:pPr>
    </w:p>
    <w:p>
      <w:pPr>
        <w:ind w:left="1120" w:right="28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the novel strain of coronavirus disease, COVID-19, which could adversely impact our business, including our preclinical studies, clinical supply and clinical trials;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117" w:lineRule="exact"/>
        <w:rPr>
          <w:rFonts w:ascii="Times New Roman" w:cs="Times New Roman" w:eastAsia="Times New Roman" w:hAnsi="Times New Roman"/>
          <w:sz w:val="18"/>
          <w:szCs w:val="18"/>
          <w:color w:val="auto"/>
        </w:rPr>
      </w:pPr>
    </w:p>
    <w:p>
      <w:pPr>
        <w:ind w:left="1120" w:right="44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and commercial viability of our manufacturing methods and processes;</w:t>
      </w:r>
    </w:p>
    <w:p>
      <w:pPr>
        <w:spacing w:after="0" w:line="117" w:lineRule="exact"/>
        <w:rPr>
          <w:rFonts w:ascii="Times New Roman" w:cs="Times New Roman" w:eastAsia="Times New Roman" w:hAnsi="Times New Roman"/>
          <w:sz w:val="18"/>
          <w:szCs w:val="18"/>
          <w:color w:val="auto"/>
        </w:rPr>
      </w:pPr>
    </w:p>
    <w:p>
      <w:pPr>
        <w:ind w:left="1120" w:right="56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TSHA-101, TSHA-102, TSHA-105, TSHA-118, TSHA-120 and TSHA-121 or any other current or future product candidate that we advance;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platform, including our next-generation technologies,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120" w:right="18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120" w:right="14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terms of our term loan agreement;</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 expenses and needs for additional financing;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firstLine="749"/>
        <w:spacing w:after="0" w:line="254"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9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completely and with the understanding that our actual future results may be materially different from what we expect. We qualify all of our forward-looking statements by these cautionary statements.</w:t>
      </w:r>
    </w:p>
    <w:p>
      <w:pPr>
        <w:spacing w:after="0" w:line="270"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All brand names or trademarks appearing in this Annual Report are the property of their respective owners. Solely for convenience, the trademarks and trade names in this Annual Report are referred to without the symbols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284"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report to “Taysha,” the “Company,” “we,” “us,” and “our” refer to Taysha Gene Therapies, Inc. together with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are a patient-centric gene therapy company focused on developing and commercializing AAV-based gene therapies for the treatment of monogenic diseases of the central nervous system, or CNS,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GAN and Rett syndrome. We will conduct small proof-of-concept studies in CLN1 disease and SLC13A5 deficiency. Development of the CLN7 program will continue in collaboration with existing partners with future clinical development to focus on the first-generation construct. All other research and development activities will be paused to increase operational efficiency.</w:t>
      </w:r>
    </w:p>
    <w:p>
      <w:pPr>
        <w:spacing w:after="0" w:line="8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April 2021, we acquired exclusive worldwide rights to TSHA-120, a clinical-stage, intrathecally dosed AAV9 gene therapy program for the treatment of giant axonal neuropathy, or GAN. A Phase 1/2 clinical trial of TSHA-120 is being conducted by the National Institutes of Health, or NIH, under an accepted investigational new drug application, or IND. We reported clinical safety and functional MFM32 data from this trial for the highest dose cohort of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in January 2022, where we saw continued clinically meaningful slowing of disease progression similar to that achieved with the lower dose cohorts, which we considered confirmatory of disease modification. For Rett syndrome, we submitted a CTA filing in November 2021 and announced initiation of clinical development of TSHA-102 under a Clinical Trial Application (CTA) approved by Health Canada in March 2022. We expect to report preliminary clinical data for TSHA-102 in Rett syndrome by year-end 2022. We recently executed an exclusive option from UT Southwestern to license worldwide rights to a clinical-stage CLN7 program. The CLN7 program is currently in a Phase 1 clinical proof-of-concept trial run by UT Southwestern, and we reported preliminary clinical safety data for the first patient in history to be intrathecally dosed at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with the first-generation construct in December 2021. Development of the CLN7 program will continue in collaboration with existing partners with future clinical development to focus on the first-generation construct. We will conduct small proof-of-concept studies in CLN1 disease and SLC13A5 deficiency that we believe can further validate our platform. We plan to initiate clinical development on TSHA-105 for the treatment of SLC13A5 in 2022.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are advancing a deep and sustainable product portfolio of gene therapy product candidates for monogenic diseases of the CNS in both rare and large patient populations, with exclusive options to acquire several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125730</wp:posOffset>
            </wp:positionV>
            <wp:extent cx="6249035" cy="2168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4903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TSHA-120 for Giant Axonal Neuropathy (GAN)</w:t>
      </w:r>
    </w:p>
    <w:p>
      <w:pPr>
        <w:spacing w:after="0" w:line="11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March 2021, we acquired the exclusive worldwide rights to a clinical-stage, intrathecally dosed AAV9 gene therapy program, now known as TSHA-120, for the treatment of giant axonal neuropathy, or GAN, pursuant to a license agreement with Hannah’s Hope Fund for Giant Axonal Neuropathy, Inc., or HHF. Under the terms of the agreement, HHF received an upfront payment of $5.5 million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ind w:right="360"/>
        <w:spacing w:after="0" w:line="282" w:lineRule="auto"/>
        <w:rPr>
          <w:sz w:val="20"/>
          <w:szCs w:val="20"/>
          <w:color w:val="auto"/>
        </w:rPr>
      </w:pPr>
      <w:r>
        <w:rPr>
          <w:rFonts w:ascii="Times New Roman" w:cs="Times New Roman" w:eastAsia="Times New Roman" w:hAnsi="Times New Roman"/>
          <w:sz w:val="18"/>
          <w:szCs w:val="18"/>
          <w:color w:val="auto"/>
        </w:rPr>
        <w:t>will be eligible to receive clinical, regulatory and commercial milestones totaling up to $19.3 million, as well as a low, single-digit royalty on net sales upon commercialization of TSHA-120.</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GAN is a rare autosomal recessive disease of the central and peripheral nervous systems caused by loss-of-function gigaxonin gene mutations.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an estimated 5,000 affected GAN patients in addressable markets.</w:t>
      </w:r>
    </w:p>
    <w:p>
      <w:pPr>
        <w:spacing w:after="0" w:line="31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Symptoms and features of children with GAN usually develop around the age of five years and include an abnormal, wide based, unsteady gait, weakness and some sensory loss. There is often associated dull, tightly curled, coarse hair, giant axons seen on a nerve biopsy, and spinal cord atrophy and white matter abnormality seen on MRI. Symptoms progress and as the children grow older they develop progressive scoliosis and contractures, their weakness progresses to the point where they will need a wheelchair for mobility, respiratory muscle strength diminishes to the point where the child will need a ventilator (usually in the early to mid-teens) and the children often die during their late teens or early twenties, typically due to respiratory failure. There is an early- and late-onset phenotype associated with the disease, with shared physiology. The late-onset phenotype is often categorized as Charcot-Marie-Tooth Type 2, or CMT2, with a lack of tightly curled hair and CNS symptoms with relatively slow progression of disease. This phenotype represents up to 6% of all CMT2 diagnosis. In the late-onset population, patients have poor quality of life but the disease is not life-limiting. In early-onset disease, symptomatic treatments attempt to maximize physical development and minimize the rate of deterioration. Currently, there are no approved disease-modifying treatments available.</w:t>
      </w:r>
    </w:p>
    <w:p>
      <w:pPr>
        <w:spacing w:after="0" w:line="302"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TSHA-120 is an AAV9 self-complementary viral vector encoding the full length human gigaxonin protein. The construct was invented by Dr. Steven Gray and is the first AAV9 gene therapy candidate to deliver a functional copy of the GAN gene under the control of a JeT promoter that drives ubiquitous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191770</wp:posOffset>
            </wp:positionV>
            <wp:extent cx="5426075" cy="1748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2607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for TSHA-120 for the treatment of GAN.</w:t>
      </w:r>
    </w:p>
    <w:p>
      <w:pPr>
        <w:spacing w:after="0" w:line="33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There is an ongoing longitudinal prospective natural history study being led by the NIH, that has already identified and followed a number of patients with GAN for over five years with disease progression characterized by a number of clinical assessments. The GAN natural history study was initiated in 2013 and included 45 patients with GAN, aged 3 to 21 years. Imaging data from this study have demonstrated that there are distinctive increased T2 signal abnormalities within the cerebellar white matter surrounding the dentate nucleus of the cerebellum, which represent one of the earliest brain imaging findings in individuals with GAN. These findings precede the more widespread periventricular and deep white matter signal abnormalities associated with advanced disease. In addition, cortical and spinal cord atrophy appeared to correspond to more advanced disease severity and older age. Impaired pulmonary function in patients with GAN also was observed, with forced vital capacity correlating well with several functional outcomes such as the MFM32, a validated 32-item scale for motor function measurement developed for neuromuscular diseases. Nocturnal hypoventilation and sleep apnea progressed over time, with sleep apnea worsening as ambulatory function deteriorated. Total MFM32 score also correlated with ambulatory status, where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independently ambulant individuals performed better and had higher MFM32 scores than the non-ambulant group, as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222885</wp:posOffset>
            </wp:positionV>
            <wp:extent cx="3068955" cy="3609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68955" cy="360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Patients also reported significant autonomic dysfunction based on the COMPASS 31 self-assessment questionnaire. In addition, nerve conduction function demonstrated progressive sensorimotor polyneuropathy with age. As would be expected for a neurodegenerative disease, younger patients have higher baseline MFM32 scores. However, the rate of decline in the MFM32 scores demonstrated consistency across patients of all ages, with most demonstrating an average 8-point decline per year regardless of age and/or baseline MFM32 score, as shown in the natural history plot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194310</wp:posOffset>
            </wp:positionV>
            <wp:extent cx="3042920" cy="2459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4292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4-point score change in the MFM32 is considered clinically meaningful, suggesting that patients with GAN lose significant function annually.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up to eight years of robust data from this study.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117" w:lineRule="exact"/>
        <w:rPr>
          <w:sz w:val="20"/>
          <w:szCs w:val="20"/>
          <w:color w:val="auto"/>
        </w:rPr>
      </w:pPr>
    </w:p>
    <w:p>
      <w:pPr>
        <w:jc w:val="both"/>
        <w:ind w:right="180" w:firstLine="749"/>
        <w:spacing w:after="0" w:line="267" w:lineRule="auto"/>
        <w:rPr>
          <w:sz w:val="20"/>
          <w:szCs w:val="20"/>
          <w:color w:val="auto"/>
        </w:rPr>
      </w:pPr>
      <w:r>
        <w:rPr>
          <w:rFonts w:ascii="Times New Roman" w:cs="Times New Roman" w:eastAsia="Times New Roman" w:hAnsi="Times New Roman"/>
          <w:sz w:val="18"/>
          <w:szCs w:val="18"/>
          <w:color w:val="auto"/>
        </w:rPr>
        <w:t xml:space="preserve">TSHA-120 performed well across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and demonstrated improved motor function and nerve pathology, and long-term safety across several animal models. Of note, improved dorsal root ganglia, or DRG, pathology was demonstrated in TSHA-120-treated GAN knockout mice. These preclinical results have been published in a number of peer-reviewed journals.</w:t>
      </w:r>
    </w:p>
    <w:p>
      <w:pPr>
        <w:spacing w:after="0" w:line="2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Additional preclinical data from a GAN knockout rodent model that had received AAV9-mediated GAN gene therapy demonstrated that GAN rodents treated at 16 months performed significantly better than 18-month old untreated GAN rodents and equivalently to controls. These rodents were evaluated using a rotarod performance test which is designed to evaluate endurance, balance, grip strength and motor coordination in rodents. The time to fall off the rotarod, known as latency, was also evaluated and the data below demonstrated the clear difference in latency in treated versus untreated GAN rodents.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196850</wp:posOffset>
            </wp:positionV>
            <wp:extent cx="4329430" cy="2708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2943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 result is considered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9" w:right="439" w:bottom="1440" w:gutter="0" w:footer="0" w:header="0"/>
        </w:sectPr>
      </w:pPr>
    </w:p>
    <w:bookmarkStart w:id="8" w:name="page9"/>
    <w:bookmarkEnd w:id="8"/>
    <w:p>
      <w:pPr>
        <w:ind w:firstLine="749"/>
        <w:spacing w:after="0" w:line="256" w:lineRule="auto"/>
        <w:rPr>
          <w:sz w:val="20"/>
          <w:szCs w:val="20"/>
          <w:color w:val="auto"/>
        </w:rPr>
      </w:pPr>
      <w:r>
        <w:rPr>
          <w:rFonts w:ascii="Times New Roman" w:cs="Times New Roman" w:eastAsia="Times New Roman" w:hAnsi="Times New Roman"/>
          <w:sz w:val="18"/>
          <w:szCs w:val="18"/>
          <w:color w:val="auto"/>
        </w:rPr>
        <w:t>With respect to DRG inflammation, a topic of considerable interest within the gene therapy arena, the DRG have a significantly abnormal histological appearance and function as a consequence of underlying disease pathophysiology. Treatment with TSHA-120 resulted in considerable improvements in the pathological appearance of the DRG in the GAN knockout mice. Shown below is tissue from a GAN knockout mouse model with numerous abnormal neuronal inclusions containing aggregates of damaged neurofilament in the DRG as indicated by the yellow arrows. On image C, tissue from the GAN knockout mice treated with an intrathecal (IT) injection of TSHA-120 had a notable improvement in the reduction of these neuronal inclusions in the DRG.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199390</wp:posOffset>
            </wp:positionV>
            <wp:extent cx="5666105" cy="2143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610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firstLine="749"/>
        <w:spacing w:after="0" w:line="312" w:lineRule="auto"/>
        <w:rPr>
          <w:sz w:val="20"/>
          <w:szCs w:val="20"/>
          <w:color w:val="auto"/>
        </w:rPr>
      </w:pPr>
      <w:r>
        <w:rPr>
          <w:rFonts w:ascii="Times New Roman" w:cs="Times New Roman" w:eastAsia="Times New Roman" w:hAnsi="Times New Roman"/>
          <w:sz w:val="17"/>
          <w:szCs w:val="17"/>
          <w:color w:val="auto"/>
        </w:rPr>
        <w:t>When a quantitative approach to reduce inclusions in the DRG was applied, it was observed that TSHA-120 treated mice experienced a statistically significant reduction in the average number of neuronal inclusions versus the GAN knockout mice that received vehicle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168910</wp:posOffset>
            </wp:positionV>
            <wp:extent cx="3120390" cy="3137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039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8"/>
          <w:szCs w:val="18"/>
          <w:color w:val="auto"/>
        </w:rPr>
        <w:t>Additionally, TSHA-120 demonstrated improved pathology of the sciatic nerve in the GAN knockout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222885</wp:posOffset>
            </wp:positionV>
            <wp:extent cx="6172200" cy="3103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Results of Ongoing Phase 1/2 Clinical Trial</w:t>
      </w:r>
    </w:p>
    <w:p>
      <w:pPr>
        <w:spacing w:after="0" w:line="119"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A Phase 1/2 clinical trial of TSHA-120 is being conducted by the NIH under an accepted IND. The ongoing trial is a single-site, open-label, non-randomized dose-escalation trial, in which patients are intrathecally dosed with one of 4 dose levels of TSHA-120 – 3.5x10</w:t>
      </w:r>
      <w:r>
        <w:rPr>
          <w:rFonts w:ascii="Times New Roman" w:cs="Times New Roman" w:eastAsia="Times New Roman" w:hAnsi="Times New Roman"/>
          <w:sz w:val="15"/>
          <w:szCs w:val="15"/>
          <w:color w:val="auto"/>
        </w:rPr>
        <w:t>13</w:t>
      </w:r>
      <w:r>
        <w:rPr>
          <w:rFonts w:ascii="Times New Roman" w:cs="Times New Roman" w:eastAsia="Times New Roman" w:hAnsi="Times New Roman"/>
          <w:sz w:val="18"/>
          <w:szCs w:val="18"/>
          <w:color w:val="auto"/>
        </w:rPr>
        <w:t xml:space="preserve"> total vg, 1.2x10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1.8x10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or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The primary endpoint is to assess safety, with secondary endpoints measuring efficacy using pathologic, physiologic, functional, and clinical markers. To date, 14 patients have been intrathecally dosed and twelve patients have at least three years’ worth of long-term follow up data.</w:t>
      </w:r>
    </w:p>
    <w:p>
      <w:pPr>
        <w:spacing w:after="0" w:line="29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At 1-year post-gene transfer, a clinically meaningful and statistically significant slowing or halting of disease progression was seen with TSHA-120 at the highest dose of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(n=3). The change in the rate of decline in the MFM32 score improved by 5 points in the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cohort compared to an 8-point decline in natural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260350</wp:posOffset>
            </wp:positionV>
            <wp:extent cx="4577715" cy="2425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7771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firstLine="749"/>
        <w:spacing w:after="0" w:line="256" w:lineRule="auto"/>
        <w:rPr>
          <w:sz w:val="20"/>
          <w:szCs w:val="20"/>
          <w:color w:val="auto"/>
        </w:rPr>
      </w:pPr>
      <w:r>
        <w:rPr>
          <w:rFonts w:ascii="Times New Roman" w:cs="Times New Roman" w:eastAsia="Times New Roman" w:hAnsi="Times New Roman"/>
          <w:sz w:val="18"/>
          <w:szCs w:val="18"/>
          <w:color w:val="auto"/>
        </w:rPr>
        <w:t>Although the change in the MFM32 score was clinically meaningful, we might have expected a greater change in the MFM32 score compared to natural history in the first year but one patient in the high dose cohort was a delayed responder. At the 12-month follow-up visit, the patient had a 7-point decline in the MFM32 total score that was similar to the slope of the natural history curve as shown below. Notably, from Year 1 post gene transfer to Year 2, this patient’s change in the MFM32 score remained unchanged suggesting stabilization of disease at 2 years post-treatment. At that 2-year post treatment timepoint, there was a 9-point improvement in the patient’s MFM32 score compared to the estimated natural history decline of 16 points. The annualized estimate of natural history over time assumes the same rate of decline as in Year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199390</wp:posOffset>
            </wp:positionV>
            <wp:extent cx="4183380" cy="3780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8338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1" w:name="page12"/>
    <w:bookmarkEnd w:id="11"/>
    <w:p>
      <w:pPr>
        <w:ind w:firstLine="749"/>
        <w:spacing w:after="0" w:line="266" w:lineRule="auto"/>
        <w:rPr>
          <w:sz w:val="20"/>
          <w:szCs w:val="20"/>
          <w:color w:val="auto"/>
        </w:rPr>
      </w:pPr>
      <w:r>
        <w:rPr>
          <w:rFonts w:ascii="Times New Roman" w:cs="Times New Roman" w:eastAsia="Times New Roman" w:hAnsi="Times New Roman"/>
          <w:sz w:val="18"/>
          <w:szCs w:val="18"/>
          <w:color w:val="auto"/>
        </w:rPr>
        <w:t>An additional analysis was performed to examine the change in the rate of decline in the MFM32 score of all therapeutic doses combined (n=12). As shown below, the change in the rate of decline in the MFM32 score improved by 7 points by Year 1 compared to the natural history decline in the MFM32 score of 8 points. This result was clinically meaningful and statistically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191770</wp:posOffset>
            </wp:positionV>
            <wp:extent cx="4509135" cy="258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913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 Bayesian analysis was conducted on the 1.2x10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1.8x10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and 3.5x10</w:t>
      </w:r>
      <w:r>
        <w:rPr>
          <w:rFonts w:ascii="Times New Roman" w:cs="Times New Roman" w:eastAsia="Times New Roman" w:hAnsi="Times New Roman"/>
          <w:sz w:val="15"/>
          <w:szCs w:val="15"/>
          <w:color w:val="auto"/>
          <w:strike w:val="1"/>
        </w:rPr>
        <w:t>14</w:t>
      </w:r>
      <w:r>
        <w:rPr>
          <w:rFonts w:ascii="Times New Roman" w:cs="Times New Roman" w:eastAsia="Times New Roman" w:hAnsi="Times New Roman"/>
          <w:sz w:val="18"/>
          <w:szCs w:val="18"/>
          <w:color w:val="auto"/>
        </w:rPr>
        <w:t xml:space="preserve"> total vg dose cohorts at Year 1 to assess the probability of clinically meaningful slowing of disease progression as compared to natural history. This type of statistical analysis enables direct probability statements to be made and is both useful and accepted by regulatory agencies in interventional studies of rare diseases and small patient populations. As shown in the table below, for all therapeutic dose cohorts, there was nearly 100% probability of any slowing of disease and a 96.7% probability of clinically meaningful slowing of 50% or more following treatment with TSHA-120 compared to natural history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128270</wp:posOffset>
            </wp:positionV>
            <wp:extent cx="4697730" cy="1217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9773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There remained consistent improvement in TSHA-120’s effect over time on the mean change from baseline in the MFM32 score for all patients in the therapeutic dose cohorts compared to the estimated natural history decline over the years. By Year 3, as depicted below, there was a 10-point improvement in the mean change from baseline in MFM32 score for all patients in the therapeutic dose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397510</wp:posOffset>
            </wp:positionV>
            <wp:extent cx="5074920" cy="256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749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compelling three-year data, there was one patient at Year 5 whose MFM32 change from baseline improved by nearly 26-points in the 1.2x10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dose cohort compared to the estimated natural history decline of 40 points by this timepoint.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114300</wp:posOffset>
            </wp:positionV>
            <wp:extent cx="3642995" cy="3334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4299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3" w:name="page14"/>
    <w:bookmarkEnd w:id="13"/>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Below is an additional analysis of the mean change from baseline in MFM32 score for the therapeutic dose cohorts compared to natural history at patients’ last visit. As shown, TSHA-120 demonstrated increasing improvement in the mean change in MFM32 score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320040</wp:posOffset>
            </wp:positionV>
            <wp:extent cx="5366385" cy="2648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6638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Secondary Endpoints</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Below is pathology data from biopsies of the superficial radial sensory nerve in 5 out of 6 patient samples analyzed. The remaining patient samples are currently being analyzed. These biopsies confirmed that treatment with TSHA-120 stimulated active regeneration of axons. There was an increase in the number of regenerative clusters observed at Year 1 compared to baseline, indicating active regeneration of nerve fibers following TSHA-120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194310</wp:posOffset>
            </wp:positionV>
            <wp:extent cx="4440555" cy="2957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4055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firstLine="749"/>
        <w:spacing w:after="0" w:line="255" w:lineRule="auto"/>
        <w:rPr>
          <w:sz w:val="20"/>
          <w:szCs w:val="20"/>
          <w:color w:val="auto"/>
        </w:rPr>
      </w:pPr>
      <w:r>
        <w:rPr>
          <w:rFonts w:ascii="Times New Roman" w:cs="Times New Roman" w:eastAsia="Times New Roman" w:hAnsi="Times New Roman"/>
          <w:sz w:val="18"/>
          <w:szCs w:val="18"/>
          <w:color w:val="auto"/>
        </w:rPr>
        <w:t>Loss of vision has been frequently cited by patients and caregivers as a symptom they find particularly debilitating and would like to see improvement in following treatment. Patients were analyzed for visual acuity using a standard Logarithm of the Minimum Angle of Resolution, or LogMAR. An increase in LogMAR score represents a decrease in visual acuity. A LogMAR score of 0 means normal vision, approximately 0.3 reflects the need for eyeglasses, and a score value of 1.0 reflects blindness. Based on natural history, individuals with GAN experience a progressive loss in visual function as indicated by an increase in the LogMAR score. Ophthalmologic assessments following treatment with TSHA-120 demonstrated preservation of visual acuity over time compared to the loss of visual acuity observed in natural history. Stabilization of visual acuity was observed following treatment with TSHA-120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200025</wp:posOffset>
            </wp:positionV>
            <wp:extent cx="4371975" cy="2734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7197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thickness of the retinal nerve fiber layer or RNFL was also examined as an objective biomarker of visual system involvement and overall nervous system degeneration in GAN. Treatment with TSHA-120 resulted in stabilization of RNFL thickness and prevention of axonal nerve degeneration compared to diffuse thinning of RNFL observed in natural history as measured by optical coherence tomography, or OCT. Analysis by individual dose groups, as seen on the graph below, demonstrated relatively stable RNFL thickness which is in contrast to the natural history of GAN, where RNFL decreases. Overall, these data provide new evidence of TSHA-120’s ability to generate nerve fibers and preserve visual acuity.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196850</wp:posOffset>
            </wp:positionV>
            <wp:extent cx="4680585" cy="2888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8058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11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To date, there are 53 patient-years of clinical data to support TSHA-120’s favorable safety and tolerability profile. TSHA-120 has been well-tolerated at multiple doses with no signs of significant acute or subacute inflammation, no sudden sensory changes and no drug-related or persisting transaminitis. Adverse events related to immunosuppression or study procedures were similar to what has been seen with other gene therapies and transient in nature. There was no increase in incidence of adverse events with increased dose. Importantly, TSHA-120 was safely dosed in the presence of neutralizing antibodies as a result of the combination of route of administration, dosing and immunosuppression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196850</wp:posOffset>
            </wp:positionV>
            <wp:extent cx="3642995" cy="2468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429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Currently in the GAN program, we have up to six years of longitudinal data in individual patients and collectively 53-patient years of clinical safety and efficacy data from our ongoing clinical study. Treatment with TSHA-120 was well-tolerated with no significant safety issues. There was no increase in incidence of adverse events with increased dose, no dose-limiting toxicity, no signs of acute or subacute inflammation, no sudden sensory changes and no drug-related or persistent elevation of transaminases. Adverse events related to immunosuppression or study procedures were similar to what was seen with other gene therapies and transient in nature.</w:t>
      </w:r>
    </w:p>
    <w:p>
      <w:pPr>
        <w:spacing w:after="0" w:line="29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 September 2021, we submitted a request a Scientific Advice meeting with an ex-US regulatory agency for TSHA-120 and had a meeting in January 2022. Additional discussions with other Health Authorities are planned and regulatory feedback is anticipated mid-2022.</w:t>
      </w:r>
    </w:p>
    <w:p>
      <w:pPr>
        <w:spacing w:after="0" w:line="270"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7"/>
          <w:szCs w:val="17"/>
          <w:color w:val="auto"/>
        </w:rPr>
        <w:t>We have finalized plans for commercial grade material and initiated development of the comparability protocol to support regulatory submissions. An engineering run is currently underway. We anticipate completion of a validation lot by the third quarter of 2022. In addition, we expect to hold discussions with major regulatory agencies focused on the registration pathway for TSHA-120. We will continue our institutional readiness activities, patient identification and maximizing patient access. Lastly, we anticipate several publications of these data by the NIH in collaboration with Taysha.</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TSHA-102 for Rett Syndrome</w:t>
      </w:r>
    </w:p>
    <w:p>
      <w:pPr>
        <w:spacing w:after="0" w:line="22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TSHA-102, a neurodevelopmental disorder product candidate, is being developed for the treatment of Rett syndrome, one of the most common genetic causes of severe intellectual disability, characterized by rapid developmental regression and in many cases caused by heterozygous loss of function mutations in MECP2, a gene essential for neuronal and synaptic function in the brain. We designed TSHA-102 to prevent gene overexpression-related toxicity by inserting microRNA, or miRNA target binding sites into the 3’ untranslated region of viral genomes. This overexpression of MECP2 is seen in the clinic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 Currently, there are no approved therapies for the treatment of Rett syndrome, which affects more than 350,000 patients worldwide, according to the Rett Syndrome Research Trust.</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sectPr>
      </w:pPr>
    </w:p>
    <w:bookmarkStart w:id="16" w:name="page17"/>
    <w:bookmarkEnd w:id="16"/>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May 2021, preclinical data from the ongoing natural history study for TSHA-102 were published online in </w:t>
      </w:r>
      <w:r>
        <w:rPr>
          <w:rFonts w:ascii="Times New Roman" w:cs="Times New Roman" w:eastAsia="Times New Roman" w:hAnsi="Times New Roman"/>
          <w:sz w:val="18"/>
          <w:szCs w:val="18"/>
          <w:i w:val="1"/>
          <w:iCs w:val="1"/>
          <w:color w:val="auto"/>
        </w:rPr>
        <w:t>Brain</w:t>
      </w:r>
      <w:r>
        <w:rPr>
          <w:rFonts w:ascii="Times New Roman" w:cs="Times New Roman" w:eastAsia="Times New Roman" w:hAnsi="Times New Roman"/>
          <w:sz w:val="18"/>
          <w:szCs w:val="18"/>
          <w:color w:val="auto"/>
        </w:rPr>
        <w:t>, a highly esteemed neurological science peer-reviewed journal. The preclinical study was conducted by the UT Southwestern Medical Center laboratory of Sarah Sinnett, Ph.D., and evaluated the safety and efficacy of regulated miniMECP2 gene transfer, TSHA-102 (AAV9/miniMECP2-miRARE), via IT administration in adolescent mice between four and five weeks of age. TSHA-102 was compared to unregulated full length MECP2 (AAV9/MECP2) and unregulated miniMECP2 (AAV9/miniMECP2).</w:t>
      </w:r>
    </w:p>
    <w:p>
      <w:pPr>
        <w:spacing w:after="0" w:line="293"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TSHA-102 extended knockout survival by 56% via IT delivery. In contrast, the unregulated miniMECP2 gene transfer failed to significantly extend knockout survival at either dose tested. Additionally, the unregulated full-length MECP2 construct did not demonstrate a significant extension in survival and was associated with an unacceptable toxicity profile in wild type mice.</w:t>
      </w:r>
    </w:p>
    <w:p>
      <w:pPr>
        <w:spacing w:after="0" w:line="28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survival, behavioral side effects were explored. Mice were subjected to phenotypic scoring and a battery of tests including gait, hindlimb clasping, tremor and others to comprise an aggregate behavioral score. miRARE attenuated miniMECP2-mediated aggravation in wild type aggregate phenotype severity scores. Mice were scored on an aggregate severity scale using an established protocol. AAV9/MECP2- and AAV9/miniMECP2-treated wild type mice had a significantly higher mean (worse) aggregate behavioral severity score versus that observed for saline-treated mice (p &lt;0.05; at 6–30 and 7–27 weeks of age, respectively). TSHA-102-treated wild type mice had a significantly lower (better) mean aggregate severity score versus those of AAV9/MECP2- and AAV9/miniMECP2-treated mice at most timepoints from 11–19 and 9–20 weeks of age, respectively. No significant difference was observed between saline- and TSHA-102-treated wild type mice.</w:t>
      </w:r>
    </w:p>
    <w:p>
      <w:pPr>
        <w:spacing w:after="0" w:line="29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miRARE-mediated genotype-dependent gene regulation was demonstrated by analyzing tissue sections from wild type and knockout mice treated with AAV9 vectors given intrathecally. When knockout mice were injected with a vector expressing the mini-MECP2 transgene with and without the miRARE element, miRARE reduced overall miniMECP2 transgene expression compared to unregulated miniMECP2 in wild type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194310</wp:posOffset>
            </wp:positionV>
            <wp:extent cx="5434965" cy="2794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3496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 w:name="page18"/>
    <w:bookmarkEnd w:id="17"/>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TSHA-102 demonstrated regulated expression in different regions of the brain. As shown in the graph and photos below, in the pons and midbrain, miRARE inhibited mean MECP2 gene expression in a genotype-dependent manner as indicated by significantly fewer myc(+) cells observed in wild type mice compared to knockout mice (p&lt;0.05), thereby demonstrating that TSHA-102 achieved MECP2 expression levels similar to normal physiological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194310</wp:posOffset>
            </wp:positionV>
            <wp:extent cx="4783455" cy="5452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83455" cy="545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preclinical animal models, intrathecal myc-tagged TSHA-102 was not associated with early death and did not cause adverse behavioral side effects in wild type mice demonstrating appropriate downregulation of miniMECP2 protein expression as compared to unregulated MECP2 gene therapy constructs. In addition, preclinical data demonstrated that miRARE reduced overall expression of miniMECP2 transgene expression and regulated genotype-dependent myc-tagged miniMECP2 expression across different brain regions on a cell-by-cell basis and improved the safety of TSHA-102 without compromising efficacy in juvenile mice. Pharmacologic activity of TSHA-102 following IT administration was assessed in the MECP2 knockout mouse model of Rett syndrome across three dose levels and three age groups (n=252). A one-time IT injection of TSHA-102 significantly increased survival at all dose levels, with the mid to high doses improving survival across all age groups compared to vehicle-treated controls. Treatment with TSHA-102 significantly improved body weight, motor function and respiratory assessments in MECP2 knockout mice. An additional study in neonatal mice is ongoing, and preliminary data suggest normalization of survival. Finally, An IND/CTA-enabling 6-month GLP toxicology study (n=24) examined the biodistribution, toxicological effects and mechanism of action of TSHA-102 when intrathecally administered to NHPs across three dose levels. Biodistribution, as reflected by DNA copy number, was observed in multiple areas of the brain, sections of spinal cord and the dorsal root ganglion (DRG). Importantly, mRNA levels across multiple tissues were low, indicating miRARE regulation is minimizing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8" w:name="page19"/>
    <w:bookmarkEnd w:id="18"/>
    <w:p>
      <w:pPr>
        <w:ind w:right="340"/>
        <w:spacing w:after="0" w:line="266" w:lineRule="auto"/>
        <w:rPr>
          <w:sz w:val="20"/>
          <w:szCs w:val="20"/>
          <w:color w:val="auto"/>
        </w:rPr>
      </w:pPr>
      <w:r>
        <w:rPr>
          <w:rFonts w:ascii="Times New Roman" w:cs="Times New Roman" w:eastAsia="Times New Roman" w:hAnsi="Times New Roman"/>
          <w:sz w:val="18"/>
          <w:szCs w:val="18"/>
          <w:color w:val="auto"/>
        </w:rPr>
        <w:t>transgene expression from the construct in the presence of endogenous MECP2 as expected, despite the high levels of DNA that were delivered. No toxicity from transgene overexpression was observed, confirmed by functional and histopathologic evaluations demonstrating no detrimental change in neurobehavioral assessments and no adverse tissue findings on necropsy.</w:t>
      </w:r>
    </w:p>
    <w:p>
      <w:pPr>
        <w:spacing w:after="0" w:line="108"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TSHA-102 for the treatment of Rett syndrome.</w:t>
      </w:r>
    </w:p>
    <w:p>
      <w:pPr>
        <w:spacing w:after="0" w:line="270"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We submitted a CTA for TSHA-102 in November 2021 and announced initiation of clinical development under a CTA approved by Health Canada in March 2022. We expect to report preliminary clinical data for TSHA-102 in Rett syndrome by year-end 2022.</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TSHA-121 for CLN7 Disease</w:t>
      </w:r>
    </w:p>
    <w:p>
      <w:pPr>
        <w:spacing w:after="0" w:line="119" w:lineRule="exact"/>
        <w:rPr>
          <w:sz w:val="20"/>
          <w:szCs w:val="20"/>
          <w:color w:val="auto"/>
        </w:rPr>
      </w:pPr>
    </w:p>
    <w:p>
      <w:pPr>
        <w:ind w:right="300" w:firstLine="749"/>
        <w:spacing w:after="0" w:line="255" w:lineRule="auto"/>
        <w:rPr>
          <w:sz w:val="20"/>
          <w:szCs w:val="20"/>
          <w:color w:val="auto"/>
        </w:rPr>
      </w:pPr>
      <w:r>
        <w:rPr>
          <w:rFonts w:ascii="Times New Roman" w:cs="Times New Roman" w:eastAsia="Times New Roman" w:hAnsi="Times New Roman"/>
          <w:sz w:val="18"/>
          <w:szCs w:val="18"/>
          <w:color w:val="auto"/>
        </w:rPr>
        <w:t>The first-generation construct for the CLN7 program was developed in the laboratory of Steven Gray, Ph.D., Associate Professor at UT Southwestern Medical Center and our Chief Scientific Advisor with financial support from Mila’s Miracle and Batten Hope, the leading CLN7 patient advocacy groups. We provided a grant to Batten Hope to support patient awareness, disease education and newborn screening initiatives. We recently executed an exclusive option from UT Southwestern to license worldwide rights to a clinical-stage CLN7 program. The CLN7 program is currently in a Phase 1 clinical proof-of-concept trial run by UT Southwestern, and we reported preliminary clinical safety data for the first patient in history to be intrathecally dosed at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with the first-generation construct in December 2021. Development of the CLN7 program will continue in collaboration with existing partners with future clinical development to focus on the first-generation construct.</w:t>
      </w:r>
    </w:p>
    <w:p>
      <w:pPr>
        <w:spacing w:after="0" w:line="81"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CLN7 disease is a rare, fatal and rapidly progressive neurodegenerative disease that is a form of Batten disease. CLN7 is caused by autosomal recessive mutations in the MFSD8 gene that results in lysosomal dysfunction. Disease onset occurs around two to five years of age, with death often ensuing in young adolescence. Patients experience gradual nerve cell loss in certain parts of the brain and typically present with seizures, vision loss, speech impairment and mental and motor regression. Currently, there are no approved therapies to treat CLN7 disease, which impacts an estimated 4,000 patients globally. Preclinical data in rodents supported advancement of the first-generation construct into a Phase 1 clinical proof-of-concept study in patients with CLN7 disease.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study, IT administration of the first-generation construct to MFSD8 knockout mice with high or low doses resulted in clear age and dose effects with early intervention and high dose achieving the best therapeutic benefits. IT high dose of the first-generation construct in younger knockout mice resulted in: 1) widespread MFSD8 mRNA expression in all tissues assessed; 2) nearly complete normalization of impaired open field and rotarod performance at 6 and 9 months post injection; 3) more than doubled median life expectancy (16.82 months versus 7.77 months in untreated knockout mice); and 4) maintenance of healthy body weight for a prolonged period of time. Toxicology studies in wild type rodents demonstrated safety and tolerability of IT administration of the first-generation construct.</w:t>
      </w:r>
    </w:p>
    <w:p>
      <w:pPr>
        <w:spacing w:after="0" w:line="8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Clinical safety data presented at WORLDSymposium in February 2022 for the first-generation construct from the ongoing clinical trial following IT administration further demonstrated that the first-generation construct was well-tolerated at multiple doses including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which is the highest dose administered in humans ever for a gene therapy product. No adverse immune responses were noted, including no evidence of dorsal root ganglion toxicity or brain inflammation across all subjects. Moreover, stabilization in sural nerve conduction supported the absence of dorsal root ganglia inflammation. The ongoing trial includes three patients dosed to date, with two patients treated at the highest dose of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Complete blood counts revealed no signs of bone marrow suppression or clinically significant bone marrow reactivity, and CSF analysis revealed no signs of pleocytosis. A fourth patient was recently dosed at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in March 2022.</w:t>
      </w:r>
    </w:p>
    <w:p>
      <w:pPr>
        <w:spacing w:after="0" w:line="112" w:lineRule="exact"/>
        <w:rPr>
          <w:sz w:val="20"/>
          <w:szCs w:val="20"/>
          <w:color w:val="auto"/>
        </w:rPr>
      </w:pPr>
    </w:p>
    <w:p>
      <w:pPr>
        <w:ind w:left="760"/>
        <w:spacing w:after="0"/>
        <w:rPr>
          <w:sz w:val="20"/>
          <w:szCs w:val="20"/>
          <w:color w:val="auto"/>
        </w:rPr>
      </w:pPr>
      <w:r>
        <w:rPr>
          <w:rFonts w:ascii="Calibri" w:cs="Calibri" w:eastAsia="Calibri" w:hAnsi="Calibri"/>
          <w:sz w:val="18"/>
          <w:szCs w:val="18"/>
          <w:i w:val="1"/>
          <w:iCs w:val="1"/>
          <w:color w:val="auto"/>
        </w:rPr>
        <w:t>TSHA-118 for CLN1 Disease</w:t>
      </w:r>
    </w:p>
    <w:p>
      <w:pPr>
        <w:spacing w:after="0" w:line="11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or PPT1,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spacing w:after="0" w:line="29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or NCL, diseases that involve mutations in soluble enzymes, in part, due to cross-correction of neighboring non-transduced cells.</w:t>
      </w:r>
    </w:p>
    <w:p>
      <w:pPr>
        <w:spacing w:after="0" w:line="28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the introduction of a functional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spacing w:after="0" w:line="293"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TSHA-118 has been granted orphan drug designation, rare pediatric disease designation and fast track designation from the FDA and orphan drug designation from the European Medicines Agency for the treatment of CLN1 disease.</w:t>
      </w:r>
    </w:p>
    <w:p>
      <w:pPr>
        <w:spacing w:after="0" w:line="27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There is currently an open IND for the CLN1 program. We submitted a CTA filing for TSHA-118 which was approved by Health Canada in 2021 and have initiated clinical development.</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TSHA-105 for SLC13A5 Deficiency</w:t>
      </w:r>
    </w:p>
    <w:p>
      <w:pPr>
        <w:spacing w:after="0" w:line="11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We are developing TSHA-105 for the treatment of SLC13A5 deficiency, a rare autosomal recessive epileptic encephalopathy characterized by the onset of seizures within the first few days of life. SLC13A5 deficiency is caused by bi-allelic loss-of function mutations in the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spacing w:after="0" w:line="297"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We are developing TSHA-105 as a gene replacement therapy for SLC13A5 deficiency. TSHA-105 is constructed from a codon-optimized human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packaged in a self-complementary AAV9 capsid.</w:t>
      </w:r>
    </w:p>
    <w:p>
      <w:pPr>
        <w:spacing w:after="0" w:line="270"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TSHA-105 for the treatment of epilepsy caused by caused by SLC13A5 deficiency. We expect to initiate clinical development on TSHA-105 in SLC13A5 deficiency in 2022.</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0" w:name="page21"/>
    <w:bookmarkEnd w:id="20"/>
    <w:p>
      <w:pPr>
        <w:ind w:left="760"/>
        <w:spacing w:after="0"/>
        <w:rPr>
          <w:sz w:val="20"/>
          <w:szCs w:val="20"/>
          <w:color w:val="auto"/>
        </w:rPr>
      </w:pPr>
      <w:r>
        <w:rPr>
          <w:rFonts w:ascii="Times New Roman" w:cs="Times New Roman" w:eastAsia="Times New Roman" w:hAnsi="Times New Roman"/>
          <w:sz w:val="18"/>
          <w:szCs w:val="18"/>
          <w:i w:val="1"/>
          <w:iCs w:val="1"/>
          <w:color w:val="auto"/>
        </w:rPr>
        <w:t>TSHA-101 for GM2 Gangliosidosis</w:t>
      </w:r>
    </w:p>
    <w:p>
      <w:pPr>
        <w:spacing w:after="0" w:line="11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GM2 gangliosidosis, which comprises Tay-Sachs disease and Sandhoff disease, refers to a group of lysosomal storage disorders caused by accumulation of the GM2 ganglioside in the lysosomes of cells within the CNS. Gangliosides are lipid components of cell membranes particularly abundant in the plasma membranes of neurons. Accumulation of GM2 ganglioside is caused by a deficiency in the Hex A enzyme, which is responsible for hydrolysis, or breakdown, of the GM2 ganglioside. This accumulation results in lysosomal rupture, leading to a poorly understood inflammatory cascade that results in neuronal cell death and neurodegeneration. The global incidence of GM2 gangliosidosis is approximately one per 150,000 live births. Approximately 80% to 85% of patients are diagnosed with an infantile form of GM2 gangliosidosis, with the remainder diagnosed with a juvenile or early-adulthood form of the disease. There are no approved therapies for the treatment of GM2 gangliosidosis, and care is generally palliative. Children diagnosed with GM2 gangliosidosis appear normal at birth but experience rapid neurodegeneration, culminating in death before the age of four, and patients with juvenile GM2 gangliosidosis rarely survive beyond their mid-teens as depicted below. The estimated prevalence of GM2 gangliosidosis is 500 patients in the United States and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271780</wp:posOffset>
            </wp:positionV>
            <wp:extent cx="5297805" cy="3171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9780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21" w:name="page22"/>
    <w:bookmarkEnd w:id="21"/>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Hex A enzyme is a heterodimer composed of two subunits: ß-hexosaminidase a (encoded in humans by the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gene) and ß-hexosaminidase ß (encoded in humans by the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 gene). GM2 gangliosidosis caused by a mutation of the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gene is termed Tay-Sachs disease, while Sandhoff disease is caused by a mutation of the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 gene. Tay-Sachs disease and Sandhoff disease result in clinically indistinguishable phenotypes for which there is no effective treatment. As illustrated in the graphic below, infantile GM2 gangliosidosis is the most common and severe form of the disease and is characterized by a lack of Hex A enzyme activity, while juvenile GM2 gangliosidosis is characterized by Hex A enzyme activity that is 0.5% to less than 2% of normal activity. Patients with adult-onset GM2 gangliosidosis have Hex A enzyme activity levels typically in the range of 2% to 4% of normal Hex A activity and may live a normal lifespan. We believe that the “critical threshold” for normal hydrolysis of GM2 ganglioside is estimated to be 5% to 10% of normal Hex A activity. Based on natural history data, patients with asymptomatic GM2 gangliosidosis have Hex A enzyme levels that are at least 5% of normal activity which would be considered disease modifying.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269875</wp:posOffset>
            </wp:positionV>
            <wp:extent cx="4629150" cy="2623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2915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160" w:firstLine="749"/>
        <w:spacing w:after="0" w:line="272" w:lineRule="auto"/>
        <w:rPr>
          <w:sz w:val="20"/>
          <w:szCs w:val="20"/>
          <w:color w:val="auto"/>
        </w:rPr>
      </w:pPr>
      <w:r>
        <w:rPr>
          <w:rFonts w:ascii="Times New Roman" w:cs="Times New Roman" w:eastAsia="Times New Roman" w:hAnsi="Times New Roman"/>
          <w:sz w:val="17"/>
          <w:szCs w:val="17"/>
          <w:color w:val="auto"/>
        </w:rPr>
        <w:t>We believe that successful gene therapy to treat Tay-Sachs disease or Sandhoff disease requires expression of the α and ß subunits in a 1:1 ratio to ensure that Hex A expression confers a therapeutic benefit. An imbalanced expression of either subunit could result in the formation of a dysfunctional homodimer, or identical proteins, which would limit the efficacy of the therapy. Several therapeutic approaches utilize single vectors encoding either</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the α or ß subunit, while other approaches have utilized multiple vectors carrying the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 genes separately. However, these approaches either fail to deliver the Hex A subunits in the appropriate ratio or require the simultaneous transduction of cells to achieve efficacy.</w:t>
      </w:r>
    </w:p>
    <w:p>
      <w:pPr>
        <w:spacing w:after="0" w:line="2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Similar to other lysosomal enzymes, Hex A is ubiquitously expressed and therefore concerns related to off-target effects or overexpression are limited. In addition, Hex A is secreted from transduced cells and can be taken up by neighboring cells to correct their phenotype, making it possible to cure these diseases without the need to transduce every cell, a process referred to as cross-correction. Studies suggest that restoring Hex A enzyme levels to approximately 10% of normal may result in complete phenotypic absence of the disease.</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TSHA-101</w:t>
      </w:r>
    </w:p>
    <w:p>
      <w:pPr>
        <w:spacing w:after="0" w:line="11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TSHA-101 is a neurodegenerative product candidate for the treatment of GM2 gangliosidosis. TSHA-101 is a bicistronic, or dual loci of transcription,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P2A-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transgene packaged into an AAV9 vector under the control of the CAG promoter. We have designed TSHA-101 to link the human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 genes, utilizing a cleavable peptide linker, to ensure that the expression of each the subunit occurs simultaneously in the endogenous ratio. This approach is designed to maximize the expression of Hex A enzyme while minimizing the required therapeutic dosage.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 w:name="page23"/>
    <w:bookmarkEnd w:id="22"/>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TSHA-101 for the treatment of GM2 gangliosidosis.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251460</wp:posOffset>
            </wp:positionV>
            <wp:extent cx="4629150" cy="2623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2915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Results of Ongoing Phase 1/2 Clinical Trial</w:t>
      </w:r>
    </w:p>
    <w:p>
      <w:pPr>
        <w:spacing w:after="0" w:line="11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TSHA-101 is currently being evaluated in an open label, Phase 1/2 adaptive trial for the treatment of infants with GM2 gangliosidosis sponsored by Queen’s University and led by Chief Scientific Advisor, Dr. Jagdeep Walia from the Division of Medical Genetics and Department of Pediatrics in Canada and Principal Investigator, Dr. Anupam Sehgal, Assistant Professor of Pediatrics and pediatric intensivist at Queen’s University. The target recruitment for the trial is four subjects with GM2 gangliosidosis, including patients with either Sandhoff or Tay-Sachs disease who are 15 months of age or younger at the time of enrollment. Three patients have been dosed to date with a fourth patient currently in pre-screening; however, we have otherwise paused development of TSHA-101, and the conduct of this clinical trial, to improve operating efficiency. We will continue to follow the patients who were previously dosed.</w:t>
      </w:r>
    </w:p>
    <w:p>
      <w:pPr>
        <w:spacing w:after="0" w:line="29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The primary endpoint for the trial is safety, including both clinical and laboratory assessments. The secondary endpoints evaluate efficacy, including pathologic, physiologic, functional and clinical markers. Patients are dosed intrathecally at a dose of 5 x 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An immunosuppression regimen of prednisolone and sirolimus is in place. There is an independent data safety monitoring board, or DSMB that provides oversight for safety matters and the conduct of the study.</w:t>
      </w:r>
    </w:p>
    <w:p>
      <w:pPr>
        <w:spacing w:after="0" w:line="288"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key inclusion criteria include an age requirement of 15 months of age or younger at the time of dosing. All patients need to have disease confirmation by both biochemical confirmation of reduced Hex A enzyme activity as well as molecular confirmation of the infantile form of the disease.</w:t>
      </w:r>
    </w:p>
    <w:p>
      <w:pPr>
        <w:spacing w:after="0" w:line="270"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Current data include Hex A enzyme activity and safety for Patient 1 with Sandhoff disease at Month 1 and Month 3 and a Tay-Sachs patient at Month 1. Patient 3 has recently been dosed and has no available biomarker data at the time of data announcement in January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firstLine="749"/>
        <w:spacing w:after="0" w:line="266" w:lineRule="auto"/>
        <w:rPr>
          <w:sz w:val="20"/>
          <w:szCs w:val="20"/>
          <w:color w:val="auto"/>
        </w:rPr>
      </w:pPr>
      <w:r>
        <w:rPr>
          <w:rFonts w:ascii="Times New Roman" w:cs="Times New Roman" w:eastAsia="Times New Roman" w:hAnsi="Times New Roman"/>
          <w:sz w:val="18"/>
          <w:szCs w:val="18"/>
          <w:color w:val="auto"/>
        </w:rPr>
        <w:t>Patient 1 achieved Hex A enzyme activity of 190% of normal at Month 1, and 288% of normal at Month 3 with 5% of Hex A enzyme activity correlating with asymptomatic patients with GM2 based on natural history. Hex A enzyme activity was 38-fold above this presumed asymptomatic level at Month 1 and 58-fold above the 5% asymptomatic level at Month 3. These data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260350</wp:posOffset>
            </wp:positionV>
            <wp:extent cx="4757420" cy="2486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5742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Below are the absolute levels of enzyme activity in serum at Month 1 and Month 3 for Patient 1 compared to the presumed asymptomatic level per natural history. The absolute value at Month 1 was 15.2 nmol/hr/ml and the absolute value at 3 months was 23.0 nmol/hr/ml.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182880</wp:posOffset>
            </wp:positionV>
            <wp:extent cx="4749165" cy="2717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4916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24" w:name="page25"/>
    <w:bookmarkEnd w:id="24"/>
    <w:p>
      <w:pPr>
        <w:jc w:val="both"/>
        <w:ind w:right="40" w:firstLine="749"/>
        <w:spacing w:after="0" w:line="312" w:lineRule="auto"/>
        <w:rPr>
          <w:sz w:val="20"/>
          <w:szCs w:val="20"/>
          <w:color w:val="auto"/>
        </w:rPr>
      </w:pPr>
      <w:r>
        <w:rPr>
          <w:rFonts w:ascii="Times New Roman" w:cs="Times New Roman" w:eastAsia="Times New Roman" w:hAnsi="Times New Roman"/>
          <w:sz w:val="17"/>
          <w:szCs w:val="17"/>
          <w:color w:val="auto"/>
        </w:rPr>
        <w:t>Below is the serum Hex A enzyme activity data for Patient 2 with Tay-Sachs disease who was only eligible for the 1-month analysis at the time of evaluation. Patient 2 achieved Hex A enzyme activity of 25% of normal, representing 5-fold above the presumed asymptomatic level of 5% at Month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168910</wp:posOffset>
            </wp:positionV>
            <wp:extent cx="4688840" cy="25374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8884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Below are the absolute levels of enzyme activity in serum at Month 1 for Patient 2 compared to the presumed asymptomatic level per natural history. Patient 2’s Hex A enzyme activity of 2.0 nmol/hr/ml was 5-fold above the presumed asymptomatic level at Month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251460</wp:posOffset>
            </wp:positionV>
            <wp:extent cx="4663440" cy="2442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6344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Aside from β-Hexosaminidase A enzyme activity, we sought to identify additional ways to demonstrate recapitulation of a functional enzyme. In examining the overall enzymatic pathway below, under normal conditions, GM1 ganglioside is converted to GM2 ganglioside by GM1-β-galactosidase, and then subsequently, GM2 ganglioside is converted to GM3 ganglioside by β-Hexosaminidase A. GM2 gangliosidosis is a result of a lack of the β-Hexosaminidase A enzyme, resulting in a significantly elevated level of GM2 ganglioside substrate and a reduced level of GM3 ganglioside substrate. Restoration of a functional β-Hexosaminidase A enzyme should result in a</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decrease in GM2 ganglioside substrate over time and an increase in GM3 ganglioside substrate with eventual equalization of both at a relatively low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291465</wp:posOffset>
            </wp:positionV>
            <wp:extent cx="5306060" cy="2254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0606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affected patients, GM3 levels remained consistent at a very low level over time due to blockage in the metabolic pathway. As shown below, substrate levels in Patient 1 with Sandhoff disease demonstrated a greater rate of increase in GM3 ganglioside versus GM2 ganglioside in the cerebral spinal fluid, or CSF, suggesting restoration of the metabolic pathway and Hex A enzyme function. Within 1 month, GM3 ganglioside increased 50% over baseline, suggesting conversion of GM2 to GM3 ganglioside and initial restoration of the functional enzymatic pathway. It is expected that GM3 levels in the CSF will continue to increase and GM2 levels will likely decrease, and over time will stabilize at physiological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196850</wp:posOffset>
            </wp:positionV>
            <wp:extent cx="2648585" cy="3180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4858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Preliminary data suggest that TSHA-101 was well-tolerated with no significant drug-related events. Pre-treatment AST elevations were observed in both subjects, a finding that is common in GM2 gangliosidosis, with mild-to-moderate elevations that were asymptomatic, which were also noted after gene transfer.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26" w:name="page27"/>
    <w:bookmarkEnd w:id="26"/>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Patient 1 succumbed to a non-drug related adverse event, as determined by the principal investigator and the independent DSMB. Following treatment in September, Patient 1 demonstrated encouraging Hex A activity that was 190% of normal at Month 1 in October and 288% of normal at Month 3 in December. Following clinical examination, Patient 1 was displaying preliminary signs of clinical improvement and was deemed stable to return home in early December. Shortly after arriving home, Patient 1 was exposed to an upper respiratory tract infection from a family member, possibly COVID-19, and was hospitalized with a chest infection that rapidly progressed to pneumonia. While in the hospital, Patient 1 contracted hospital-acquired methicillin-resistant staphylococcus aureus, or MRSA. Patient 1 succumbed to pneumonia and a pleural effusion with a secondary MRSA infection on Friday, January 14, 2022. The independent data safety monitoring board (DSMB) concluded the death was unrelated to study drug.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UT Southwestern, as amended in April 2020.</w:t>
      </w:r>
    </w:p>
    <w:p>
      <w:pPr>
        <w:spacing w:after="0" w:line="27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295" w:lineRule="exact"/>
        <w:rPr>
          <w:sz w:val="20"/>
          <w:szCs w:val="20"/>
          <w:color w:val="auto"/>
        </w:rPr>
      </w:pPr>
    </w:p>
    <w:p>
      <w:pPr>
        <w:ind w:right="60" w:firstLine="749"/>
        <w:spacing w:after="0" w:line="312" w:lineRule="auto"/>
        <w:rPr>
          <w:sz w:val="20"/>
          <w:szCs w:val="20"/>
          <w:color w:val="auto"/>
        </w:rPr>
      </w:pPr>
      <w:r>
        <w:rPr>
          <w:rFonts w:ascii="Times New Roman" w:cs="Times New Roman" w:eastAsia="Times New Roman" w:hAnsi="Times New Roman"/>
          <w:sz w:val="17"/>
          <w:szCs w:val="17"/>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Queen’s University</w:t>
      </w:r>
    </w:p>
    <w:p>
      <w:pPr>
        <w:spacing w:after="0" w:line="12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a license agreement, or the Queen’s University Agreement with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29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Queen’s University Agreement, we paid Queen’s University a one-time fee of $3.0 million as an upfront fee. We are obligated to pay Queen’s University up to $10.0 million in the aggregate upon achievement of certain regulatory milestones and up to $10.0 million in the aggregate upon achievement of certain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 received by us in connection with the sale of a priority review voucher related to a licensed product, not to exceed a low eight-figure amount.</w:t>
      </w:r>
    </w:p>
    <w:p>
      <w:pPr>
        <w:spacing w:after="0" w:line="300"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a separate research grant agreement with Queen’s University, we reimbursed Queen’s University for certain manufacturing production costs totaling $3.8 million in fiscal year 2020. No additional milestone payments were made in connection with the Queen’s University Agreement during fiscal year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7" w:name="page28"/>
    <w:bookmarkEnd w:id="27"/>
    <w:p>
      <w:pPr>
        <w:ind w:right="140"/>
        <w:spacing w:after="0" w:line="266" w:lineRule="auto"/>
        <w:rPr>
          <w:sz w:val="20"/>
          <w:szCs w:val="20"/>
          <w:color w:val="auto"/>
        </w:rPr>
      </w:pPr>
      <w:r>
        <w:rPr>
          <w:rFonts w:ascii="Times New Roman" w:cs="Times New Roman" w:eastAsia="Times New Roman" w:hAnsi="Times New Roman"/>
          <w:sz w:val="18"/>
          <w:szCs w:val="18"/>
          <w:color w:val="auto"/>
        </w:rPr>
        <w:t>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284"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296"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In December 2021 a regulatory milestone was triggered in connection with the Abeona CLN1 Agreement, and therefore we recorded $3.0 million within research and development expenses in the consolidated statements of operations for the year ended December 31, 2021.</w:t>
      </w:r>
    </w:p>
    <w:p>
      <w:pPr>
        <w:spacing w:after="0" w:line="270"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29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actively seek to protect our proprietary technology, inventions, and other intellectual property that is commercially important to the development of our business by a variety of means, for example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also intend to seek patent protection or rely upon trade secret rights to protect other technologies that may be used to discover and validate targets, and that may be used to manufacture and develop novel gene therapy products. We are a party to license agreements that give us rights to use specific technologies in our gene therapy products and in manufacturing our products. Additional regulatory protection may also be afforded through data exclusivity, market exclusivity and patent term extensions where available.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firstLine="749"/>
        <w:spacing w:after="0" w:line="254" w:lineRule="auto"/>
        <w:rPr>
          <w:sz w:val="20"/>
          <w:szCs w:val="20"/>
          <w:color w:val="auto"/>
        </w:rPr>
      </w:pPr>
      <w:r>
        <w:rPr>
          <w:rFonts w:ascii="Times New Roman" w:cs="Times New Roman" w:eastAsia="Times New Roman" w:hAnsi="Times New Roman"/>
          <w:sz w:val="18"/>
          <w:szCs w:val="18"/>
          <w:color w:val="auto"/>
        </w:rPr>
        <w:t>As of January 18, 2022, we in-license one U.S. patent expiring in 2039, five pending Patent Cooperation Treaty, or PCT, applications, 63 pending foreign patent applications and 20 pending United States patent applications, of which 11 are United States utility patent applications, which, if issued, are expected to expire between 2037 and 2041, without taking into account any possible patent term adjustment, regulatory extensions, or terminal disclaimers, and assuming payment of all annuity and/or maintenance fees, and nine that are United States provisional patent applications, where patent applications claiming priority to these provisional patent applications, if issued, are expected to expire in 2042, without taking into account any possible patent term adjustment, regulatory extensions, or terminal disclaimers, and assuming payment of all annuity and/or maintenance fees. Our policy is to file patent applications to protect technology, inventions and improvements to inventions that may be commercially important to the development of our business. Patent applications and patents directed to specific product candidates are summarized below:</w:t>
      </w: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TSHA-101</w:t>
      </w:r>
    </w:p>
    <w:p>
      <w:pPr>
        <w:spacing w:after="0" w:line="133"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 xml:space="preserve">We in-license from Queen’s University at Kingston and Kingston Health Sciences Centre a United States utility patent application directed to a bicistronic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P2A</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transgene packaged into an AAV vector, and methods of using that vector to treat GM2 gangliosidosis, such as Tay-Sachs disease or Sandhoff disease, which, if issued, is expected to expire in 2037, without taking into account any possible patent term adjustment, regulatory extensions, or terminal disclaimers, and assuming payment of all annuity and/or maintenance fees.</w:t>
      </w:r>
    </w:p>
    <w:p>
      <w:pPr>
        <w:spacing w:after="0" w:line="328"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 xml:space="preserve">We also license from Queen’s University at Kingston and Kingston Health Sciences Centre a United States patent with claims directed to a bicistronic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P2A</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transgene packaged into an AAV vector which will expire in 2039. This application has no foreign counterparts.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TSHA-118</w:t>
      </w:r>
    </w:p>
    <w:p>
      <w:pPr>
        <w:spacing w:after="0" w:line="13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in-license certain patent rights directed to a palmitoyl-protein thioesterase 1-encoding transgene packaged into an AAV vector, and methods of using that vector to treat CLN1 disease (one of the forms of Batten disease). Specifically, pursuant to our license agreement with Abeona Therapeutics, Inc. we have in-licensed 15 patent applications worldwide assigned to Abeona Therapeutics, Inc. Patent applications based on this PCT application, if issued, are expected to expire in 2040, without taking into account any possible patent term adjustment, regulatory extensions, or terminal disclaimers, and assuming payment of all annuity and/or maintenance fees.</w:t>
      </w:r>
    </w:p>
    <w:p>
      <w:pPr>
        <w:spacing w:after="0" w:line="332"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pursuant to the Abeona CLN1 agreement, we have sublicensed 15 pending patent applications worldwide assigned to the University of North Carolina at Chapel Hill. These patent applications, if issued, are expected to expire in 2037, without taking into account any possible patent term adjustment, regulatory extensions, or terminal disclaimers, and assuming payment of all annuity and/or maintenance fees.</w:t>
      </w:r>
    </w:p>
    <w:p>
      <w:pPr>
        <w:spacing w:after="0" w:line="3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TSHA-102</w:t>
      </w:r>
    </w:p>
    <w:p>
      <w:pPr>
        <w:spacing w:after="0" w:line="13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in-license from The Board Of Regents Of The University Of Texas System one PCT patent application and one United States utility patent application directed to a minigene encoding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packaged into an AAV vector, and methods of using that vector to treat Rett syndrome. This United States utility patent application, and any foreign patent applications based on this PCT application, if issued, are expected to expire in 2040, without taking into account any possible patent term adjustment, regulatory extensions, or terminal disclaimers, and assuming payment of all annuity and/or maintenance fees.</w:t>
      </w:r>
    </w:p>
    <w:p>
      <w:pPr>
        <w:spacing w:after="0" w:line="318"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also in-license from the University of Edinburgh and the University of Glasgow 15 pending patent applications worldwide directed to MECP2 expression cassettes for gene therapy. These patent applications, if issued, are expected to expire in 2038, without taking into account any possible patent term adjustment, regulatory extensions, or terminal disclaimers, and assuming payment of all annuity and/or maintenance fees.</w:t>
      </w:r>
    </w:p>
    <w:p>
      <w:pPr>
        <w:spacing w:after="0" w:line="324"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also in-license from the University of North Carolina at Chapel Hill 15 pending patent applications worldwide directed to feedback-enabled synthetic genes that inhibit MECP2 expression and use of these synthetic genes for treating Rett Syndrome. These patent applications, if issued, are expected to expire in 2039, without taking into account any possible patent term adjustment, regulatory extensions, or terminal disclaimers, and assuming payment of all annuity and/or maintenance fees.</w:t>
      </w:r>
    </w:p>
    <w:p>
      <w:pPr>
        <w:spacing w:after="0" w:line="3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TSHA-120</w:t>
      </w:r>
    </w:p>
    <w:p>
      <w:pPr>
        <w:spacing w:after="0" w:line="133"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We in-license from The Board Of Regents Of The University Of Texas System one pending U.S. utility patent application and one pending PCT application directed to gigaxonin-encoding transgene packaged in an AAV vector and methods of using that vector to treat Giant Axonal Neuropathy. Any non-provisional applications claiming priority to this provisional application, if issued, are expected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right="160"/>
        <w:spacing w:after="0" w:line="282" w:lineRule="auto"/>
        <w:rPr>
          <w:sz w:val="20"/>
          <w:szCs w:val="20"/>
          <w:color w:val="auto"/>
        </w:rPr>
      </w:pPr>
      <w:r>
        <w:rPr>
          <w:rFonts w:ascii="Times New Roman" w:cs="Times New Roman" w:eastAsia="Times New Roman" w:hAnsi="Times New Roman"/>
          <w:sz w:val="18"/>
          <w:szCs w:val="18"/>
          <w:color w:val="auto"/>
        </w:rPr>
        <w:t>expire in 2041, without taking into account any possible patent term adjustment, regulatory extensions, or terminal disclaimers, and assuming payment of all annuity and/or maintenance fees.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TSHA-105</w:t>
      </w:r>
    </w:p>
    <w:p>
      <w:pPr>
        <w:spacing w:after="0" w:line="13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in-license from the University of North Carolina at Chapel Hill one pending PCT application directed to SLC13A5-encoding transgene packaged in an AAV vector and methods of using that vector to treat SLC13A5 deficiency. Any non-provisional applications claiming priority to this provisional application, if issued, are expected to expire in 2041, without taking into account any possible patent term adjustment, regulatory extensions, or terminal disclaimers, and assuming payment of all annuity and/or maintenance fees.</w:t>
      </w:r>
    </w:p>
    <w:p>
      <w:pPr>
        <w:spacing w:after="0" w:line="32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also in-license from The Board Of Regents Of The University Of Texas System one pending U.S. provisional application directed to SLC13A5-encoding transgene packaged in an AAV vector and methods of using that vector to treat SLC13A5 deficiency. Any non-provisional applications claiming priority to this provisional application, if issued, are expected to expire in 2042, without taking into account any possible patent term adjustment, regulatory extensions, or terminal disclaimers, and assuming payment of all annuity and/or maintenance fees.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TSHA-121</w:t>
      </w:r>
    </w:p>
    <w:p>
      <w:pPr>
        <w:spacing w:after="0" w:line="2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in-license from The Board Of Regents Of The University Of Texas System one U.S. provisional patent application directed to CLN7-encoding transgene packaged in an AAV vector and methods of using that vector to treat disorders associated with aberrant CLN7 expression. Any non-provisional applications claiming priority to this provisional application, if issued, are expected to expire in 2042, without taking into account any possible patent term adjustment, regulatory extensions, or terminal disclaimers, and assuming payment of all annuity and/or maintenance fees.</w:t>
      </w:r>
    </w:p>
    <w:p>
      <w:pPr>
        <w:spacing w:after="0" w:line="288"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and trade secrets by maintaining physical security of our premises and physical and electronic security of our information technology systems.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U.S. Food and Drug Administration, or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28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Biological products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Biologics Regulation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process required by the FDA before biological product candidates may be marketed in the United States generally involves the following:</w:t>
      </w:r>
    </w:p>
    <w:p>
      <w:pPr>
        <w:spacing w:after="0" w:line="117" w:lineRule="exact"/>
        <w:rPr>
          <w:sz w:val="20"/>
          <w:szCs w:val="20"/>
          <w:color w:val="auto"/>
        </w:rPr>
      </w:pPr>
    </w:p>
    <w:p>
      <w:pPr>
        <w:ind w:left="1120" w:right="18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and animal studies performed in accordance with applicable regulations, including the good laboratory practice, or GLP, regulations;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or IND, application,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commenced;</w:t>
      </w:r>
    </w:p>
    <w:p>
      <w:pPr>
        <w:spacing w:after="0" w:line="117" w:lineRule="exact"/>
        <w:rPr>
          <w:rFonts w:ascii="Times New Roman" w:cs="Times New Roman" w:eastAsia="Times New Roman" w:hAnsi="Times New Roman"/>
          <w:sz w:val="18"/>
          <w:szCs w:val="18"/>
          <w:color w:val="auto"/>
        </w:rPr>
      </w:pPr>
    </w:p>
    <w:p>
      <w:pPr>
        <w:ind w:left="1120" w:right="40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biological product candidate for its intended purpose;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after completion of all pivotal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120" w:right="20" w:hanging="370"/>
        <w:spacing w:after="0" w:line="261"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 requirements, or cGMPs, and to assure that the facilities, methods and controls are adequate to preserve the biological product’s continued safety, purity and potency, and of selected clinical investigation sites to assess compliance with the FDA’s good clinical practices, or GCPs;</w:t>
      </w:r>
    </w:p>
    <w:p>
      <w:pPr>
        <w:spacing w:after="0" w:line="7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117" w:lineRule="exact"/>
        <w:rPr>
          <w:rFonts w:ascii="Times New Roman" w:cs="Times New Roman" w:eastAsia="Times New Roman" w:hAnsi="Times New Roman"/>
          <w:sz w:val="18"/>
          <w:szCs w:val="18"/>
          <w:color w:val="auto"/>
        </w:rPr>
      </w:pPr>
    </w:p>
    <w:p>
      <w:pPr>
        <w:ind w:left="1120" w:right="320" w:hanging="370"/>
        <w:spacing w:after="0" w:line="28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a BLA to permit commercial marketing of the product for particular indications for use in the United States.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9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at the local level as set forth in the National Institutes of Health, or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300"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29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For purposes of BLA approval of a product candidate, human clinical trials are typically conducted in three sequential phases that may overlap or be combined:</w:t>
      </w:r>
    </w:p>
    <w:p>
      <w:pPr>
        <w:spacing w:after="0" w:line="54" w:lineRule="exact"/>
        <w:rPr>
          <w:sz w:val="20"/>
          <w:szCs w:val="20"/>
          <w:color w:val="auto"/>
        </w:rPr>
      </w:pPr>
    </w:p>
    <w:p>
      <w:pPr>
        <w:ind w:left="1120" w:right="220" w:hanging="370"/>
        <w:spacing w:after="0" w:line="266"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For gene therapies, the investigational product is initially introduced into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67"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to evaluate the preliminary efficacy, optimal dosages and dosing schedule and to identify possible adverse side effects and safety risks.</w:t>
      </w:r>
    </w:p>
    <w:p>
      <w:pPr>
        <w:spacing w:after="0" w:line="53" w:lineRule="exact"/>
        <w:rPr>
          <w:rFonts w:ascii="Times New Roman" w:cs="Times New Roman" w:eastAsia="Times New Roman" w:hAnsi="Times New Roman"/>
          <w:sz w:val="18"/>
          <w:szCs w:val="18"/>
          <w:color w:val="auto"/>
        </w:rPr>
      </w:pPr>
    </w:p>
    <w:p>
      <w:pPr>
        <w:ind w:left="1120" w:right="280" w:hanging="370"/>
        <w:spacing w:after="0" w:line="28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ind w:left="1120" w:right="140"/>
        <w:spacing w:after="0" w:line="282" w:lineRule="auto"/>
        <w:rPr>
          <w:sz w:val="20"/>
          <w:szCs w:val="20"/>
          <w:color w:val="auto"/>
        </w:rPr>
      </w:pPr>
      <w:r>
        <w:rPr>
          <w:rFonts w:ascii="Times New Roman" w:cs="Times New Roman" w:eastAsia="Times New Roman" w:hAnsi="Times New Roman"/>
          <w:sz w:val="18"/>
          <w:szCs w:val="18"/>
          <w:color w:val="auto"/>
        </w:rPr>
        <w:t>dispersed clinical trial sites. These clinical trials are intended to establish the overall risk/benefit ratio of the investigational product and to provide an adequate basis for product approval.</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When these phases overlap or are combined, the trials may be referred to as Phase 1/2 or Phase 2/3.</w:t>
      </w:r>
    </w:p>
    <w:p>
      <w:pPr>
        <w:spacing w:after="0" w:line="33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97"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12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The FDA has sixty days from the applicant’s submission of a BLA to either issue a refusal to file letter or accept the BLA for filing, indicating that it is sufficiently complete to permit substantive review.</w:t>
      </w:r>
    </w:p>
    <w:p>
      <w:pPr>
        <w:spacing w:after="0" w:line="29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9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The FDA may delay or refuse approval of a BLA if applicable regulatory criteria are not satisfied, require additional testing or information and/or require post-marketing testing and surveillance to monitor safety or efficacy of a product.</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2" w:name="page33"/>
    <w:bookmarkEnd w:id="32"/>
    <w:p>
      <w:pPr>
        <w:ind w:firstLine="749"/>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96"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29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 regenerative medicine advanced therapy, or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w:t>
      </w:r>
    </w:p>
    <w:p>
      <w:pPr>
        <w:spacing w:after="0" w:line="30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w:t>
      </w:r>
    </w:p>
    <w:p>
      <w:pPr>
        <w:spacing w:after="0" w:line="29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3" w:name="page34"/>
    <w:bookmarkEnd w:id="33"/>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RMAT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than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29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holder of the orphan drug exclusivity cannot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29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2024, with the potential for PRVs to be granted until September 30, 2026.</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studies;</w:t>
      </w:r>
    </w:p>
    <w:p>
      <w:pPr>
        <w:spacing w:after="0" w:line="117" w:lineRule="exact"/>
        <w:rPr>
          <w:rFonts w:ascii="Times New Roman" w:cs="Times New Roman" w:eastAsia="Times New Roman" w:hAnsi="Times New Roman"/>
          <w:sz w:val="18"/>
          <w:szCs w:val="18"/>
          <w:color w:val="auto"/>
        </w:rPr>
      </w:pPr>
    </w:p>
    <w:p>
      <w:pPr>
        <w:ind w:left="1120" w:right="54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33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the ACA, includes a subtitle called the Biologics Price Competition and Innovation Act,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29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30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5" w:name="page36"/>
    <w:bookmarkEnd w:id="35"/>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the Health Insurance Portability and Accountability Act of 1996, or HIPAA, and similar foreign, federal and state fraud and abuse, transparency and privacy laws.</w:t>
      </w:r>
    </w:p>
    <w:p>
      <w:pPr>
        <w:spacing w:after="0" w:line="2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spacing w:after="0" w:line="29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Civil and criminal false claims laws, and civil monetary penalty laws, including the civil False Claims Act,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w:t>
      </w:r>
    </w:p>
    <w:p>
      <w:pPr>
        <w:spacing w:after="0" w:line="29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as well as their covered subcontractors. HITECH also created new tiers of civil</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84"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&amp; Medicaid Services, or CMS, information related to payments or other transfers of value made to physicians (currently defined to include doctors, dentists, optometrists, podiatrists and chiropractors), other health care professionals (such as physician assistants and nurse practitioners) and teaching hospitals, as well as ownership and investment interests held by physicians and their immediate family members.</w:t>
      </w:r>
    </w:p>
    <w:p>
      <w:pPr>
        <w:spacing w:after="0" w:line="29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w:t>
      </w:r>
    </w:p>
    <w:p>
      <w:pPr>
        <w:ind w:right="20"/>
        <w:spacing w:after="0" w:line="250" w:lineRule="auto"/>
        <w:rPr>
          <w:sz w:val="20"/>
          <w:szCs w:val="20"/>
          <w:color w:val="auto"/>
        </w:rPr>
      </w:pPr>
      <w:r>
        <w:rPr>
          <w:rFonts w:ascii="Times New Roman" w:cs="Times New Roman" w:eastAsia="Times New Roman" w:hAnsi="Times New Roman"/>
          <w:sz w:val="18"/>
          <w:szCs w:val="18"/>
          <w:color w:val="auto"/>
        </w:rPr>
        <w:t>governmental third 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imprisonment damages, fines, exclusion from government-funded healthcare programs, such as Medicare and Medicaid or similar programs in other countries or jurisdictions, integrity oversight and reporting obligations to resolve allegations of non-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disgorgement, imprisonment, contractual damages, reputational harm, diminished profits and the curtailment or restructuring of our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29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29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284"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297"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18"/>
          <w:szCs w:val="18"/>
          <w:color w:val="auto"/>
        </w:rPr>
        <w:t>a clinical trial that compares the cost effectiveness of any product candidates we may develop to other available therapies. The conduct of such a clinical trial could be expensive and result in delays in our commercialization efforts.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29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ACA’s individual mandate to carry health insurance, delaying the implementation of certain ACA-</w:t>
      </w:r>
    </w:p>
    <w:p>
      <w:pPr>
        <w:spacing w:after="0" w:line="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mandated fees, and increasing the point-of-sale discount that is owed by pharmaceutical manufacturers who participate in Medicare Part D.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and the healthcare reform measures of the Biden administration will impact the ACA and our business.</w:t>
      </w:r>
    </w:p>
    <w:p>
      <w:pPr>
        <w:spacing w:after="0" w:line="30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2031 unless additional action is taken by Congress. However, pursuant to COVID-19 pandemic relief legislation, these Medicare sequester reductions have been suspended from May 1, 2020 through March 31, 2022 due to the COVID-19 pandemic. Under current legislation the actual reduction in Medicare payments will vary from 1% in 2022 to up to 3% in the final fiscal year of this sequester. Further,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considering additional health reform measures.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firstLine="749"/>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2020providing pathways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to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August 10, 2021, CMS published a proposed rule that seeks to rescind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w:t>
      </w:r>
    </w:p>
    <w:p>
      <w:pPr>
        <w:spacing w:after="0" w:line="29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Additional state and federal healthcare reform measures may be adopted in the future. Further, it is possible that additional governmental action is taken in response to the COVID-19 pandemic.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280" w:firstLine="637"/>
        <w:spacing w:after="0" w:line="282" w:lineRule="auto"/>
        <w:rPr>
          <w:sz w:val="20"/>
          <w:szCs w:val="20"/>
          <w:color w:val="auto"/>
        </w:rPr>
      </w:pPr>
      <w:r>
        <w:rPr>
          <w:rFonts w:ascii="Times New Roman" w:cs="Times New Roman" w:eastAsia="Times New Roman" w:hAnsi="Times New Roman"/>
          <w:sz w:val="18"/>
          <w:szCs w:val="18"/>
          <w:color w:val="auto"/>
        </w:rPr>
        <w:t>Our human capital is integral to helping us achieve our mission of eradicating monogenic diseases of the CNS. We have built a culture of high performance based on our core values:</w:t>
      </w:r>
    </w:p>
    <w:p>
      <w:pPr>
        <w:spacing w:after="0" w:line="67" w:lineRule="exact"/>
        <w:rPr>
          <w:sz w:val="20"/>
          <w:szCs w:val="20"/>
          <w:color w:val="auto"/>
        </w:rPr>
      </w:pPr>
    </w:p>
    <w:p>
      <w:pPr>
        <w:ind w:left="780" w:hanging="21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an ally to the rare disease community;</w:t>
      </w:r>
    </w:p>
    <w:p>
      <w:pPr>
        <w:spacing w:after="0" w:line="130"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Uncovering never-before-seen scientific discoveries;</w:t>
      </w:r>
    </w:p>
    <w:p>
      <w:pPr>
        <w:spacing w:after="0" w:line="130"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cutting-edge technologies and medicines;</w:t>
      </w:r>
    </w:p>
    <w:p>
      <w:pPr>
        <w:spacing w:after="0" w:line="225"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true sense for the term “partnership”; and</w:t>
      </w:r>
    </w:p>
    <w:p>
      <w:pPr>
        <w:spacing w:after="0" w:line="130"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uncharted territory, just like the first Texas “wildcatters”.</w:t>
      </w: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39" w:name="page40"/>
    <w:bookmarkEnd w:id="39"/>
    <w:p>
      <w:pPr>
        <w:ind w:firstLine="637"/>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28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2021, we had 178 employees, all of whom were full-time. All of our employees are located in the United States. None of our employees are represented by a labor union or covered by a collective bargaining agreement. We consider our relationship with our employees to be good.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Texas in September 2019. In February 2020, we converted to a Delaware corporation. Our principal executive offices are located at 3000 Pegasus Park Drive Ste 1430, Dallas, Texas 75247 and our telephone number is (214) 612-0000.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60" w:firstLine="749"/>
        <w:spacing w:after="0" w:line="315" w:lineRule="auto"/>
        <w:rPr>
          <w:sz w:val="20"/>
          <w:szCs w:val="20"/>
          <w:color w:val="auto"/>
        </w:rPr>
      </w:pPr>
      <w:r>
        <w:rPr>
          <w:rFonts w:ascii="Times New Roman" w:cs="Times New Roman" w:eastAsia="Times New Roman" w:hAnsi="Times New Roman"/>
          <w:sz w:val="17"/>
          <w:szCs w:val="17"/>
          <w:color w:val="auto"/>
        </w:rPr>
        <w:t xml:space="preserve">Our internet website address is </w:t>
      </w:r>
      <w:r>
        <w:rPr>
          <w:rFonts w:ascii="Times New Roman" w:cs="Times New Roman" w:eastAsia="Times New Roman" w:hAnsi="Times New Roman"/>
          <w:sz w:val="17"/>
          <w:szCs w:val="17"/>
          <w:i w:val="1"/>
          <w:iCs w:val="1"/>
          <w:color w:val="auto"/>
        </w:rPr>
        <w:t>www.tayshagtx.com</w:t>
      </w:r>
      <w:r>
        <w:rPr>
          <w:rFonts w:ascii="Times New Roman" w:cs="Times New Roman" w:eastAsia="Times New Roman" w:hAnsi="Times New Roman"/>
          <w:sz w:val="17"/>
          <w:szCs w:val="17"/>
          <w:color w:val="auto"/>
        </w:rPr>
        <w:t>.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245"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7"/>
          <w:szCs w:val="17"/>
          <w:color w:val="auto"/>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40" w:firstLine="749"/>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54" w:lineRule="exact"/>
        <w:rPr>
          <w:sz w:val="20"/>
          <w:szCs w:val="20"/>
          <w:color w:val="auto"/>
        </w:rPr>
      </w:pPr>
    </w:p>
    <w:p>
      <w:pPr>
        <w:ind w:left="1120" w:right="40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120" w:right="6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3"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founded in 2019. We have a limited operating history and no history of commercializing products, which may make it difficult for an investor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1120" w:right="60" w:hanging="370"/>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all of our product candidates are in preclinical or 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auto"/>
        </w:rPr>
      </w:pPr>
    </w:p>
    <w:p>
      <w:pPr>
        <w:ind w:left="1120" w:right="80" w:hanging="370"/>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auto"/>
        </w:rPr>
      </w:pPr>
    </w:p>
    <w:p>
      <w:pPr>
        <w:ind w:left="1120" w:right="36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novel gene therapy product candidates, which makes it difficult to predict the time, cost and potential success of product candidate development.</w:t>
      </w:r>
    </w:p>
    <w:p>
      <w:pPr>
        <w:spacing w:after="0" w:line="53" w:lineRule="exact"/>
        <w:rPr>
          <w:rFonts w:ascii="Times New Roman" w:cs="Times New Roman" w:eastAsia="Times New Roman" w:hAnsi="Times New Roman"/>
          <w:sz w:val="18"/>
          <w:szCs w:val="18"/>
          <w:color w:val="auto"/>
        </w:rPr>
      </w:pPr>
    </w:p>
    <w:p>
      <w:pPr>
        <w:ind w:left="1120" w:right="280" w:hanging="370"/>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or FDA, European Medicines Agency, or the EMA, and comparable foreign authorities are lengthy, time consuming and inherently unpredictable. If we are not able to obtain required regulatory approval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completed testing of any product candidates in clinical trials. Success in preclinical studies or earlier clinical trials may not be indicative of results in future clinical trials.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or our next-generation platform technologies.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be adversely affected by the evolving and ongoing COVID-19 global pandemic.</w:t>
      </w:r>
    </w:p>
    <w:p>
      <w:pPr>
        <w:spacing w:after="0" w:line="117" w:lineRule="exact"/>
        <w:rPr>
          <w:rFonts w:ascii="Times New Roman" w:cs="Times New Roman" w:eastAsia="Times New Roman" w:hAnsi="Times New Roman"/>
          <w:sz w:val="18"/>
          <w:szCs w:val="18"/>
          <w:color w:val="auto"/>
        </w:rPr>
      </w:pPr>
    </w:p>
    <w:p>
      <w:pPr>
        <w:ind w:left="1120" w:right="28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3" w:lineRule="exact"/>
        <w:rPr>
          <w:rFonts w:ascii="Times New Roman" w:cs="Times New Roman" w:eastAsia="Times New Roman" w:hAnsi="Times New Roman"/>
          <w:sz w:val="18"/>
          <w:szCs w:val="18"/>
          <w:color w:val="auto"/>
        </w:rPr>
      </w:pPr>
    </w:p>
    <w:p>
      <w:pPr>
        <w:ind w:left="1120" w:right="300" w:hanging="370"/>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contract manufacturers for AAV9 are subject to significant regulation with respect to manufacturing our products. The third-party manufacturing facilities on which we rely, and any manufacturing facility that we may have in the future, including our facility in Durham, North Carolina, may have limited capacity or fail to meet the applicable stringent regulatory requirements.</w:t>
      </w:r>
    </w:p>
    <w:p>
      <w:pPr>
        <w:spacing w:after="0" w:line="67" w:lineRule="exact"/>
        <w:rPr>
          <w:rFonts w:ascii="Times New Roman" w:cs="Times New Roman" w:eastAsia="Times New Roman" w:hAnsi="Times New Roman"/>
          <w:sz w:val="18"/>
          <w:szCs w:val="18"/>
          <w:color w:val="auto"/>
        </w:rPr>
      </w:pPr>
    </w:p>
    <w:p>
      <w:pPr>
        <w:ind w:left="1120" w:right="60" w:hanging="370"/>
        <w:spacing w:after="0" w:line="261"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71" w:lineRule="exact"/>
        <w:rPr>
          <w:rFonts w:ascii="Times New Roman" w:cs="Times New Roman" w:eastAsia="Times New Roman" w:hAnsi="Times New Roman"/>
          <w:sz w:val="18"/>
          <w:szCs w:val="18"/>
          <w:color w:val="auto"/>
        </w:rPr>
      </w:pPr>
    </w:p>
    <w:p>
      <w:pPr>
        <w:ind w:left="1120" w:hanging="370"/>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spacing w:after="0" w:line="67" w:lineRule="exact"/>
        <w:rPr>
          <w:rFonts w:ascii="Times New Roman" w:cs="Times New Roman" w:eastAsia="Times New Roman" w:hAnsi="Times New Roman"/>
          <w:sz w:val="18"/>
          <w:szCs w:val="18"/>
          <w:color w:val="auto"/>
        </w:rPr>
      </w:pPr>
    </w:p>
    <w:p>
      <w:pPr>
        <w:ind w:left="1120" w:right="22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opinion of gene therapy and increased regulatory scrutiny of gene therapy and genetic research may adversely impact the development or commercial success of our current and future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ind w:left="1120" w:right="120" w:hanging="370"/>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ind w:left="1120" w:right="60" w:hanging="370"/>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w:t>
      </w:r>
    </w:p>
    <w:p>
      <w:pPr>
        <w:spacing w:after="0" w:line="53" w:lineRule="exact"/>
        <w:rPr>
          <w:rFonts w:ascii="Times New Roman" w:cs="Times New Roman" w:eastAsia="Times New Roman" w:hAnsi="Times New Roman"/>
          <w:sz w:val="18"/>
          <w:szCs w:val="18"/>
          <w:color w:val="auto"/>
        </w:rPr>
      </w:pPr>
    </w:p>
    <w:p>
      <w:pPr>
        <w:ind w:left="1120" w:right="340" w:hanging="370"/>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related to any of our product candidates, we may not be able to compete effectively in our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net losses, and we expect to continue to incur significant expenses and operating losses for the foreseeable future. Our net losses were $174.5 million and $60.0 million for the years ended December 31, 2021 and 2020, respectively. As of December 31, 2021, we had an accumulated deficit of $235.6 million. We have financed our operations with $347.0 million in gross proceeds from equity financings, including from our initial public offering and private placements of convertible preferred stock, and from our loan agreement with Silicon Valley Bank. We have no products approved for commercialization and have never generated any revenue from product sales.</w:t>
      </w:r>
    </w:p>
    <w:p>
      <w:pPr>
        <w:spacing w:after="0" w:line="29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still in the clinical or preclinical development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spacing w:after="0" w:line="68" w:lineRule="exact"/>
        <w:rPr>
          <w:sz w:val="20"/>
          <w:szCs w:val="20"/>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117" w:lineRule="exact"/>
        <w:rPr>
          <w:rFonts w:ascii="Times New Roman" w:cs="Times New Roman" w:eastAsia="Times New Roman" w:hAnsi="Times New Roman"/>
          <w:sz w:val="18"/>
          <w:szCs w:val="18"/>
          <w:color w:val="auto"/>
        </w:rPr>
      </w:pPr>
    </w:p>
    <w:p>
      <w:pPr>
        <w:ind w:left="1120" w:right="440" w:hanging="370"/>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TSHA-101, TSHA-102, TSHA-118, TSHA-120 and TSHA-121, as well as initiate and complete additional clinical trials of TSHA-105 and any other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 or cGMP, material for clinical trials or potential commercial sales;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a commercial-scale cGMP manufacturing facility;</w:t>
      </w:r>
    </w:p>
    <w:p>
      <w:pPr>
        <w:spacing w:after="0" w:line="117" w:lineRule="exact"/>
        <w:rPr>
          <w:rFonts w:ascii="Times New Roman" w:cs="Times New Roman" w:eastAsia="Times New Roman" w:hAnsi="Times New Roman"/>
          <w:sz w:val="18"/>
          <w:szCs w:val="18"/>
          <w:color w:val="auto"/>
        </w:rPr>
      </w:pPr>
    </w:p>
    <w:p>
      <w:pPr>
        <w:ind w:left="1120" w:right="60" w:hanging="370"/>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33"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clinical or preclinical development. We may never succeed in these activities and, even if we do, may never generate any revenue or revenue that is significant enough to achieve profitability.</w:t>
      </w:r>
    </w:p>
    <w:p>
      <w:pPr>
        <w:spacing w:after="0" w:line="295"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2" w:name="page43"/>
    <w:bookmarkEnd w:id="42"/>
    <w:p>
      <w:pPr>
        <w:ind w:right="20"/>
        <w:spacing w:after="0" w:line="282" w:lineRule="auto"/>
        <w:rPr>
          <w:sz w:val="20"/>
          <w:szCs w:val="20"/>
          <w:color w:val="auto"/>
        </w:rPr>
      </w:pPr>
      <w:r>
        <w:rPr>
          <w:rFonts w:ascii="Times New Roman" w:cs="Times New Roman" w:eastAsia="Times New Roman" w:hAnsi="Times New Roman"/>
          <w:sz w:val="18"/>
          <w:szCs w:val="18"/>
          <w:color w:val="auto"/>
        </w:rPr>
        <w:t>maintain our development efforts, obtain product approvals, diversify our offerings or continue our operations. A decline in the value of our company could also cause you to lose all or part of your investment.</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5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a 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297"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30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2021, we had cash and cash equivalents of $149.1 million. We believe that our existing cash and cash equivalents, along with full access to our term loan facility with Silicon Valley Bank, will be sufficient to fund our operating expenses and capital requirements into the fourth quarter of 2023. This estimate is based on assumptions that may prove to be wrong, and we could use our available capital resources sooner than we expect. Further, this estimate reflects that our strategic prioritization efforts to improve operating efficiency, including pausing development of TSHA-101 and the reduction of our headcount by approximately 35% in March 2022.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81" w:lineRule="exact"/>
        <w:rPr>
          <w:sz w:val="20"/>
          <w:szCs w:val="20"/>
          <w:color w:val="auto"/>
        </w:rPr>
      </w:pPr>
    </w:p>
    <w:p>
      <w:pPr>
        <w:ind w:left="1120" w:right="60" w:hanging="370"/>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TSHA-101, TSHA-102, TSHA-105, TSHA-118, TSHA-120, TSHA-121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right="280" w:hanging="370"/>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 including with respect to our term loan facility with Silicon Valley Bank;</w:t>
      </w:r>
    </w:p>
    <w:p>
      <w:pPr>
        <w:spacing w:after="0" w:line="53" w:lineRule="exact"/>
        <w:rPr>
          <w:rFonts w:ascii="Times New Roman" w:cs="Times New Roman" w:eastAsia="Times New Roman" w:hAnsi="Times New Roman"/>
          <w:sz w:val="18"/>
          <w:szCs w:val="18"/>
          <w:color w:val="auto"/>
        </w:rPr>
      </w:pPr>
    </w:p>
    <w:p>
      <w:pPr>
        <w:ind w:left="1120" w:right="480" w:hanging="370"/>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120" w:right="640" w:hanging="370"/>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20" w:right="960" w:hanging="370"/>
        <w:spacing w:after="0" w:line="28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our own commercial-scale cGMP manufacturing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left="1120" w:right="200" w:hanging="370"/>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3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including to conduct our ongoing and planned clinical trials of our product candidates and to complete the construction of our manufacturing facility. Additional funds may not be available on a timely basis, on favorable terms, or at all, and such funds, if raised, may not be sufficient to enable us to continue to implement our long-term business strategy.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indebtedness contains restrictions that potentially limit our flexibility in operating our business. In addition, we may be required to make a prepayment or repay our outstanding indebtedness earlier than we expect, or we may be unable to draw down the remaining tranches under our Term Loan Agreement if we are unable to satisfy certain conditions.</w:t>
      </w:r>
    </w:p>
    <w:p>
      <w:pPr>
        <w:spacing w:after="0" w:line="6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August 12, 2021, we entered into a Loan and Security Agreement, or the Term Loan Agreement, with the lenders party thereto from time to time, or the Lenders, and Silicon Valley Bank, as administrative agent and collateral agent for the Lenders, or the Agent, which provides for term loans of up to $100.0 million in the aggregate available in four tranches. The Term Loan Agreement contains various covenants that limit our ability to engage in specified types of transactions. These covenants limit our ability to, among other things:</w:t>
      </w:r>
    </w:p>
    <w:p>
      <w:pPr>
        <w:spacing w:after="0" w:line="72" w:lineRule="exact"/>
        <w:rPr>
          <w:sz w:val="20"/>
          <w:szCs w:val="20"/>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certain debt;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acquire all or substantially all of the capital stock or property of another entity;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organizational structure or type;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transfer, or dispose of certain assets;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certain types of liens on our assets;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 transactions with affiliates.</w:t>
      </w:r>
    </w:p>
    <w:p>
      <w:pPr>
        <w:spacing w:after="0" w:line="37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 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spacing w:after="0" w:line="29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At closing, we drew on $30.0 million of the $40.0 million available to us as part of the first tranche. We drew the remaining $10.0 million available under the first tranche on December 29, 2021. The Term Loan Agreement also gives us the ability to access an additional $60.0 million at our option, of which $40.0 million may be drawn in two additional tranches subject to the achievement of certain specified conditions and of which $20.0 million may be drawn in an additional tranche with the approval of the Agent and the Lenders. If we are unable to satisfy these or other required conditions, or if the Agent and Lenders do not consent, as applicable, we would not be able to draw down the remaining tranches of financing and may not be able to obtain alternative financing on commercially reasonable terms or at all, which could adversely impact our business.</w:t>
      </w:r>
    </w:p>
    <w:p>
      <w:pPr>
        <w:spacing w:after="0" w:line="29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not have enough available cash to repay or refinance our indebtedness at the time any such repayment is required. In such an event, we may be required to delay, limit, reduce, or terminate our preclinical and clinical product development or commercialization efforts or build out of our cGMP manufacturing facility or grant others rights to develop and market product candidates that we would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right="260"/>
        <w:spacing w:after="0" w:line="282" w:lineRule="auto"/>
        <w:rPr>
          <w:sz w:val="20"/>
          <w:szCs w:val="20"/>
          <w:color w:val="auto"/>
        </w:rPr>
      </w:pPr>
      <w:r>
        <w:rPr>
          <w:rFonts w:ascii="Times New Roman" w:cs="Times New Roman" w:eastAsia="Times New Roman" w:hAnsi="Times New Roman"/>
          <w:sz w:val="18"/>
          <w:szCs w:val="18"/>
          <w:color w:val="auto"/>
        </w:rPr>
        <w:t>otherwise prefer to develop and market ourselves. Our business, financial condition, and results of operations could be materially adversely affected as a result.</w:t>
      </w:r>
    </w:p>
    <w:p>
      <w:pPr>
        <w:spacing w:after="0" w:line="26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equity financing, if available, may involve agreements that include covenants limiting or restricting our ability to take specific actions, such as incurring additional debt, making capital expenditures or declaring dividends.</w:t>
      </w:r>
    </w:p>
    <w:p>
      <w:pPr>
        <w:spacing w:after="0" w:line="29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all of our product candidates are in clinical or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6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very early in our development efforts and all of our product candidates are still in clinical or preclinical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291"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TSHA-101, TSHA-102, TSHA-118, TSHA-120 and TSHA-121, or any other product candidates that we develop or otherwise may acquire will depend on several factors, including:</w:t>
      </w:r>
    </w:p>
    <w:p>
      <w:pPr>
        <w:spacing w:after="0" w:line="68" w:lineRule="exact"/>
        <w:rPr>
          <w:sz w:val="20"/>
          <w:szCs w:val="20"/>
          <w:color w:val="auto"/>
        </w:rPr>
      </w:pPr>
    </w:p>
    <w:p>
      <w:pPr>
        <w:ind w:left="1120" w:right="280" w:hanging="370"/>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INDs, from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20" w:right="400" w:hanging="370"/>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good clinical practices, or GCPs, and current Good Laboratory Practices;</w:t>
      </w:r>
    </w:p>
    <w:p>
      <w:pPr>
        <w:spacing w:after="0" w:line="53" w:lineRule="exact"/>
        <w:rPr>
          <w:rFonts w:ascii="Times New Roman" w:cs="Times New Roman" w:eastAsia="Times New Roman" w:hAnsi="Times New Roman"/>
          <w:sz w:val="18"/>
          <w:szCs w:val="18"/>
          <w:color w:val="auto"/>
        </w:rPr>
      </w:pPr>
    </w:p>
    <w:p>
      <w:pPr>
        <w:ind w:left="1120" w:right="60" w:hanging="370"/>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17" w:lineRule="exact"/>
        <w:rPr>
          <w:rFonts w:ascii="Times New Roman" w:cs="Times New Roman" w:eastAsia="Times New Roman" w:hAnsi="Times New Roman"/>
          <w:sz w:val="18"/>
          <w:szCs w:val="18"/>
          <w:color w:val="auto"/>
        </w:rPr>
      </w:pPr>
    </w:p>
    <w:p>
      <w:pPr>
        <w:ind w:left="1120" w:right="60" w:hanging="370"/>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or making arrangements with third-party manufacturers for, our commercial manufacturing processes for any of our product candidates that receive regulatory approval;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products, if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53"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TSHA-101, TSHA-102, TSHA-118, TSHA-120 and TSHA-121 or any other product candidates;</w:t>
      </w:r>
    </w:p>
    <w:p>
      <w:pPr>
        <w:spacing w:after="0" w:line="53" w:lineRule="exact"/>
        <w:rPr>
          <w:rFonts w:ascii="Times New Roman" w:cs="Times New Roman" w:eastAsia="Times New Roman" w:hAnsi="Times New Roman"/>
          <w:sz w:val="18"/>
          <w:szCs w:val="18"/>
          <w:color w:val="auto"/>
        </w:rPr>
      </w:pPr>
    </w:p>
    <w:p>
      <w:pPr>
        <w:ind w:left="1120" w:right="280" w:hanging="370"/>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and any indications for such product candidate, that we develop;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left="1120" w:right="380" w:hanging="370"/>
        <w:spacing w:after="0" w:line="282"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TSHA-101, TSHA-102, TSHA-118, TSHA-120 and TSHA-121 or any other product candidates we develop on a commercial scale;</w:t>
      </w:r>
    </w:p>
    <w:p>
      <w:pPr>
        <w:spacing w:after="0" w:line="53"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cGMPs, and complying effectively with other procedures;</w:t>
      </w:r>
    </w:p>
    <w:p>
      <w:pPr>
        <w:spacing w:after="0" w:line="117"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 and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products following approval.</w:t>
      </w:r>
    </w:p>
    <w:p>
      <w:pPr>
        <w:spacing w:after="0" w:line="333"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identify and develop novel gene therapy product candidates, which makes it difficult to predict the time, cost and potential success of product candidate development.</w:t>
      </w:r>
    </w:p>
    <w:p>
      <w:pPr>
        <w:spacing w:after="0" w:line="5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strategy is to identify, develop and commercialize gene therapy product candidates using an AAV9 capsid for intrathecal delivery of therapeutic transgenes to certain kinds of cells. Our future success depends on the successful development of these novel therapeutic approaches. To date, very few products that utilize gene transfer have been approved in the United States or Europe and no gene therapy products that utilize an intrathecal method of administration have been approved. There have been a limited number of clinical trials of gene transduction technologies, with only two product candidates ever approved by the FDA.</w:t>
      </w:r>
    </w:p>
    <w:p>
      <w:pPr>
        <w:spacing w:after="0" w:line="291"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17"/>
          <w:szCs w:val="17"/>
          <w:color w:val="auto"/>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28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w:t>
      </w:r>
    </w:p>
    <w:p>
      <w:pPr>
        <w:spacing w:after="0" w:line="30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candidates will need to meet safety and efficacy standards applicable to any new biologic under the regulatory framework administered by the FDA. In addition to FDA oversight and oversight by institutional review boards, or IRBs, under guidelines promulgated by the National Institutes of Health, or NIH, gene therapy clinical trials are also subject to review and oversight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ind w:right="340"/>
        <w:spacing w:after="0" w:line="282" w:lineRule="auto"/>
        <w:rPr>
          <w:sz w:val="20"/>
          <w:szCs w:val="20"/>
          <w:color w:val="auto"/>
        </w:rPr>
      </w:pPr>
      <w:r>
        <w:rPr>
          <w:rFonts w:ascii="Times New Roman" w:cs="Times New Roman" w:eastAsia="Times New Roman" w:hAnsi="Times New Roman"/>
          <w:sz w:val="18"/>
          <w:szCs w:val="18"/>
          <w:color w:val="auto"/>
        </w:rPr>
        <w:t>may proceed, the review process and determinations of other reviewing bodies can impede or delay the initiation of a clinical trial, even if the FDA has reviewed the trial and approved its initiation.</w:t>
      </w:r>
    </w:p>
    <w:p>
      <w:pPr>
        <w:spacing w:after="0" w:line="27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same applies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29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304" w:lineRule="exact"/>
        <w:rPr>
          <w:sz w:val="20"/>
          <w:szCs w:val="20"/>
          <w:color w:val="auto"/>
        </w:rPr>
      </w:pPr>
    </w:p>
    <w:p>
      <w:pPr>
        <w:ind w:right="40" w:firstLine="749"/>
        <w:spacing w:after="0" w:line="272" w:lineRule="auto"/>
        <w:rPr>
          <w:sz w:val="20"/>
          <w:szCs w:val="20"/>
          <w:color w:val="auto"/>
        </w:rPr>
      </w:pPr>
      <w:r>
        <w:rPr>
          <w:rFonts w:ascii="Times New Roman" w:cs="Times New Roman" w:eastAsia="Times New Roman" w:hAnsi="Times New Roman"/>
          <w:sz w:val="17"/>
          <w:szCs w:val="17"/>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51"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17"/>
          <w:szCs w:val="17"/>
          <w:color w:val="auto"/>
        </w:rPr>
        <w:t>All of our product candidates are in clinical or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27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288"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ind w:right="100"/>
        <w:spacing w:after="0" w:line="254" w:lineRule="auto"/>
        <w:rPr>
          <w:sz w:val="20"/>
          <w:szCs w:val="20"/>
          <w:color w:val="auto"/>
        </w:rPr>
      </w:pPr>
      <w:r>
        <w:rPr>
          <w:rFonts w:ascii="Times New Roman" w:cs="Times New Roman" w:eastAsia="Times New Roman" w:hAnsi="Times New Roman"/>
          <w:sz w:val="18"/>
          <w:szCs w:val="18"/>
          <w:color w:val="auto"/>
        </w:rPr>
        <w:t>true for clinical trials in very rare diseases, such as with TSHA-101 for the treatment of GM2 gangliosidosis, TSHA-102 for the treatment of Rett syndrome, TSHA-105 for the treatment of SLC13A5 deficiency, TSHA-118 for the treatment of CLN1 disease (one of the forms of Batten disease), and TSHA-120 for the treatment of GAN, where the very small patient population makes it difficult or impossible to conduct two traditional, adequate and well-controlled studies, and therefore the FDA or comparable foreign regulatory authorities are often required to exercise flexibility in approving therapies for such diseases. For example, the FDA, EMA and/or other foreign regulatory authorities may require us to conduct additional trials of TSHA-120 before we can submit a BLA.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29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To date, we have not completed any clinical trials required for the approval of our product candidates. We may experience delays in conducting any clinical trials and we do not know whether our clinical trials will begin on time, need to be redesigned, recruit and enroll patients on time or be completed on schedule, or at all. Events that may prevent successful or timely completion of clinical development include:</w:t>
      </w:r>
    </w:p>
    <w:p>
      <w:pPr>
        <w:spacing w:after="0" w:line="66" w:lineRule="exact"/>
        <w:rPr>
          <w:sz w:val="20"/>
          <w:szCs w:val="20"/>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19" w:lineRule="exact"/>
        <w:rPr>
          <w:rFonts w:ascii="Times New Roman" w:cs="Times New Roman" w:eastAsia="Times New Roman" w:hAnsi="Times New Roman"/>
          <w:sz w:val="18"/>
          <w:szCs w:val="18"/>
          <w:color w:val="auto"/>
        </w:rPr>
      </w:pPr>
    </w:p>
    <w:p>
      <w:pPr>
        <w:ind w:left="1120" w:right="220" w:hanging="370"/>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 including our natural history studies;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a clinical trial;</w:t>
      </w:r>
    </w:p>
    <w:p>
      <w:pPr>
        <w:spacing w:after="0" w:line="117" w:lineRule="exact"/>
        <w:rPr>
          <w:rFonts w:ascii="Times New Roman" w:cs="Times New Roman" w:eastAsia="Times New Roman" w:hAnsi="Times New Roman"/>
          <w:sz w:val="18"/>
          <w:szCs w:val="18"/>
          <w:color w:val="auto"/>
        </w:rPr>
      </w:pPr>
    </w:p>
    <w:p>
      <w:pPr>
        <w:ind w:left="1120" w:right="360" w:hanging="370"/>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approval at each trial site;</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GCP requirements, or applicable regulatory guidelines in other countries;</w:t>
      </w:r>
    </w:p>
    <w:p>
      <w:pPr>
        <w:spacing w:after="0" w:line="117" w:lineRule="exact"/>
        <w:rPr>
          <w:rFonts w:ascii="Times New Roman" w:cs="Times New Roman" w:eastAsia="Times New Roman" w:hAnsi="Times New Roman"/>
          <w:sz w:val="18"/>
          <w:szCs w:val="18"/>
          <w:color w:val="auto"/>
        </w:rPr>
      </w:pPr>
    </w:p>
    <w:p>
      <w:pPr>
        <w:ind w:left="1120" w:right="100" w:hanging="370"/>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w:t>
      </w:r>
    </w:p>
    <w:p>
      <w:pPr>
        <w:spacing w:after="0" w:line="333"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54" w:lineRule="exact"/>
        <w:rPr>
          <w:sz w:val="20"/>
          <w:szCs w:val="20"/>
          <w:color w:val="auto"/>
        </w:rPr>
      </w:pPr>
    </w:p>
    <w:p>
      <w:pPr>
        <w:ind w:left="1120" w:right="460" w:hanging="370"/>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changes in regulatory requirements or guidance, or receive feedback from regulatory authorities that requires us to modify the design of our clinical trials;</w:t>
      </w:r>
    </w:p>
    <w:p>
      <w:pPr>
        <w:spacing w:after="0" w:line="53" w:lineRule="exact"/>
        <w:rPr>
          <w:rFonts w:ascii="Times New Roman" w:cs="Times New Roman" w:eastAsia="Times New Roman" w:hAnsi="Times New Roman"/>
          <w:sz w:val="18"/>
          <w:szCs w:val="18"/>
          <w:color w:val="auto"/>
        </w:rPr>
      </w:pPr>
    </w:p>
    <w:p>
      <w:pPr>
        <w:ind w:left="1120" w:right="200" w:hanging="370"/>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3" w:lineRule="exact"/>
        <w:rPr>
          <w:rFonts w:ascii="Times New Roman" w:cs="Times New Roman" w:eastAsia="Times New Roman" w:hAnsi="Times New Roman"/>
          <w:sz w:val="18"/>
          <w:szCs w:val="18"/>
          <w:color w:val="auto"/>
        </w:rPr>
      </w:pPr>
    </w:p>
    <w:p>
      <w:pPr>
        <w:ind w:left="1120" w:right="320" w:hanging="370"/>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120" w:right="480" w:hanging="370"/>
        <w:spacing w:after="0" w:line="266"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ind w:left="1120" w:right="480" w:hanging="370"/>
        <w:spacing w:after="0" w:line="282"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1120" w:right="240" w:hanging="370"/>
        <w:spacing w:after="0" w:line="282"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27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120" w:right="640" w:hanging="370"/>
        <w:spacing w:after="0" w:line="282"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Risk Evaluation and Mitigation Strategies, or REMS;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33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For example, our clinical trial of TSHA-101 may be placed on clinical hold if we do not successfully respond to certain requirements imposed by Health Canada.</w:t>
      </w:r>
    </w:p>
    <w:p>
      <w:pPr>
        <w:spacing w:after="0" w:line="29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29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5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ind w:right="320"/>
        <w:spacing w:after="0" w:line="289" w:lineRule="auto"/>
        <w:rPr>
          <w:sz w:val="20"/>
          <w:szCs w:val="20"/>
          <w:color w:val="auto"/>
        </w:rPr>
      </w:pPr>
      <w:r>
        <w:rPr>
          <w:rFonts w:ascii="Times New Roman" w:cs="Times New Roman" w:eastAsia="Times New Roman" w:hAnsi="Times New Roman"/>
          <w:sz w:val="17"/>
          <w:szCs w:val="17"/>
          <w:color w:val="auto"/>
        </w:rPr>
        <w:t>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 foreign authorities, regarding clinical development programs or regulatory approval for any product candidate outside of the United States.</w:t>
      </w:r>
    </w:p>
    <w:p>
      <w:pPr>
        <w:spacing w:after="0" w:line="266"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drug product candidate in the United States or abroad, we must demonstrate with substantial evidence from well-controlled clinical trials, and to the satisfaction of the FDA or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29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288" w:lineRule="exact"/>
        <w:rPr>
          <w:sz w:val="20"/>
          <w:szCs w:val="20"/>
          <w:color w:val="auto"/>
        </w:rPr>
      </w:pPr>
    </w:p>
    <w:p>
      <w:pPr>
        <w:ind w:right="40" w:firstLine="749"/>
        <w:spacing w:after="0" w:line="289" w:lineRule="auto"/>
        <w:rPr>
          <w:sz w:val="20"/>
          <w:szCs w:val="20"/>
          <w:color w:val="auto"/>
        </w:rPr>
      </w:pPr>
      <w:r>
        <w:rPr>
          <w:rFonts w:ascii="Times New Roman" w:cs="Times New Roman" w:eastAsia="Times New Roman" w:hAnsi="Times New Roman"/>
          <w:sz w:val="17"/>
          <w:szCs w:val="17"/>
          <w:color w:val="auto"/>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TSHA-101, TSHA-102, TSHA-105, TSHA-118, TSHA-120 and TSHA-121 and any future product candidates in a timely manner.</w:t>
      </w:r>
    </w:p>
    <w:p>
      <w:pPr>
        <w:spacing w:after="0" w:line="26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TSHA-101, TSHA-102, TSHA-105, TSHA-118, TSHA-120 and TSHA-121,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30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completed testing of any product candidate in clinical trials. Success in preclinical studies or earlier clinical trials may not be indicative of results in future clinical trials.</w:t>
      </w:r>
    </w:p>
    <w:p>
      <w:pPr>
        <w:spacing w:after="0" w:line="51" w:lineRule="exact"/>
        <w:rPr>
          <w:sz w:val="20"/>
          <w:szCs w:val="20"/>
          <w:color w:val="auto"/>
        </w:rPr>
      </w:pPr>
    </w:p>
    <w:p>
      <w:pPr>
        <w:jc w:val="both"/>
        <w:ind w:right="140" w:firstLine="749"/>
        <w:spacing w:after="0" w:line="257"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w:t>
      </w:r>
    </w:p>
    <w:p>
      <w:pPr>
        <w:spacing w:after="0" w:line="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positive results in preclinical studies or having successfully advanced through initial clinical trials. Further, our Phase 1/2 clinical trials of TSHA-101, TSHA-102, TSHA-105, TSHA-118, TSHA-120 and TSHA-121 will involve small patient populations.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spacing w:after="0" w:line="29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For example, we recently reported initial biomarker data for TSHA-101.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6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Further, the patients evaluated in our clinical trials are often seriously ill. For example, a patient in our clinical trial of TSHA-101 succumbed to pneumonia and pleural effusion with a concomitant hospital-acquired MRSA infection, which was deemed by the principal investigator and independent DSMB not to be drug related. Any side effects or patient deaths could affect the development of our product candidates, even if deemed to not be drug related.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spacing w:after="0" w:line="296"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spacing w:after="0" w:line="28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 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DRG. If our vectors demonstrate a similar effect in other programs, we may decide or be required to perform additional preclinical studies or to halt or delay further clinical development of our product candidates.</w:t>
      </w:r>
    </w:p>
    <w:p>
      <w:pPr>
        <w:spacing w:after="0" w:line="29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30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51" w:name="page52"/>
    <w:bookmarkEnd w:id="51"/>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27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54" w:lineRule="exact"/>
        <w:rPr>
          <w:sz w:val="20"/>
          <w:szCs w:val="20"/>
          <w:color w:val="auto"/>
        </w:rPr>
      </w:pPr>
    </w:p>
    <w:p>
      <w:pPr>
        <w:ind w:left="1120" w:hanging="370"/>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w:t>
      </w:r>
    </w:p>
    <w:p>
      <w:pPr>
        <w:spacing w:after="0" w:line="117" w:lineRule="exact"/>
        <w:rPr>
          <w:rFonts w:ascii="Times New Roman" w:cs="Times New Roman" w:eastAsia="Times New Roman" w:hAnsi="Times New Roman"/>
          <w:sz w:val="18"/>
          <w:szCs w:val="18"/>
          <w:color w:val="auto"/>
        </w:rPr>
      </w:pPr>
    </w:p>
    <w:p>
      <w:pPr>
        <w:ind w:left="1120" w:right="320" w:hanging="370"/>
        <w:spacing w:after="0" w:line="282" w:lineRule="auto"/>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33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conducted pivotal clinical trials, and may be unable to do so for any product candidates we may develop, including TSHA-101, TSHA-102, TSHA-105, TSHA-118, TSHA-120 and TSHA-121.</w:t>
      </w:r>
    </w:p>
    <w:p>
      <w:pPr>
        <w:spacing w:after="0" w:line="5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will need to successfully complete our ongoing and planned clinical trials, including pivotal clinical trials, in order to obtain FDA approval to market our product candidates. Carrying out later-stage clinical trials and the submission of a successful BLA is a complicated process. As an organization, we have initiated three Phase 1/2 clinical trials, have not previously conducted any later stage or pivotal clinical trials, have limited experience in preparing, submitting and prosecuting regulatory filings and have not previously submitted a BLA for any product candidate. In addition, we have had limited interactions with the FDA and cannot be certain how many additional clinical trials of our product candidates will be required or how such trials should be designed. Consequently, we may be unable to successfully and efficiently execute and complete necessary clinical trials in a way that leads to BLA submission and approval of any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spacing w:after="0" w:line="6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we estimate global incidence of GM2 gangliosidosis, the target indication for TSHA-101, is approximately 1 in 150,000 live births,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spacing w:after="0" w:line="297"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spacing w:after="0" w:line="72" w:lineRule="exact"/>
        <w:rPr>
          <w:sz w:val="20"/>
          <w:szCs w:val="20"/>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120" w:right="620" w:hanging="370"/>
        <w:spacing w:after="0" w:line="282"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AAV9-based gene therapy approaches and intrathecal delivery systems;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2" w:name="page53"/>
    <w:bookmarkEnd w:id="52"/>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120" w:right="260" w:hanging="370"/>
        <w:spacing w:after="0" w:line="266" w:lineRule="auto"/>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and other factors;</w:t>
      </w:r>
    </w:p>
    <w:p>
      <w:pPr>
        <w:spacing w:after="0" w:line="6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33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88"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Furthermore, even if we are able to enroll a sufficient number of patients for our clinical trials, we may have difficulty maintaining enrollment of such patients in our clinical trials.</w:t>
      </w:r>
    </w:p>
    <w:p>
      <w:pPr>
        <w:spacing w:after="0" w:line="266"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6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29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spacing w:after="0" w:line="29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have obtained orphan drug designation from the FDA for TSHA-101 for treatment of GM2 gangliosidosis, TSHA-120 for the treatment of GAN, TSHA-102 for the treatment of Rett syndrome, and TSHA-105 for the treatment of SLC13A5 deficiency. In addition, TSHA-118 has received orphan drug designation for the treatment of CLN1 disease from the FDA and EMA. 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3" w:name="page54"/>
    <w:bookmarkEnd w:id="53"/>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TSHA-101 for the treatment of GM2 gangliosidosis, TSHA-102 for the treatment of Rett syndrome, TSHA-103 for the treatment of SLC6A1 haploinsufficiency, TSHA-104 for the treatment of SURF1-associated Leigh syndrome, TSHA-105 for the treatment of SLC13A5 deficiency, TSHA-118 for the treatment of CLN1 disease and TSHA-120 for the treatment of GAN. However, a marketing application for TSHA-101, TSHA-102, TSHA-103, TSHA-104, TSHA-105, TSHA-118 and TSHA-121 if approved, may not meet the eligibility criteria for a PRV or the rare pediatric disease designation program may sunset before FDA is able consider us for a voucher.</w:t>
      </w:r>
    </w:p>
    <w:p>
      <w:pPr>
        <w:spacing w:after="0" w:line="7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have received rare pediatric disease designation for TSHA-101 for the treatment of GM2 gangliosidosis (Tay-Sachs Disease and Sandhoff Disease), TSHA-120 for the treatment of GAN, TSHA-118 for the treatment of CLN1 disease, TSHA-102 for the treatment of Rett syndrome, TSHA-103 for the treatment of SLC6A1 haploinsufficiency, TSHA-104 for the treatment of SURF1-associated Leigh syndrome and TSHA-105 for the treatment of SLC13A5 deficiency. Designation of a drug or biologic as a product for a rare pediatric disease does not guarantee that a BLA for such drug or biologic will meet the eligibility criteria for a rare pediatric disease PRV at the time the application is approved. Under the FDCA, we will need to request a rare pediatric disease PRV in our original BLA for TSHA-101, TSHA-102, TSHA-103, TSHA-104, TSHA-105, TSHA-118, TSHA-120, and any other candidates for which we submit a marketing application. The FDA may determine that a BLA for TSHA-101, TSHA-102, TSHA-105, TSHA-118, TSHA-120, TSHA-121, if approved, does not meet the eligibility criteria for a PRV, including for the following reasons:</w:t>
      </w:r>
    </w:p>
    <w:p>
      <w:pPr>
        <w:spacing w:after="0" w:line="84" w:lineRule="exact"/>
        <w:rPr>
          <w:sz w:val="20"/>
          <w:szCs w:val="20"/>
          <w:color w:val="auto"/>
        </w:rPr>
      </w:pPr>
    </w:p>
    <w:p>
      <w:pPr>
        <w:ind w:left="1120" w:right="200" w:hanging="370"/>
        <w:spacing w:after="0" w:line="282"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GM2 gangliosidosis, GAN, CLN1 disease, Rett syndrome, SLC6A1 haploinsufficiency, SURF1-associated Leigh syndrome or SLC13A5 deficiency no longer meet the definition of a rare pediatric disease;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contains an active ingredient that has been previously approved in a BLA;</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not deemed eligible for priority review;</w:t>
      </w:r>
    </w:p>
    <w:p>
      <w:pPr>
        <w:spacing w:after="0" w:line="117" w:lineRule="exact"/>
        <w:rPr>
          <w:rFonts w:ascii="Times New Roman" w:cs="Times New Roman" w:eastAsia="Times New Roman" w:hAnsi="Times New Roman"/>
          <w:sz w:val="18"/>
          <w:szCs w:val="18"/>
          <w:color w:val="auto"/>
        </w:rPr>
      </w:pPr>
    </w:p>
    <w:p>
      <w:pPr>
        <w:ind w:left="1120" w:right="280" w:hanging="370"/>
        <w:spacing w:after="0" w:line="266"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67" w:lineRule="exact"/>
        <w:rPr>
          <w:rFonts w:ascii="Times New Roman" w:cs="Times New Roman" w:eastAsia="Times New Roman" w:hAnsi="Times New Roman"/>
          <w:sz w:val="18"/>
          <w:szCs w:val="18"/>
          <w:color w:val="auto"/>
        </w:rPr>
      </w:pPr>
    </w:p>
    <w:p>
      <w:pPr>
        <w:ind w:left="1120" w:right="240" w:hanging="370"/>
        <w:spacing w:after="0" w:line="282"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approved for a different adult indication than the rare pediatric disease for which TSHA-101, TSHA-120, TSHA-118, TSHA-102, TSHA-103, TSHA-104 or TSHA-105 are designated.</w:t>
      </w:r>
    </w:p>
    <w:p>
      <w:pPr>
        <w:spacing w:after="0" w:line="270"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7"/>
          <w:szCs w:val="17"/>
          <w:color w:val="auto"/>
        </w:rPr>
        <w:t>The authority for the FDA to award rare pediatric disease PRVs for drugs that have received rare pediatric disease designation prior to September 30, 2024 currently expires on September 30, 2026. If the BLA for TSHA-101, TSHA-102, TSHA-103, TSHA-104, TSHA-105, TSHA-118, TSHA-120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w:t>
      </w:r>
    </w:p>
    <w:p>
      <w:pPr>
        <w:spacing w:after="0" w:line="26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TSHA-118 for the treatment of CLN1 disease, and we may seek fast track designation for our other product candidates. Even if received, fast track designation may not actually lead to a faster review or approval process and does not increase the likelihood that our product candidates will receive marketing approval.</w:t>
      </w:r>
    </w:p>
    <w:p>
      <w:pPr>
        <w:spacing w:after="0" w:line="6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have received fast track designation for TSHA-118 for the treatment of neurocognitive manifestations of the patients with CLN1 disease, and we may seek fast track designation for our other product candidates. If a drug or biologic is intended for the treatment of a serious or life-threatening condition and the product demonstrates the potential to address unmet medical needs for this condition, the sponsor may apply for FDA fast track designation for a particular indication. There is no assurance that the FDA will grant this status to any of our other proposed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at any time if it believes that the designation is no longer supported by data from our clinical development program.</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currently primarily focused on the development of the following programs: TSHA-102 (Rett syndrome), TSHA-105 (SCL13A5 deficiency), TSHA-118 (CLN1 disease), TSHA-120 (GAN) and TSHA-121 (CLN7 disease), each of which we have advanced into clinical development or intend to advance into clinical development in 2022. As a result, we may forego or delay pursuit of opportunities with other product candidates, including TSHA-101 (GM2 gangliosidosis) or for other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4" w:name="page55"/>
    <w:bookmarkEnd w:id="54"/>
    <w:p>
      <w:pPr>
        <w:ind w:right="120"/>
        <w:spacing w:after="0" w:line="256" w:lineRule="auto"/>
        <w:rPr>
          <w:sz w:val="20"/>
          <w:szCs w:val="20"/>
          <w:color w:val="auto"/>
        </w:rPr>
      </w:pPr>
      <w:r>
        <w:rPr>
          <w:rFonts w:ascii="Times New Roman" w:cs="Times New Roman" w:eastAsia="Times New Roman" w:hAnsi="Times New Roman"/>
          <w:sz w:val="18"/>
          <w:szCs w:val="18"/>
          <w:color w:val="auto"/>
        </w:rPr>
        <w:t>indications for these product candidates that later prove to have greater commercial potential. Our resource allocation decisions, for example, our strategic prioritization in March 2022,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w:t>
      </w:r>
    </w:p>
    <w:p>
      <w:pPr>
        <w:spacing w:after="0" w:line="5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plan to conduct a clinical trial in Canada and may in the future choose to conduct additional clinical trials outside the United States, including in Australia, Europe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business model is centered on developing therapies for patients with rare, monogenic central nervous system, or CNS, disorders by establishing focused selection criteria to select, develop and advance product candidates that we believe will have a high probability of technical and regulatory success through development into commercialization. We may not be able to continue to identify and develop new product candidates, including from our next-generation platform technologies, in addition to the pipeline of product candidates that we have established through our collaboration with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9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w:t>
      </w:r>
    </w:p>
    <w:p>
      <w:pPr>
        <w:spacing w:after="0" w:line="5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IND/CTA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the evolving and ongoing COVID-19 global pandemic.</w:t>
      </w:r>
    </w:p>
    <w:p>
      <w:pPr>
        <w:spacing w:after="0" w:line="1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business and operations may be adversely affected by the effects of the evolving and ongoing COVID-19 virus, which was declared by the World Health Organization as a global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 As these restrictions have eased, we have begun to resume some activities,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ind w:right="40"/>
        <w:spacing w:after="0" w:line="256" w:lineRule="auto"/>
        <w:rPr>
          <w:sz w:val="20"/>
          <w:szCs w:val="20"/>
          <w:color w:val="auto"/>
        </w:rPr>
      </w:pPr>
      <w:r>
        <w:rPr>
          <w:rFonts w:ascii="Times New Roman" w:cs="Times New Roman" w:eastAsia="Times New Roman" w:hAnsi="Times New Roman"/>
          <w:sz w:val="18"/>
          <w:szCs w:val="18"/>
          <w:color w:val="auto"/>
        </w:rPr>
        <w:t>including limited business travel, and implemented hybrid work environments that permit in-person work at the option of the employee at certain of our global office locations, including at our headquarters. Re-opening our offices could expose our employees to health risks, and us to associated liability, and could create additional risks and operational challenges that require us to make additional investments in the design, implementation and enforcement of new workplace health and safety protocols. We expect many employees to continue to work remotely or a hybrid of in-person and remote work, which presents risks, uncertainties and costs that could affect our performance, including operational and workplace culture challenges, uncertainty regarding office space needs and heightened vulnerability to cyberattacks.</w:t>
      </w:r>
    </w:p>
    <w:p>
      <w:pPr>
        <w:spacing w:after="0" w:line="295"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Although the timing and conduct of our current and planned clinical trials have not been impacted by the COVID-19 pandemic to date, we may experience related disruptions in the future that could severely impact our clinical trials, including:</w:t>
      </w:r>
    </w:p>
    <w:p>
      <w:pPr>
        <w:spacing w:after="0" w:line="54" w:lineRule="exact"/>
        <w:rPr>
          <w:sz w:val="20"/>
          <w:szCs w:val="20"/>
          <w:color w:val="auto"/>
        </w:rPr>
      </w:pPr>
    </w:p>
    <w:p>
      <w:pPr>
        <w:ind w:left="1120" w:right="320" w:hanging="370"/>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a suspension in clinical site initiation, including difficulties in recruiting clinical site investigators and clinical site staff;</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ability to manufacture and deliver drug supply for trials;</w:t>
      </w:r>
    </w:p>
    <w:p>
      <w:pPr>
        <w:spacing w:after="0" w:line="117" w:lineRule="exact"/>
        <w:rPr>
          <w:rFonts w:ascii="Times New Roman" w:cs="Times New Roman" w:eastAsia="Times New Roman" w:hAnsi="Times New Roman"/>
          <w:sz w:val="18"/>
          <w:szCs w:val="18"/>
          <w:color w:val="auto"/>
        </w:rPr>
      </w:pPr>
    </w:p>
    <w:p>
      <w:pPr>
        <w:ind w:left="1120" w:right="240" w:hanging="370"/>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1120" w:right="220" w:hanging="370"/>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53" w:lineRule="exact"/>
        <w:rPr>
          <w:rFonts w:ascii="Times New Roman" w:cs="Times New Roman" w:eastAsia="Times New Roman" w:hAnsi="Times New Roman"/>
          <w:sz w:val="18"/>
          <w:szCs w:val="18"/>
          <w:color w:val="auto"/>
        </w:rPr>
      </w:pPr>
    </w:p>
    <w:p>
      <w:pPr>
        <w:ind w:left="1120" w:right="320" w:hanging="370"/>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53" w:lineRule="exact"/>
        <w:rPr>
          <w:rFonts w:ascii="Times New Roman" w:cs="Times New Roman" w:eastAsia="Times New Roman" w:hAnsi="Times New Roman"/>
          <w:sz w:val="18"/>
          <w:szCs w:val="18"/>
          <w:color w:val="auto"/>
        </w:rPr>
      </w:pPr>
    </w:p>
    <w:p>
      <w:pPr>
        <w:ind w:left="1120" w:right="300" w:hanging="370"/>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1120" w:right="140" w:hanging="370"/>
        <w:spacing w:after="0" w:line="28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these affected geographies.</w:t>
      </w:r>
    </w:p>
    <w:p>
      <w:pPr>
        <w:spacing w:after="0" w:line="333"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We previously reported that a patient in our Phase 1/2 trial of TSHA-101 may have contracted COVID-19 after leaving the trial site. Although the principal investigator and independent DSMB deemed the patient’s death to not be drug related, in an abundance of caution for our patients we have made minor modifications to our trial protocol.</w:t>
      </w:r>
    </w:p>
    <w:p>
      <w:pPr>
        <w:spacing w:after="0" w:line="284" w:lineRule="exact"/>
        <w:rPr>
          <w:sz w:val="20"/>
          <w:szCs w:val="20"/>
          <w:color w:val="auto"/>
        </w:rPr>
      </w:pPr>
    </w:p>
    <w:p>
      <w:pPr>
        <w:ind w:right="180" w:firstLine="749"/>
        <w:spacing w:after="0" w:line="277" w:lineRule="auto"/>
        <w:rPr>
          <w:sz w:val="20"/>
          <w:szCs w:val="20"/>
          <w:color w:val="auto"/>
        </w:rPr>
      </w:pPr>
      <w:r>
        <w:rPr>
          <w:rFonts w:ascii="Times New Roman" w:cs="Times New Roman" w:eastAsia="Times New Roman" w:hAnsi="Times New Roman"/>
          <w:sz w:val="17"/>
          <w:szCs w:val="17"/>
          <w:color w:val="auto"/>
        </w:rPr>
        <w:t>Our financial results for the year ended December 31, 2021 were not impacted by COVID-19. However, the spread of COVID-19, which has caused a broad impact globally, may materially affect us economically. While the potential economic impact brought by, and the duration of, COVID-19 may be difficult to assess or predict, it has and could continue to result in significant disruption of global financial markets, reducing our ability to access capital, which could in the future negatively affect our liquidity. In addition, a recession or market correction resulting from the spread of COVID-19 as well as related supply chain issues, labor shortages and rising inflation could materially affect our business and the value of our common stock.</w:t>
      </w:r>
    </w:p>
    <w:p>
      <w:pPr>
        <w:spacing w:after="0" w:line="2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Annual Report on Form 10-K, such as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and the availability, timing and effectiveness of a vaccine, both domestically and globally. Accordingly, we do not yet know the full extent of potential delays or impacts on our business, our clinical and regulatory activities, our manufacturing activities, healthcare systems or the global economy as a whole. However, these impacts could adversely affect our business, financial condition, results of operations and growth prospects.</w:t>
      </w:r>
    </w:p>
    <w:p>
      <w:pPr>
        <w:spacing w:after="0" w:line="30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6" w:name="page57"/>
    <w:bookmarkEnd w:id="56"/>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spacing w:after="0" w:line="67"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during which European Union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29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materially impacted and could continue to further impact, the regulatory regime with respect to the development, manufacture, importation, approval and commercialization of our product candidates in the United Kingdom or the European Union. For example, Great Britain is no longer covered by the centralized procedures for obtaining European Union-wide marketing and manufacturing authorizations from the EMA and a separate process for authorization of drug products is required in Great Britain. Any delay in obtaining, or an inability to obtain, any marketing approvals, as a result of Brexit or otherwise, would limit our ability to generate revenue and achieve and sustain profitability. In addition, while the Trade and Cooperation Agreement provides for the tariff-free trade of medicinal products between the United Kingdom and the European Union there are additional non-tariff costs to such trade which did not exist prior to Brexit. Furthermore, Brexit has reduced trade between the European Union and the United Kingdom and there are frequent delays in the transit of goods between the European Union and the United Kingdom. The ongoing impact of Brexit may force us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1"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manufacture of gene therapy products is technically complex and necessitates substantial expertise and capital investment. Production difficulties caused by unforeseen events may delay the availability of material for our clinical studies.</w:t>
      </w:r>
    </w:p>
    <w:p>
      <w:pPr>
        <w:spacing w:after="0" w:line="27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currently rely on third party contract manufacturing organizations, or CMOs, including Catalent, to manufacture our product candidates. Although we are establishing our own manufacturing facility to provide clinical and commercial supply of our product candidates, we expect to rely on third party manufacturing organizations for our manufacturing needs for the foreseeable future. To date, our manufacturing partners have met our manufacturing requirements and quality standards for our program materials, and we expect that these organizations, primarily Catalent, will be capable of providing sufficient quantities of our program materials to meet anticipated clinical trial scale demands. While we believe that there are alternate sources of supply for our program materials that can satisfy our clinical and commercial requirements, identifying and establishing relationships with such sources, if necessary, would result in delays and additional costs, both of which could be significant.</w:t>
      </w:r>
    </w:p>
    <w:p>
      <w:pPr>
        <w:spacing w:after="0" w:line="29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manufacturers of pharmaceutical products must comply with strictly enforced cGMP requirements, state and federal regulations, as well as foreign requirements when applicable. Any failure of us or our CMOs to adhere to or document compliance to such regulatory requirements could lead to a delay or interruption in the availability of our program materials for clinical trials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7" w:name="page58"/>
    <w:bookmarkEnd w:id="57"/>
    <w:p>
      <w:pPr>
        <w:ind w:firstLine="749"/>
        <w:spacing w:after="0" w:line="253"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spacing w:after="0" w:line="296"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for AAV9 are subject to significant regulation with respect to manufacturing our products. The third-party manufacturing facilities on which we rely, and any manufacturing facility that we may have in the future, including our facility in Durham, North Carolina, may have limited capacity or fail to meet the applicable stringent regulatory requirements.</w:t>
      </w:r>
    </w:p>
    <w:p>
      <w:pPr>
        <w:spacing w:after="0" w:line="6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29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CMOs for components of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CMOs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or CDMOs, do not pass such audit or inspections. If these facilities do not pass a pre-approval plant inspection, FDA approval of the products will not be granted.</w:t>
      </w:r>
    </w:p>
    <w:p>
      <w:pPr>
        <w:spacing w:after="0" w:line="30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9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51"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plasmids and viruses to deliver necessary components could result in delays in our clinical development or marketing schedules.</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2" w:lineRule="exact"/>
        <w:rPr>
          <w:sz w:val="20"/>
          <w:szCs w:val="20"/>
          <w:color w:val="auto"/>
        </w:rPr>
      </w:pPr>
    </w:p>
    <w:p>
      <w:pPr>
        <w:ind w:left="1120" w:hanging="370"/>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120" w:right="740" w:hanging="370"/>
        <w:spacing w:after="0" w:line="282" w:lineRule="auto"/>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120" w:right="540" w:hanging="370"/>
        <w:spacing w:after="0" w:line="282" w:lineRule="auto"/>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TSHA-101, TSHA-102, TSHA-105, TSHA-118, TSHA-120, TSHA-121 and any other product candidates, once approved;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ind w:left="1120" w:hanging="370"/>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5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29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have led to several well-publicized adverse events, including reported cases of leukemia. Although none of our current product candidates utilize murine gamma-retroviral vectors, our 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TSHA-102,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29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TSHA-102, TSHA-105, TSHA-118, TSHA-120, TSHA-121 or any other product candidate that may receive regulatory approval, we may not be successful in commercializing those product candidates if and when they are approved.</w:t>
      </w:r>
    </w:p>
    <w:p>
      <w:pPr>
        <w:spacing w:after="0" w:line="6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We do not have sales or marketing infrastructure. To achieve commercial success for TSHA-102, TSHA-105, TSHA-118, TSHA-120, TSHA-121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117" w:lineRule="exact"/>
        <w:rPr>
          <w:sz w:val="20"/>
          <w:szCs w:val="20"/>
          <w:color w:val="auto"/>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17" w:lineRule="exact"/>
        <w:rPr>
          <w:rFonts w:ascii="Times New Roman" w:cs="Times New Roman" w:eastAsia="Times New Roman" w:hAnsi="Times New Roman"/>
          <w:sz w:val="18"/>
          <w:szCs w:val="18"/>
          <w:color w:val="auto"/>
        </w:rPr>
      </w:pPr>
    </w:p>
    <w:p>
      <w:pPr>
        <w:ind w:left="1120" w:right="80" w:hanging="370"/>
        <w:spacing w:after="0" w:line="28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333"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5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29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on Form 10-K should be viewed with caution. Further, the data and statistical information used in this Annual Report on Form 10-K, including estimates derived from them, may differ from information and estimates made by our competitors or from current or future studies conducted by independent sources.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spacing w:after="0" w:line="2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believe that the majority of our programs will face limited competition as there are no approved disease-modifying therapies for the treatment of the GAN, GM2 gangliosidosis, CLN7 disease, CLN1 disease, Rett syndrome, SLC6A1-related disorder, SLC13A5 disorder, Fragile X syndrome, Angelman syndrome or the other development programs in our pipeline. However, we are aware that our competitors are developing product candidates for the treatment of diseases that our product candidates will target. With respect to TSHA-101, we are aware that Sio Gene Therapies is developing AXO-AAV-GM2 for the treatment of GM2 gangliosidosis, and with respect to TSHA-102. We are also aware that the Rett Syndrome Research Trust, Amicus Therapeutics, or Amicus, and Sarepta Therapeutics have disclosed the existence of discovery-stage gene therapy programs for the treatment of Rett syndrome. With respect to TSHA-118, we are aware that Amicus, in collaboration with Nationwide Children’s Hospital, is developing a gene therapy product candidate for CLN1 disease.</w:t>
      </w:r>
    </w:p>
    <w:p>
      <w:pPr>
        <w:spacing w:after="0" w:line="30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biological products, that have been approved for marketing. Mergers and acquisitions in the pharmaceutical and biotechnology industries could result in even more resources being concentrated among a small number of our competitors.</w:t>
      </w:r>
    </w:p>
    <w:p>
      <w:pPr>
        <w:spacing w:after="0" w:line="291"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spacing w:after="0" w:line="68" w:lineRule="exact"/>
        <w:rPr>
          <w:sz w:val="20"/>
          <w:szCs w:val="20"/>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333"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2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29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will depend significantly on coverage and adequate reimbursement or the willingness of patients to pay for these procedures.</w:t>
      </w:r>
    </w:p>
    <w:p>
      <w:pPr>
        <w:spacing w:after="0" w:line="5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TSHA-101 for the treatment of GM2 gangliosidosis, TSHA-102 for the treatment of Rett syndrome, TSHA-105 for the treatment of SLC13A5 deficiency, TSHA-118 for the treatment of CLN1 disease, TSHA-120 for the treatment of GAN, TSHA-121 for the treatment of CLN7 disease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2" w:name="page63"/>
    <w:bookmarkEnd w:id="62"/>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reimbursement. 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spacing w:after="0" w:line="28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300"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298"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28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There can be no assurance that TSHA-101, TSHA-102, TSHA-105, TSHA-118, TSHA-120, TSHA-121or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68" w:lineRule="exact"/>
        <w:rPr>
          <w:sz w:val="20"/>
          <w:szCs w:val="20"/>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333"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3" w:name="page64"/>
    <w:bookmarkEnd w:id="63"/>
    <w:p>
      <w:pPr>
        <w:ind w:right="120"/>
        <w:spacing w:after="0" w:line="282" w:lineRule="auto"/>
        <w:rPr>
          <w:sz w:val="20"/>
          <w:szCs w:val="20"/>
          <w:color w:val="auto"/>
        </w:rPr>
      </w:pPr>
      <w:r>
        <w:rPr>
          <w:rFonts w:ascii="Times New Roman" w:cs="Times New Roman" w:eastAsia="Times New Roman" w:hAnsi="Times New Roman"/>
          <w:sz w:val="18"/>
          <w:szCs w:val="18"/>
          <w:color w:val="auto"/>
        </w:rPr>
        <w:t>product candidates. Insurance coverage is increasingly expensive. We may not be able to maintain insurance coverage at a reasonable cost or in an amount adequate to satisfy any liability that may arise.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72"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collaboration with UT Southwestern is critical to our business. We entered into the UT Southwestern Agreement with UT Southwestern to discover and develop certain AAV vector-based therapeutics, and the product candidates developed under such collaboration currently represent all of our pipeline and discovery programs. We currently rely exclusively on UT Southwestern for all of our preclinical research and development capabilities, and in particular the UT Southwestern Gene Therapy Program under the direction of 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 regulatory authorities. Although we plan to be the sponsor for each product candidate’s IND, Queen’s University will be the holder of the Health Canada CTA for TSHA-101.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spacing w:after="0" w:line="300"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The term of the research funding portion of the UT Southwestern Agreement, under which we have the ability to acquire exclusive rights to additional gene therapy products for rare, monogenic CNS indications, has been extended to extend research funding pursuant to sponsored research agreements on a program-by-program basis.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spacing w:after="0" w:line="29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spacing w:after="0" w:line="291" w:lineRule="exact"/>
        <w:rPr>
          <w:sz w:val="20"/>
          <w:szCs w:val="20"/>
          <w:color w:val="auto"/>
        </w:rPr>
      </w:pPr>
    </w:p>
    <w:p>
      <w:pPr>
        <w:ind w:right="8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2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have engaged a CRO for the Phase 1/2 clinical trial of TSHA-101 under a CTA in Canada and have engaged CROs for our other planned clinical trials for TSHA-102, TSHA-105, TSHA-118 and TSHA-120. We expect to continue to rely on third parties, including clinical data management organizations, medical institutions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 interrupted by the ongoing COVID-19 pandemic, including due to travel or quarantine policies, heightened exposure of CRO staff who are healthcare providers to COVID-19 or prioritization of resources toward the pandemic.</w:t>
      </w:r>
    </w:p>
    <w:p>
      <w:pPr>
        <w:spacing w:after="0" w:line="300" w:lineRule="exact"/>
        <w:rPr>
          <w:sz w:val="20"/>
          <w:szCs w:val="20"/>
          <w:color w:val="auto"/>
        </w:rPr>
      </w:pPr>
    </w:p>
    <w:p>
      <w:pPr>
        <w:ind w:right="780" w:firstLine="749"/>
        <w:spacing w:after="0" w:line="282"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29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29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TSHA-101, TSHA-102, TSHA-105, TSHA-118, TSHA-120, TSHA-121 or any other product candidates.</w:t>
      </w:r>
    </w:p>
    <w:p>
      <w:pPr>
        <w:spacing w:after="0" w:line="29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17" w:lineRule="exact"/>
        <w:rPr>
          <w:sz w:val="20"/>
          <w:szCs w:val="20"/>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120" w:right="140" w:hanging="370"/>
        <w:spacing w:after="0" w:line="266"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120" w:right="360" w:hanging="370"/>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120" w:right="360" w:hanging="370"/>
        <w:spacing w:after="0" w:line="266"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5" w:name="page66"/>
    <w:bookmarkEnd w:id="65"/>
    <w:p>
      <w:pPr>
        <w:ind w:left="1120" w:hanging="370"/>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120" w:right="600" w:hanging="370"/>
        <w:spacing w:after="0" w:line="312" w:lineRule="auto"/>
        <w:tabs>
          <w:tab w:leader="none" w:pos="1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31" w:lineRule="exact"/>
        <w:rPr>
          <w:rFonts w:ascii="Times New Roman" w:cs="Times New Roman" w:eastAsia="Times New Roman" w:hAnsi="Times New Roman"/>
          <w:sz w:val="17"/>
          <w:szCs w:val="17"/>
          <w:color w:val="auto"/>
        </w:rPr>
      </w:pPr>
    </w:p>
    <w:p>
      <w:pPr>
        <w:ind w:left="1120" w:right="380" w:hanging="370"/>
        <w:spacing w:after="0" w:line="282"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ind w:left="1120" w:right="120" w:hanging="370"/>
        <w:spacing w:after="0" w:line="261"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120" w:right="80" w:hanging="370"/>
        <w:spacing w:after="0" w:line="266"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120" w:right="100" w:hanging="370"/>
        <w:spacing w:after="0" w:line="282"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27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28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30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51"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spacing w:after="0" w:line="28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of January 18, 2022, we in-license one U.S. patent expiring in 2039, five pending Patent Cooperation Treaty, or PCT, applications, 63 pending foreign patent applications and 20 pending United States patent applications, of which 11 are United States utility patent applications, which, if issued, are expected to expire between 2037 and 2041, without taking into account any possible patent term adjustment, regulatory extensions, or terminal disclaimers, and assuming payment of all annuity and/or maintenance fees, and nine that are United States provisional patent applications, where patent applications claiming priority to these provisional patent applications, if issued, are expected to expire in 2042, without taking into account any possible patent term adjustment, regulatory extensions, or terminal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ind w:right="20"/>
        <w:spacing w:after="0" w:line="255" w:lineRule="auto"/>
        <w:rPr>
          <w:sz w:val="20"/>
          <w:szCs w:val="20"/>
          <w:color w:val="auto"/>
        </w:rPr>
      </w:pPr>
      <w:r>
        <w:rPr>
          <w:rFonts w:ascii="Times New Roman" w:cs="Times New Roman" w:eastAsia="Times New Roman" w:hAnsi="Times New Roman"/>
          <w:sz w:val="18"/>
          <w:szCs w:val="18"/>
          <w:color w:val="auto"/>
        </w:rPr>
        <w:t>disclaimers, and assuming payment of all annuity and/or maintenance fees.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29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29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30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29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6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7" w:name="page68"/>
    <w:bookmarkEnd w:id="67"/>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and future intellectual property licenses with third parties, we could lose rights that are important to our business.</w:t>
      </w:r>
    </w:p>
    <w:p>
      <w:pPr>
        <w:spacing w:after="0" w:line="5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proprietary technology for the development of our product candidates, in particular the UT Southwestern Agreement and our license agreements with Queen’s University and Abeona.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spacing w:after="0" w:line="29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spacing w:after="0" w:line="30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28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future patents.</w:t>
      </w:r>
    </w:p>
    <w:p>
      <w:pPr>
        <w:spacing w:after="0" w:line="51"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29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or the Leahy-Smith Act, was signed into law. The Leahy-Smith Act included a number of significant changes to United States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ind w:right="380"/>
        <w:spacing w:after="0" w:line="282" w:lineRule="auto"/>
        <w:rPr>
          <w:sz w:val="20"/>
          <w:szCs w:val="20"/>
          <w:color w:val="auto"/>
        </w:rPr>
      </w:pPr>
      <w:r>
        <w:rPr>
          <w:rFonts w:ascii="Times New Roman" w:cs="Times New Roman" w:eastAsia="Times New Roman" w:hAnsi="Times New Roman"/>
          <w:sz w:val="18"/>
          <w:szCs w:val="18"/>
          <w:color w:val="auto"/>
        </w:rPr>
        <w:t>the future. An inability to obtain, enforce, and defend patents covering our proprietary technologies would materially and adversely affect our business prospects and financial condition.</w:t>
      </w:r>
    </w:p>
    <w:p>
      <w:pPr>
        <w:spacing w:after="0" w:line="27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which could be expensive, time consuming and unsuccessful.</w:t>
      </w:r>
    </w:p>
    <w:p>
      <w:pPr>
        <w:spacing w:after="0" w:line="12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30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295"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5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ind w:right="400"/>
        <w:spacing w:after="0" w:line="282" w:lineRule="auto"/>
        <w:rPr>
          <w:sz w:val="20"/>
          <w:szCs w:val="20"/>
          <w:color w:val="auto"/>
        </w:rPr>
      </w:pPr>
      <w:r>
        <w:rPr>
          <w:rFonts w:ascii="Times New Roman" w:cs="Times New Roman" w:eastAsia="Times New Roman" w:hAnsi="Times New Roman"/>
          <w:sz w:val="18"/>
          <w:szCs w:val="18"/>
          <w:color w:val="auto"/>
        </w:rPr>
        <w:t>rights we have, we may have to abandon development of the relevant program or product candidate, which could have a material adverse effect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TSHA-101, TSHA-102, TSHA-105, TSHA-118, TSHA-120, TSHA-121 or any future product candidates.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30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302"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are aware of issued patent or patents issued to REGENX that claim AAV vectors that have an AAV9 capsid serotype. If we commercialize any of our product candidates prior to the expiry of those patents in 2026 without a license, the patent owner could bring an action claiming infringement.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29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0" w:name="page71"/>
    <w:bookmarkEnd w:id="70"/>
    <w:p>
      <w:pPr>
        <w:ind w:right="660"/>
        <w:spacing w:after="0" w:line="282" w:lineRule="auto"/>
        <w:rPr>
          <w:sz w:val="20"/>
          <w:szCs w:val="20"/>
          <w:color w:val="auto"/>
        </w:rPr>
      </w:pPr>
      <w:r>
        <w:rPr>
          <w:rFonts w:ascii="Times New Roman" w:cs="Times New Roman" w:eastAsia="Times New Roman" w:hAnsi="Times New Roman"/>
          <w:sz w:val="18"/>
          <w:szCs w:val="18"/>
          <w:color w:val="auto"/>
        </w:rPr>
        <w:t>claims. There is no guarantee of success in defending these claims, and even if we are successful, litigation could result in substantial cost and be a distraction to our management and other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30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5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29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ind w:firstLine="749"/>
        <w:spacing w:after="0" w:line="256"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9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284"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120" w:right="20" w:hanging="370"/>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our current or future patents;</w:t>
      </w:r>
    </w:p>
    <w:p>
      <w:pPr>
        <w:spacing w:after="0" w:line="53" w:lineRule="exact"/>
        <w:rPr>
          <w:rFonts w:ascii="Times New Roman" w:cs="Times New Roman" w:eastAsia="Times New Roman" w:hAnsi="Times New Roman"/>
          <w:sz w:val="18"/>
          <w:szCs w:val="18"/>
          <w:color w:val="auto"/>
        </w:rPr>
      </w:pPr>
    </w:p>
    <w:p>
      <w:pPr>
        <w:ind w:left="1120" w:right="620" w:hanging="370"/>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53"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make the inventions covered by our issued or future issued patents or our pending patent applications;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file patent applications covering certain of our inventions;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72" w:name="page73"/>
    <w:bookmarkEnd w:id="72"/>
    <w:p>
      <w:pPr>
        <w:ind w:left="1120" w:right="20" w:hanging="370"/>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17" w:lineRule="exact"/>
        <w:rPr>
          <w:rFonts w:ascii="Times New Roman" w:cs="Times New Roman" w:eastAsia="Times New Roman" w:hAnsi="Times New Roman"/>
          <w:sz w:val="18"/>
          <w:szCs w:val="18"/>
          <w:color w:val="auto"/>
        </w:rPr>
      </w:pPr>
    </w:p>
    <w:p>
      <w:pPr>
        <w:ind w:left="1120" w:right="640" w:hanging="370"/>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6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84" w:lineRule="exact"/>
        <w:rPr>
          <w:sz w:val="20"/>
          <w:szCs w:val="20"/>
          <w:color w:val="auto"/>
        </w:rPr>
      </w:pPr>
    </w:p>
    <w:p>
      <w:pPr>
        <w:ind w:left="1120" w:hanging="370"/>
        <w:spacing w:after="0" w:line="253"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Patient Protection and Affordable Care Act, as amended by the Health Care and Education Reconciliation Act, or collectively, the ACA, signed into law in 2010, provides that the government may assert that a claim including items or services resulting from a violation of the federal Anti-Kickback Statute constitutes a false or fraudulent claim for purposes of the federal False Claims Act;</w:t>
      </w:r>
    </w:p>
    <w:p>
      <w:pPr>
        <w:spacing w:after="0" w:line="81" w:lineRule="exact"/>
        <w:rPr>
          <w:rFonts w:ascii="Times New Roman" w:cs="Times New Roman" w:eastAsia="Times New Roman" w:hAnsi="Times New Roman"/>
          <w:sz w:val="18"/>
          <w:szCs w:val="18"/>
          <w:color w:val="auto"/>
        </w:rPr>
      </w:pPr>
    </w:p>
    <w:p>
      <w:pPr>
        <w:ind w:left="1120" w:right="100" w:hanging="370"/>
        <w:spacing w:after="0" w:line="271" w:lineRule="auto"/>
        <w:tabs>
          <w:tab w:leader="none" w:pos="1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65" w:lineRule="exact"/>
        <w:rPr>
          <w:rFonts w:ascii="Times New Roman" w:cs="Times New Roman" w:eastAsia="Times New Roman" w:hAnsi="Times New Roman"/>
          <w:sz w:val="17"/>
          <w:szCs w:val="17"/>
          <w:color w:val="auto"/>
        </w:rPr>
      </w:pPr>
    </w:p>
    <w:p>
      <w:pPr>
        <w:ind w:left="1120" w:hanging="370"/>
        <w:spacing w:after="0" w:line="266"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ind w:left="1120" w:right="20"/>
        <w:spacing w:after="0" w:line="266" w:lineRule="auto"/>
        <w:rPr>
          <w:sz w:val="20"/>
          <w:szCs w:val="20"/>
          <w:color w:val="auto"/>
        </w:rPr>
      </w:pPr>
      <w:r>
        <w:rPr>
          <w:rFonts w:ascii="Times New Roman" w:cs="Times New Roman" w:eastAsia="Times New Roman" w:hAnsi="Times New Roman"/>
          <w:sz w:val="18"/>
          <w:szCs w:val="18"/>
          <w:color w:val="auto"/>
        </w:rPr>
        <w:t>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8" w:lineRule="exact"/>
        <w:rPr>
          <w:sz w:val="20"/>
          <w:szCs w:val="20"/>
          <w:color w:val="auto"/>
        </w:rPr>
      </w:pPr>
    </w:p>
    <w:p>
      <w:pPr>
        <w:ind w:left="1120" w:right="80" w:hanging="370"/>
        <w:spacing w:after="0" w:line="254" w:lineRule="auto"/>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83" w:lineRule="exact"/>
        <w:rPr>
          <w:rFonts w:ascii="Times New Roman" w:cs="Times New Roman" w:eastAsia="Times New Roman" w:hAnsi="Times New Roman"/>
          <w:sz w:val="18"/>
          <w:szCs w:val="18"/>
          <w:color w:val="auto"/>
        </w:rPr>
      </w:pPr>
    </w:p>
    <w:p>
      <w:pPr>
        <w:ind w:left="1120" w:right="20" w:hanging="370"/>
        <w:spacing w:after="0" w:line="256" w:lineRule="auto"/>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 care professionals (such as physician assistants and nurse practitioners), and teaching hospitals, and (ii)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1120" w:right="40" w:hanging="370"/>
        <w:spacing w:after="0" w:line="255" w:lineRule="auto"/>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spacing w:after="0" w:line="29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296"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TSHA-101, TSHA-102, TSHA-105, TSHA-118, TSHA-120, TSHA-121 or any future product candidates, they will remain subject to ongoing regulatory oversight.</w:t>
      </w:r>
    </w:p>
    <w:p>
      <w:pPr>
        <w:spacing w:after="0" w:line="5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Even if we obtain any regulatory approval for TSHA-101, TSHA-102, TSHA-105, TSHA-118, TSHA-120, TSHA-121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TSHA-101, TSHA-102, TSHA-105, TSHA-118, TSHA-120, TSHA-121 or any future product candidates may also be subject to a REMS,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ind w:firstLine="749"/>
        <w:spacing w:after="0" w:line="255"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29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TSHA-101, TSHA-102, TSHA-105, TSHA-118, TSHA-120,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TSHA-121 or any future product candidates, a regulatory authority may:</w:t>
      </w:r>
    </w:p>
    <w:p>
      <w:pPr>
        <w:spacing w:after="0" w:line="99" w:lineRule="exact"/>
        <w:rPr>
          <w:sz w:val="20"/>
          <w:szCs w:val="20"/>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strategic partners;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333" w:lineRule="exact"/>
        <w:rPr>
          <w:sz w:val="20"/>
          <w:szCs w:val="20"/>
          <w:color w:val="auto"/>
        </w:rPr>
      </w:pPr>
    </w:p>
    <w:p>
      <w:pPr>
        <w:jc w:val="both"/>
        <w:ind w:right="420" w:firstLine="749"/>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TSHA-101, TSHA-102, TSHA-105, TSHA-118, TSHA-120, TSHA-121 or any future product candidates and harm our business, financial condition, results of operations and prospects.</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5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270"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2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21"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284"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United States pharmaceutical industry. The ACA, among other things: (i) established an annual, nondeductible fee on any entity that manufactures or imports certain specified branded prescription drugs and biologic agents apportioned among these entities according to their market share in some government healthcare programs; (ii) expanded the entities eligible for discounts under the 340B drug pricing program; (iii) increased the statutory minimum rebates a manufacturer must pay under the Medicaid Drug Rebate Program to 23.1% and 13% of the average manufacturer price, or AMP, for most branded and generic drugs, respectively, and capped the total rebate amount for innovator drugs at 100% of the AMP; (iv) expanded the eligibility criteria for Medicaid programs by, among other things, allowing states to offer Medicaid coverage to additional individuals and by adding new eligibility categories for individuals with income at or below 133% (as calculated, it constitutes 138%) of the federal poverty level, thereby potentially increasing manufacturers’ Medicaid rebate liability; (v) addressed a new methodology by which rebates owed by manufacturers under the Medicaid Drug Rebate Program are calculated for certain drugs and biologics that are inhaled, infused, instilled, implanted or injected; (vi) introduced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(increased from 50%, effective January 1, 2019, pursuant to the Bipartisan Budget Act of 2018); (vii) created a new Patient-Centered Outcomes Research Institute to oversee, identify priorities in, and conduct comparative clinical effectiveness research, along with funding for such research; and (viii) established the Center for Medicare and Medicaid Innovation at CMS to test innovative payment and service delivery models to lower Medicare and Medicaid spending, potentially including prescription drug.</w:t>
      </w:r>
    </w:p>
    <w:p>
      <w:pPr>
        <w:spacing w:after="0" w:line="29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There have been judicial, congressional, and executive branch challenges to certain aspects of the ACA, including efforts to repeal or replace certain aspects of the ACA. While Congress has not passed comprehensive repeal legislation, several bills affecting the implementation of certain taxes under the ACA have been signed into law. The Tax Act includes a provision that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and the healthcare reform measures of the Biden administration will impact the ACA and our business.</w:t>
      </w:r>
    </w:p>
    <w:p>
      <w:pPr>
        <w:spacing w:after="0" w:line="29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will remain in effect through 2031, unless additional congressional action is taken. COVID-19 pandemic relief legislation suspended the 2% Medicare sequester from May 1, 2020 through March 31, 2022. Under current legislation the actual reduction in Medicare payments will vary from 1% in 2022 to up to 3% in the final fiscal year of this sequester.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considering additional health reform measures.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July 24, 2020 and September 13, 2020, the Trump administration announced several executive orders related to prescription drug pricing that attempt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to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August 10, 2021, CMS published a proposed rule that seeks to rescind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1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29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FDA regulations and guidance may be revised or reinterpreted by the FDA in ways that may significantly affect our business and our products. Any new regulations or guidance, or revisions or reinterpretations of existing regulations or guidance, may impose additional costs or lengthen FDA review times for TSHA-101, TSHA-102, TSHA-105, TSHA-118, TSHA-120, TSHA-121 or any future product candidates. We cannot determine how changes in regulations, statutes, policies, or interpretations when and if issued, enacted or adopted, may affect our business in the future. Such changes could, among other things, require:</w:t>
      </w:r>
    </w:p>
    <w:p>
      <w:pPr>
        <w:spacing w:after="0" w:line="75" w:lineRule="exact"/>
        <w:rPr>
          <w:sz w:val="20"/>
          <w:szCs w:val="20"/>
          <w:color w:val="auto"/>
        </w:rPr>
      </w:pPr>
    </w:p>
    <w:p>
      <w:pPr>
        <w:ind w:left="1120" w:hanging="370"/>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33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TSHA-101, TSHA-102, TSHA-105, TSHA-118, TSHA-120, TSHA-121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28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7" w:name="page78"/>
    <w:bookmarkEnd w:id="77"/>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9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inspections of foreign manufacturing facilities and products while local, national and international conditions warrant. The FDA has developed a rating system to assist in determining when and where it is safest to conduct prioritized domestic inspections. Regulatory authorities outside the U.S. may adopt similar restrictions or other policy measures in response to the COVID-19 pandemic and may experience delays in their regulatory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 and recent changes to our team might harm future operating results.</w:t>
      </w:r>
    </w:p>
    <w:p>
      <w:pPr>
        <w:spacing w:after="0" w:line="51"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our executive officers, particularly RA Session II, our Founder, President and Chief Executive Officer. Each of our executive officers may currently terminate their employment with us at any time. We do not maintain “key person” insurance for any of our executives or employees.</w:t>
      </w:r>
    </w:p>
    <w:p>
      <w:pPr>
        <w:spacing w:after="0" w:line="284"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March 2022, as part of our strategic prioritization initiatives to improve operating efficiency, we reduced our headcount by approximately 35%. Although we believe these employee transitions are in the best interest of our company and our stockholders, these transitions may result in the loss of personnel with deep institutional or technical knowledge. Further, the transition could potentially disrupt our operations and relationships with employees, suppliers and partners and due to added costs, operational inefficiencies, decreased employee morale and productivity and increased turnover. In addition, our competitors may seek to use these transitions and the related potential disruptions to gain a competitive advantage over us. Furthermore, these changes increase our dependency on the other members of our leadership team and clinical and preclinical operations teams that remain with us, who are not contractually obligated to remain employed with us and may leave at any time. Any such departure could be particularly disruptive and, to the extent we experience additional turnover, competition for top talent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 and financial condition may be adversely affected.</w:t>
      </w:r>
    </w:p>
    <w:p>
      <w:pPr>
        <w:spacing w:after="0" w:line="30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Such competition may increase due to the recent move by companies to offer a remote or hybrid work environment.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Further, we may experience employee turnover, consistent with high numbers of employee resignations across the broader American economy, that would have an adverse impact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If we are unable to continue to attract and retain high quality personnel, motivate existing employees or maintain our corporate culture in a hybrid or remote work environment, particularly if we experience increased turnover, our ability to pursue our growth strategy will be limited.</w:t>
      </w:r>
    </w:p>
    <w:p>
      <w:pPr>
        <w:spacing w:after="0" w:line="29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2021, we had 178 employees; however, in March 2022 we reduced our headcount by approximately 35%. As we continue to build our organization and execute on our strategy, we expect to experience significant growth in the number of our employees and the scope of our operations, particularly in the areas of clinical product development, regulatory affairs and, if any of our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8" w:name="page79"/>
    <w:bookmarkEnd w:id="78"/>
    <w:p>
      <w:pPr>
        <w:ind w:right="80"/>
        <w:spacing w:after="0" w:line="256" w:lineRule="auto"/>
        <w:rPr>
          <w:sz w:val="20"/>
          <w:szCs w:val="20"/>
          <w:color w:val="auto"/>
        </w:rPr>
      </w:pPr>
      <w:r>
        <w:rPr>
          <w:rFonts w:ascii="Times New Roman" w:cs="Times New Roman" w:eastAsia="Times New Roman" w:hAnsi="Times New Roman"/>
          <w:sz w:val="18"/>
          <w:szCs w:val="18"/>
          <w:color w:val="auto"/>
        </w:rPr>
        <w:t>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may be volatile, and purchasers of our common stock could incur substantial losses.</w:t>
      </w:r>
    </w:p>
    <w:p>
      <w:pPr>
        <w:spacing w:after="0" w:line="121" w:lineRule="exact"/>
        <w:rPr>
          <w:sz w:val="20"/>
          <w:szCs w:val="20"/>
          <w:color w:val="auto"/>
        </w:rPr>
      </w:pPr>
    </w:p>
    <w:p>
      <w:pPr>
        <w:ind w:firstLine="749"/>
        <w:spacing w:after="0" w:line="289" w:lineRule="auto"/>
        <w:rPr>
          <w:sz w:val="20"/>
          <w:szCs w:val="20"/>
          <w:color w:val="auto"/>
        </w:rPr>
      </w:pPr>
      <w:r>
        <w:rPr>
          <w:rFonts w:ascii="Times New Roman" w:cs="Times New Roman" w:eastAsia="Times New Roman" w:hAnsi="Times New Roman"/>
          <w:sz w:val="17"/>
          <w:szCs w:val="17"/>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50" w:lineRule="exact"/>
        <w:rPr>
          <w:sz w:val="20"/>
          <w:szCs w:val="20"/>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unfavorable preclinical results;</w:t>
      </w:r>
    </w:p>
    <w:p>
      <w:pPr>
        <w:spacing w:after="0" w:line="117"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clinical trials of TSHA-101, TSHA-102, TSHA-105, TSHA-118, TSHA-120, TSHA-121 or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1120" w:right="100" w:hanging="370"/>
        <w:spacing w:after="0" w:line="266"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TSHA-101, TSHA-102, TSHA-105, TSHA-118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delays in or termination of clinical trials;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17" w:lineRule="exact"/>
        <w:rPr>
          <w:rFonts w:ascii="Times New Roman" w:cs="Times New Roman" w:eastAsia="Times New Roman" w:hAnsi="Times New Roman"/>
          <w:sz w:val="18"/>
          <w:szCs w:val="18"/>
          <w:color w:val="auto"/>
        </w:rPr>
      </w:pPr>
    </w:p>
    <w:p>
      <w:pPr>
        <w:ind w:left="1120" w:right="200" w:hanging="370"/>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TSHA-101, TSHA-102, TSHA-105, TSHA-118, TSHA-120, TSHA-121 or any other product candidate;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20" w:right="680" w:hanging="370"/>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53" w:lineRule="exact"/>
        <w:rPr>
          <w:rFonts w:ascii="Times New Roman" w:cs="Times New Roman" w:eastAsia="Times New Roman" w:hAnsi="Times New Roman"/>
          <w:sz w:val="18"/>
          <w:szCs w:val="18"/>
          <w:color w:val="auto"/>
        </w:rPr>
      </w:pPr>
    </w:p>
    <w:p>
      <w:pPr>
        <w:ind w:left="1120" w:right="380" w:hanging="370"/>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120" w:right="140" w:hanging="370"/>
        <w:spacing w:after="0" w:line="282"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33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inflation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29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5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Additionally, the holders of an aggregate of approximately 15.9 million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at which time such shares will be freely tradable. If our stockholders sell, or the market perceives that our stockholders intend to sell, substantial amounts of our common stock in the public market, the market price of our common stock could decline significantly.</w:t>
      </w:r>
    </w:p>
    <w:p>
      <w:pPr>
        <w:spacing w:after="0" w:line="29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of 1933, as amended, or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be developed or sustained.</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there was no public market for our common stock. Although our common stock is listed on The Nasdaq Global Market, an active trading market for our shares may never develop or be sustained. If an active market for our common stock does not develop or is not sustained, it may be difficult for you to sell shares of our common stock at an attractive price or at all.</w:t>
      </w:r>
    </w:p>
    <w:p>
      <w:pPr>
        <w:spacing w:after="0" w:line="280"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120" w:hanging="370"/>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will be elected each year;</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entitled to remove directors other than by a 66 2/3% vote and only for cause;</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permitted to take actions by written consent;</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33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5% or more of our common stock and their respective affiliates beneficially own a majority of our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288"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51"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68" w:lineRule="exact"/>
        <w:rPr>
          <w:sz w:val="20"/>
          <w:szCs w:val="20"/>
          <w:color w:val="auto"/>
        </w:rPr>
      </w:pPr>
    </w:p>
    <w:p>
      <w:pPr>
        <w:ind w:left="1120" w:hanging="370"/>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120" w:right="300" w:hanging="370"/>
        <w:spacing w:after="0" w:line="266" w:lineRule="auto"/>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81" w:name="page82"/>
    <w:bookmarkEnd w:id="81"/>
    <w:p>
      <w:pPr>
        <w:ind w:left="1120" w:hanging="370"/>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17" w:lineRule="exact"/>
        <w:rPr>
          <w:rFonts w:ascii="Times New Roman" w:cs="Times New Roman" w:eastAsia="Times New Roman" w:hAnsi="Times New Roman"/>
          <w:sz w:val="18"/>
          <w:szCs w:val="18"/>
          <w:color w:val="auto"/>
        </w:rPr>
      </w:pPr>
    </w:p>
    <w:p>
      <w:pPr>
        <w:ind w:left="1120" w:right="600" w:hanging="370"/>
        <w:spacing w:after="0" w:line="282" w:lineRule="auto"/>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stockholder approval of any golden parachute payments not previously approved.</w:t>
      </w:r>
    </w:p>
    <w:p>
      <w:pPr>
        <w:spacing w:after="0" w:line="27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2025 or, if earlier, (i) the last day of the fiscal year in which we have total annual gross revenue of at least $1.07 billion, (ii) the date on which we are deemed to be a large accelerated filer, which means the market value of our common stock that is held by non-affiliates exceeds $700 million as of the prior June 30th, or (iii) the date on which we have issued more than $1.0 billion in non-convertible debt during the prior three-year period.</w:t>
      </w:r>
    </w:p>
    <w:p>
      <w:pPr>
        <w:spacing w:after="0" w:line="295"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our cash and cash equivalents, including the net proceeds from our initial public offering.</w:t>
      </w:r>
    </w:p>
    <w:p>
      <w:pPr>
        <w:spacing w:after="0" w:line="12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including the net proceeds from our recent initial public offering.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these net proceeds. You will not have the opportunity to influence our decisions on how to use our cash and cash equivalents.</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5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8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120" w:hanging="370"/>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1120" w:right="600" w:hanging="370"/>
        <w:spacing w:after="0" w:line="282" w:lineRule="auto"/>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120" w:right="420" w:hanging="370"/>
        <w:spacing w:after="0" w:line="282" w:lineRule="auto"/>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restated certificate or our amended and restated bylaws;</w:t>
      </w:r>
    </w:p>
    <w:p>
      <w:pPr>
        <w:spacing w:after="0" w:line="53"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Delaware General Corporation Law confers jurisdiction on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333"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8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and other adverse business impacts.</w:t>
      </w:r>
    </w:p>
    <w:p>
      <w:pPr>
        <w:spacing w:after="0" w:line="6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use, generate, transfer, disclose, make accessible, protect and share, or Process or Processing, personal data and other information necessary to operate our business, for legal and marketing purposes, and for other business-related purposes, such as information we collect about patients and healthcare providers in connection with clinical trials in the U.S. and abroad, proprietary and confidential business data, trade secrets, and intellectual property.</w:t>
      </w:r>
    </w:p>
    <w:p>
      <w:pPr>
        <w:spacing w:after="0" w:line="288"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There are numerous federal, state, local, and international laws, regulations, and guidance regarding data privacy and security, or Data Protection Laws, the number and scope of which is changing, subject to differing applications and interpretations, and which may be inconsistent among jurisdictions, or in conflict with other rules, laws or Data Protection Obligations (as defined below).</w:t>
      </w:r>
    </w:p>
    <w:p>
      <w:pPr>
        <w:spacing w:after="0" w:line="28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the California Consumer Privacy Act of 2018, or the CCPA, imposes obligations on businesses to which it applies. These obligations include, without limitation, providing specific disclosures in privacy notices, affording California residents certain rights related to their personal data, and requiring businesses subject to the CCPA to implement certain measures to effectuate California residents’ personal data rights. The CCPA allows for statutory fines for noncompliance (up to $7,500 per violation). In addition, it is anticipated that the California Privacy Rights Act of 2020, or the CPRA, effective January 1, 2023, will expand the CCPA. For example, the CPRA establishes a new California Privacy Protection Agency to implement and enforce the CCPA (as amended), which could increase the risk of an enforcement action. Other states have enacted data privacy and security laws. For example, Virginia passed its Consumer Data Protection Act, and Colorado passed the Colorado Privacy Act, both of which share similarities with, but also differ from, the CPRA and become effective in 2023.</w:t>
      </w:r>
    </w:p>
    <w:p>
      <w:pPr>
        <w:spacing w:after="0" w:line="29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Our operations may be subject to increased scrutiny or attention from foreign data privacy and security authorities. Our clinical trial programs and research collaborations outside the United States may implicate foreign data privacy and security laws, including in Canada and Europe. For example, the European Union’s General Data Protection Regulation, or EU GDPR, and the United Kingdom’s GDPR, or UK GDPR, impose strict requirements for Processing the personal data of individuals located, respectively, within the European Economic Area, or the EEA, and the United Kingdom, or the UK. Under the EU GDPR, government regulators may impose temporary or definitive bans on data Processing, as well as fines up to 20 million euros or 4% of the annual global revenue, whichever is greater. Further, individuals may initiate litigation related to our Processing of their personal data. The UK GDPR allows for similar penalties.</w:t>
      </w:r>
    </w:p>
    <w:p>
      <w:pPr>
        <w:spacing w:after="0" w:line="300"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Certain jurisdictions, including Europe, have enacted data localization laws and cross-border personal data transfers laws. For example, absent appropriate safeguards or other circumstances, the EU GDPR generally restricts the transfer of personal data to countries outside of the EEA, such as the United States, which the European Commission does not consider as providing an adequate level of personal data protection. The European Commission released a set of Standard Contractual Clauses that are designed to be a valid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The Standard Contractual Clauses, however, require parties that rely upon them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personal data transfers out of the EEA. In addition, laws in Switzerland and the UK similarly restrict personal data transfers outside of those jurisdictions to countries such as the U.S. that do not provide an adequate level of personal data protection. Other jurisdictions have enacted or are considering similar cross-border personal data transfer laws and local personal data residency laws, any of which could increase the cost and complexity of doing business. If we cannot implement a valid compliance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ind w:right="160"/>
        <w:spacing w:after="0" w:line="258" w:lineRule="auto"/>
        <w:rPr>
          <w:sz w:val="20"/>
          <w:szCs w:val="20"/>
          <w:color w:val="auto"/>
        </w:rPr>
      </w:pPr>
      <w:r>
        <w:rPr>
          <w:rFonts w:ascii="Times New Roman" w:cs="Times New Roman" w:eastAsia="Times New Roman" w:hAnsi="Times New Roman"/>
          <w:sz w:val="18"/>
          <w:szCs w:val="18"/>
          <w:color w:val="auto"/>
        </w:rPr>
        <w:t>mechanism for cross-border personal data transfers, we may face increased exposure to regulatory actions, substantial fines, and injunctions against processing or transferring personal data from Europe or elsewhere. Inability to import personal data to the United States may significantly and negatively impact our business operations, including by limiting our ability to conduct clinical trial activities in Europe and elsewhere; limiting our ability to collaborate with parties subject to European and other data protection laws or requiring us to increase our personal data processing capabilities in Europe and/or elsewhere at significant expense.</w:t>
      </w:r>
    </w:p>
    <w:p>
      <w:pPr>
        <w:spacing w:after="0" w:line="29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are also subject to the terms of our privacy and security policies, representations, certifications, standards, publications and frameworks, or Privacy Policies, and contractual obligations to third parties related to privacy, security and the Processing personal data, or Data Protection Obligations, including without limitation, operating rules and standards imposed by industry organizations. Data Protection Laws and data privacy security issues worldwide are, and are likely to remain, uncertain for the foreseeable future. We strive to comply with applicable Data Protection Laws, Privacy Policies and Data Protection Obligations to the extent possible, but we may at times fail to do so, or may be perceived to have failed to do so. Moreover, despite our efforts, we may not be successful in achieving compliance if our personnel, partners or vendors do not comply with applicable Data Protection Laws, Privacy Policies and Data Protection Obligations.</w:t>
      </w:r>
    </w:p>
    <w:p>
      <w:pPr>
        <w:spacing w:after="0" w:line="297"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If we fail, or are perceived to have failed, to address or comply with applicable Data Protection Laws, Privacy Policies and Data Protection Obligations, such failure or perceived failure could: increase our compliance and operational costs; expose us to regulatory scrutiny, actions, fines and penalties; result in reputational harm; interrupt or stop clinical trials; result in litigation and liability; result in an inability to Process personal data or to operate in certain jurisdictions; cause a material adverse impact to business operations or financial results; and otherwise result in other material harm to our business.</w:t>
      </w:r>
    </w:p>
    <w:p>
      <w:pPr>
        <w:spacing w:after="0" w:line="29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With applicable Data Protection Laws, Privacy Policies and Data Protection Obligations imposing complex and burdensome obligations, and with substantial uncertainty over the interpretation and application of these requirements, we have faced and may face additional challenges in addressing and complying with them, and making necessary changes to our Privacy Policies and practices, and may incur material costs and expenses in an effort to do so, any of which could materially adversely affect our business operations and financial results, and may limit the adoption and use of, and reduce the overall demand for, our products, which could have an adverse impact on our business.</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is or were compromised, we could experience adverse impacts resulting from such compromise, including, but not limited to interruptions to our operations such as our clinical trials, claims that we breached our data protection obligations, harm to our reputation, and a loss of customers or sales.</w:t>
      </w:r>
    </w:p>
    <w:p>
      <w:pPr>
        <w:spacing w:after="0" w:line="67" w:lineRule="exact"/>
        <w:rPr>
          <w:sz w:val="20"/>
          <w:szCs w:val="20"/>
          <w:color w:val="auto"/>
        </w:rPr>
      </w:pPr>
    </w:p>
    <w:p>
      <w:pPr>
        <w:ind w:right="320" w:firstLine="749"/>
        <w:spacing w:after="0" w:line="312" w:lineRule="auto"/>
        <w:rPr>
          <w:sz w:val="20"/>
          <w:szCs w:val="20"/>
          <w:color w:val="auto"/>
        </w:rPr>
      </w:pPr>
      <w:r>
        <w:rPr>
          <w:rFonts w:ascii="Times New Roman" w:cs="Times New Roman" w:eastAsia="Times New Roman" w:hAnsi="Times New Roman"/>
          <w:sz w:val="17"/>
          <w:szCs w:val="17"/>
          <w:color w:val="auto"/>
        </w:rPr>
        <w:t>In the ordinary course of our business, we may process proprietary, confidential and sensitive information, including personal data (including health information), intellectual property, trade secrets, and proprietary business information owned or controlled by ourselves or other parties.</w:t>
      </w:r>
    </w:p>
    <w:p>
      <w:pPr>
        <w:spacing w:after="0" w:line="24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may use third-party service providers and subprocessors to help us operate our business and engage in Processing on our behalf. We may also share sensitive information with our partners or other third parties in conjunction with our business. If we, our service providers, partners or other relevant third parties have experienced, or in the future experience, any security incident(s) that result in any data loss, deletion or destruction, unauthorized access to, loss of, unauthorized acquisition or disclosure of, or inadvertent exposure or disclosure of, sensitive information, or compromise related to the security, confidentiality, integrity or availability of our information technology, software, services, communications or data (or those of our service providers, partners or other relevant third parties) (“collectively “Security Breach”), it may have a material adverse effect on our business, including without limitation, regulatory investigations or enforcement actions, litigation, indemnity obligations, negative publicity and financial loss. For example, the loss of clinical trial data from completed or ongoing or planned clinical trials could result in delays in our regulatory approval efforts and could require us to incur substantial cost to recover or reproduce such data. Security Breaches and attendant consequences may cause customers to stop using our products, deter new customers for using our products, and otherwise negatively impact our ability to grow and operate our business.</w:t>
      </w:r>
    </w:p>
    <w:p>
      <w:pPr>
        <w:spacing w:after="0" w:line="30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These threats come from a variety of sources. In addition to traditional computer “hackers,” threat actors, personnel misconduct or error (employee theft or misuse), sophisticated nation-state and nation-state supported actors now engage in attacks (including advanced persistent threat intrusions). We may be subject to a variety of evolving threats, including but not limited to social engineering attacks (including through phishing attacks), malicious code (such as viruses and worms), malware (including as a result of advanced persistent threat intrusions), denial-of-service attacks (such as credential stuffing), ransomware attacks, supply-chain attacks, software bugs, server malfunction, software or hardware failures, loss of data or other information technology assets, adware, telecommunications failures, earthquakes, fire, flood, and other similar threats. Ransomware attacks, including those perpetrated by organized criminal threat actors, nation-states, and nation-state 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payments.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ind w:right="40"/>
        <w:spacing w:after="0" w:line="258" w:lineRule="auto"/>
        <w:rPr>
          <w:sz w:val="20"/>
          <w:szCs w:val="20"/>
          <w:color w:val="auto"/>
        </w:rPr>
      </w:pPr>
      <w:r>
        <w:rPr>
          <w:rFonts w:ascii="Times New Roman" w:cs="Times New Roman" w:eastAsia="Times New Roman" w:hAnsi="Times New Roman"/>
          <w:sz w:val="18"/>
          <w:szCs w:val="18"/>
          <w:color w:val="auto"/>
        </w:rPr>
        <w:t>Similarly, supply-chain attacks have increased in frequency and severity, and we cannot guarantee that third parties and infrastructure in our supply chain have not been compromised or that they do not contain exploitable defects or bugs that could result in a breach of or disruption to our information technology systems or the third-party information technology systems that support us and our services. The COVID-19 pandemic and our remote workforce poses increased risks to our information technology systems and data, as more of our employees work from home, utilizing network connections outside our premises.</w:t>
      </w:r>
    </w:p>
    <w:p>
      <w:pPr>
        <w:spacing w:after="0" w:line="29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Applicable Data Protection Laws, Privacy Policies and Data Protection Obligations may require us to implement specific security measures or use industry-standard or reasonable measures to protect against Security Breaches. While we have implemented security measures designed to protect against Security Breaches, there can be no assurance that our security measures or those of our service providers, partners and other third parties will be effective in protecting against all Security Breaches and material adverse impacts that may arise from such breaches. The recovery systems, security protocols, network protection mechanisms and other security measures that we (and our third parties) have integrated into our platform, systems, networks and physical facilities, which are designed to protect against, detect and minimize Security Breaches, may not be adequate to prevent or detect service interruption, system failure or data loss.</w:t>
      </w:r>
    </w:p>
    <w:p>
      <w:pPr>
        <w:spacing w:after="0" w:line="296"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We have not always been able in the past and may be unable in the future to detect, anticipate, measure or prevent threats or techniques used to detect or exploit vulnerabilities in our (or our third parties’) information technology, services, communications or software, or cause Security Breaches, because such threats and techniques change frequently, are often sophisticated in nature, and may not be detected until after an incident has occurred. In addition, security researchers and other individuals have in the past and will continue in the future to actively search for and exploit actual and potential vulnerabilities in our (or our third parties’) information technology and communications. We cannot be certain that we will be able to address any such vulnerabilities, in whole or part, and there may be delays in developing and deploying patches and other remedial measures to adequately address vulnerabilities.</w:t>
      </w:r>
    </w:p>
    <w:p>
      <w:pPr>
        <w:spacing w:after="0" w:line="29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Applicable Data Protection Laws, Privacy Policies and Data Protection Obligations may require us to notify relevant stakeholders of Security Breaches, including affected individuals, regulators and credit reporting agencies. Such disclosures are costly, and the disclosures or the failure to comply with such requirements, could lead to material adverse impacts, including without limitation, negative publicity, a loss of confidence in our security measures or breach of contract claims.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29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may not have adequate insurance coverage in the event of a Security Breach. We cannot assure that our existing coverage will be adequate or otherwise protect us from or adequately mitigate liabilities or damages with respect to claims, costs, expenses, litigation, fines, penalties, business loss, data loss, regulatory actions or material adverse impacts arising out of our privacy and security practices, Processing or Security Breaches we may experience, or that such coverage will continue to be available on acceptable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29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If we fail, or are perceived to have failed, to address or comply with these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will be subject to the Foreign Corrupt Practices Act, or FCPA, and similar anti-bribery and anti-corruption laws.</w:t>
      </w:r>
    </w:p>
    <w:p>
      <w:pPr>
        <w:spacing w:after="0" w:line="121" w:lineRule="exact"/>
        <w:rPr>
          <w:sz w:val="20"/>
          <w:szCs w:val="20"/>
          <w:color w:val="auto"/>
        </w:rPr>
      </w:pPr>
    </w:p>
    <w:p>
      <w:pPr>
        <w:ind w:right="80" w:firstLine="749"/>
        <w:spacing w:after="0" w:line="272" w:lineRule="auto"/>
        <w:rPr>
          <w:sz w:val="20"/>
          <w:szCs w:val="20"/>
          <w:color w:val="auto"/>
        </w:rPr>
      </w:pPr>
      <w:r>
        <w:rPr>
          <w:rFonts w:ascii="Times New Roman" w:cs="Times New Roman" w:eastAsia="Times New Roman" w:hAnsi="Times New Roman"/>
          <w:sz w:val="17"/>
          <w:szCs w:val="17"/>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We may engage third parties to sell our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ind w:right="100"/>
        <w:spacing w:after="0" w:line="253" w:lineRule="auto"/>
        <w:rPr>
          <w:sz w:val="20"/>
          <w:szCs w:val="20"/>
          <w:color w:val="auto"/>
        </w:rPr>
      </w:pPr>
      <w:r>
        <w:rPr>
          <w:rFonts w:ascii="Times New Roman" w:cs="Times New Roman" w:eastAsia="Times New Roman" w:hAnsi="Times New Roman"/>
          <w:sz w:val="18"/>
          <w:szCs w:val="18"/>
          <w:color w:val="auto"/>
        </w:rPr>
        <w:t>products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There is no certainty that all of our employees, agents, suppliers, manufacturers, contractors, or collaborators, or those of our affiliates, will comply with all applicable laws and regulations, particularly given the high level of complexity of these laws. We can be held liable for the corrupt or other illegal activities of our employees, agents, contractors, and other collaborators, even if we do not explicitly authorize or have actual knowledge of such activities.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96"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 Compliance with these legal requirements could limit our ability to compete in foreign markets and subject us to liability if we violate them.</w:t>
      </w:r>
    </w:p>
    <w:p>
      <w:pPr>
        <w:spacing w:after="0" w:line="6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 candidates outside of the U.S.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29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addition, changes in our product candidates or changes in applicable export or import laws and regulations may create delays in the introduction, provision or sale of our product candidates in international markets, prevent customers from using our product candidates or, in some cases, prevent the export or import of our product candidates to certain countries, governments or persons altogether. Any limitation on our ability to export, provide or sell our product candidates could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of 2002, or the Sarbanes-Oxley Act, and the rules and regulations of The Nasdaq Stock Market. The Sarbanes-Oxley Act requires, among other things, that we maintain effective disclosure controls and procedures and internal control over financial reporting.</w:t>
      </w:r>
    </w:p>
    <w:p>
      <w:pPr>
        <w:spacing w:after="0" w:line="28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must perform system and process evaluation and testing of 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 Prior to the year ended December 31, 2021, we have never been required to test our internal controls within a specified period, and, as a result, we may experience difficulty in meeting these reporting requirements in a timely manner.</w:t>
      </w:r>
    </w:p>
    <w:p>
      <w:pPr>
        <w:spacing w:after="0" w:line="29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91" w:lineRule="exact"/>
        <w:rPr>
          <w:sz w:val="20"/>
          <w:szCs w:val="20"/>
          <w:color w:val="auto"/>
        </w:rPr>
      </w:pPr>
    </w:p>
    <w:p>
      <w:pPr>
        <w:ind w:right="100" w:firstLine="749"/>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 or other regulatory authorities.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6" w:name="page87"/>
    <w:bookmarkEnd w:id="86"/>
    <w:p>
      <w:pPr>
        <w:ind w:right="100"/>
        <w:spacing w:after="0" w:line="261" w:lineRule="auto"/>
        <w:rPr>
          <w:sz w:val="20"/>
          <w:szCs w:val="20"/>
          <w:color w:val="auto"/>
        </w:rPr>
      </w:pPr>
      <w:r>
        <w:rPr>
          <w:rFonts w:ascii="Times New Roman" w:cs="Times New Roman" w:eastAsia="Times New Roman" w:hAnsi="Times New Roman"/>
          <w:sz w:val="18"/>
          <w:szCs w:val="18"/>
          <w:color w:val="auto"/>
        </w:rPr>
        <w:t>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have generated and expect to continue to generate significant federal and state net operating loss, or NOL, carryforwards in the future. As of December 31, 2021, there were federal and state NOLs of $175.6 million and $4.1 million respectively. These NOL carryforwards could expire unused and be unavailable to offset future income tax liabilities. Under the Tax Cuts and Jobs, or the Tax Act, as modified by the Coronavirus Aid, Relief, and Economic Security Act, or CARES Act, federal NOLs incurred in taxable years beginning after December 31, 2017 and in future taxable years may be carried forward indefinitely, but the deductibility of such federal NOLs incurred in the taxable year beginning after December 31, 2020 is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our recent initial public offering, together with private placements and other transactions that have occurred since our inception, may have triggered such an ownership change pursuant to Section 382. We have not yet completed a Section 382 analysis. We may experience ownership changes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demands upon management as a result of being a public company.</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will incur significant additional legal, accounting and other costs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96"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January 2021, we entered into a lease agreement for 15,000 square feet of administrative space in Dallas, Texas, pursuant to a lease agreement that expires approximately ten years after the lease commenced in May 2021. This lease was amended in December 2021 to lease an additional 18,000 square feet of administrative space in Dallas, TX, pursuant to a lease amendment that expires approximately ten years after the lease commencement date. In December 2020, we entered into a lease agreement for approximately 187,500 square feet of a manufacturing facility in Durham, North Carolina, pursuant to a lease agreement that expires in September 2036. We have two options to extend the term of that lease, each for a period of an additional five years. In August of 2021 we entered into a lease agreement for 9,400 square feet of laboratory space in Research Triangle Park, North Carolina, pursuant to a lease agreement that expires approximately four years after the lease commenced in September 2021. This lease was amended in December 2021 to rent approximately 3,600 square feet of additional laboratory space.</w:t>
      </w:r>
    </w:p>
    <w:p>
      <w:pPr>
        <w:spacing w:after="0" w:line="300" w:lineRule="exact"/>
        <w:rPr>
          <w:sz w:val="20"/>
          <w:szCs w:val="20"/>
          <w:color w:val="auto"/>
        </w:rPr>
      </w:pPr>
    </w:p>
    <w:p>
      <w:pPr>
        <w:ind w:right="100" w:firstLine="749"/>
        <w:spacing w:after="0" w:line="312" w:lineRule="auto"/>
        <w:rPr>
          <w:sz w:val="20"/>
          <w:szCs w:val="20"/>
          <w:color w:val="auto"/>
        </w:rPr>
      </w:pPr>
      <w:r>
        <w:rPr>
          <w:rFonts w:ascii="Times New Roman" w:cs="Times New Roman" w:eastAsia="Times New Roman" w:hAnsi="Times New Roman"/>
          <w:sz w:val="17"/>
          <w:szCs w:val="17"/>
          <w:color w:val="auto"/>
        </w:rPr>
        <w:t>We believe that our facilities are suitable and adequate to meet our needs. We intend to add new facilities or expand existing facilities as we add employees, and we believe that suitable additional or substitute space will be available as needed to accommodate any such expansion of our operations.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left="7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“TSHA.”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As of March 31, 2022, we had 38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September 23, 2020, our Registration Statement on Form S-1, as amended (File No. 333-248559), was declared effective in connection with our initial public offering, pursuant to which we sold an aggregate of 9,050,000 shares of our common stock, including the full exercise of the underwriters’ option to purchase additional shares, at a price to the public of $20.00 per share. The joint book-running managers of our initial public offering were Goldman Sachs &amp; Co. LLC, Morgan Stanley &amp; Co. LLC, Jefferies LLC, and Chardan Capital Markets, LLC acted as lead manager. There has been no material change in the planned use of proceeds from our initial public offering as described in our prospectus filed pursuant to Rule 424(b)(4) under the Securities Act with the SEC on September 25,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are a patient-centric gene therapy company focused on developing and commercializing AAV-based gene therapies for the treatment of monogenic diseases of the central nervous system, or CNS,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GAN and Rett syndrome. We will conduct small proof-of-concept studies in CLN1 disease and SLC13A5 deficiency. Development of the CLN7 program will continue in collaboration with existing partners with future clinical development to focus on the first-generation construct. All other research and development activities will be paused to increase operational efficiency.</w:t>
      </w:r>
    </w:p>
    <w:p>
      <w:pPr>
        <w:spacing w:after="0" w:line="8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April 2021, we acquired exclusive worldwide rights to TSHA-120, a clinical-stage, intrathecally dosed AAV9 gene therapy program for the treatment of giant axonal neuropathy, or GAN. A Phase 1/2 clinical trial of TSHA-120 is being conducted by the National Institutes of Health, or NIH, under an accepted investigational new drug application, or IND. We reported clinical safety and functional MFM32 data from this trial for the highest dose cohort of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in January 2022, where we saw continued clinically meaningful slowing of disease progression similar to that achieved with the lower dose cohorts, which we considered confirmatory of disease modification. For Rett syndrome, we submitted a CTA filing in November 2021 and announced initiation of clinical development of TSHA-102 under a Clinical Trial Application (CTA) approved by Health Canada in March 2022. We expect to report preliminary clinical data for TSHA-102 in Rett syndrome by year-end 2022. We recently executed an exclusive option from UT Southwestern to license worldwide rights to a clinical-stage CLN7 program. The CLN7 program is currently in a Phase 1 clinical proof-of-concept trial run by UT Southwestern, and we reported preliminary clinical safety data for the first patient in history to be intrathecally dosed at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with the first-generation construct in December 2021. Development of the CLN7 program will continue in collaboration with existing partners with future clinical development to focus on the first-generation construct. We will conduct small proof-of-concept studies in CLN1 disease and SLC13A5 deficiency that we believe can further validate our platform. We plan to initiate clinical development on TSHA-105 for the treatment of SLC13A5 in 2022.</w:t>
      </w:r>
    </w:p>
    <w:p>
      <w:pPr>
        <w:spacing w:after="0" w:line="122"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our lead product candidates are still in the clinical or preclinical development stage. We do not have any product candidates approved for sale and have not generated any revenue from product sales. We have funded our operations primarily through the sale of equity, raising an aggregate of $307.0 million of gross proceeds from our initial public offering and private placements of our convertible preferred stock. In addition, we drew $30.0 million and $10.0 million in term loans on August 12, 2021 and December 29, 2021, respectively.</w:t>
      </w:r>
    </w:p>
    <w:p>
      <w:pPr>
        <w:spacing w:after="0" w:line="29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drew an additional $10.0 million term loan on December 29, 2021.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19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$174.5 million for the year ended December 31, 2021 and $60.0 million for the year ended December 31, 2020. As of December 31, 2021, we had an accumulated deficit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0" w:name="page91"/>
    <w:bookmarkEnd w:id="90"/>
    <w:p>
      <w:pPr>
        <w:ind w:right="320"/>
        <w:spacing w:after="0" w:line="282" w:lineRule="auto"/>
        <w:rPr>
          <w:sz w:val="20"/>
          <w:szCs w:val="20"/>
          <w:color w:val="auto"/>
        </w:rPr>
      </w:pPr>
      <w:r>
        <w:rPr>
          <w:rFonts w:ascii="Times New Roman" w:cs="Times New Roman" w:eastAsia="Times New Roman" w:hAnsi="Times New Roman"/>
          <w:sz w:val="18"/>
          <w:szCs w:val="18"/>
          <w:color w:val="auto"/>
        </w:rPr>
        <w:t>$235.6 million. We expect to continue to incur significant expenses and operating losses for the foreseeable future. We anticipate that our expenses will increase significantly in connection with our ongoing activities, as we:</w:t>
      </w:r>
    </w:p>
    <w:p>
      <w:pPr>
        <w:spacing w:after="0" w:line="54" w:lineRule="exact"/>
        <w:rPr>
          <w:sz w:val="20"/>
          <w:szCs w:val="20"/>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144" w:lineRule="exact"/>
        <w:rPr>
          <w:rFonts w:ascii="Times New Roman" w:cs="Times New Roman" w:eastAsia="Times New Roman" w:hAnsi="Times New Roman"/>
          <w:sz w:val="18"/>
          <w:szCs w:val="18"/>
          <w:color w:val="auto"/>
        </w:rPr>
      </w:pPr>
    </w:p>
    <w:p>
      <w:pPr>
        <w:ind w:left="1120" w:right="440" w:hanging="370"/>
        <w:spacing w:after="0" w:line="282"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TSHA-101, TSHA-102, TSHA-118, TSHA-120 and TSHA-121, as well as initiate and complete additional clinical trials of TSHA-105 and any other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 or cGMP material for clinical trials or potential commercial sales;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a commercial-scale cGMP manufacturing facility;</w:t>
      </w:r>
    </w:p>
    <w:p>
      <w:pPr>
        <w:spacing w:after="0" w:line="144" w:lineRule="exact"/>
        <w:rPr>
          <w:rFonts w:ascii="Times New Roman" w:cs="Times New Roman" w:eastAsia="Times New Roman" w:hAnsi="Times New Roman"/>
          <w:sz w:val="18"/>
          <w:szCs w:val="18"/>
          <w:color w:val="auto"/>
        </w:rPr>
      </w:pPr>
    </w:p>
    <w:p>
      <w:pPr>
        <w:ind w:left="1120" w:right="60" w:hanging="370"/>
        <w:spacing w:after="0" w:line="282"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4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the UT Southwestern Agreement with The Board of Regents of the University of Texas System on behalf of UT Southwestern, as amended in April 2020.</w:t>
      </w:r>
    </w:p>
    <w:p>
      <w:pPr>
        <w:spacing w:after="0" w:line="27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295"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UT Southwestern Agreement, we issued to UT Southwestern 2,179,000 shares of our common stock. We are aware that UTSW has sold all such shares as of the date of this Annual Report on Form 10-K. We do not have any future milestone or royalty obligations to UT Southwestern under the UT Southwestern Agreement, other than costs related to the maintenance of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Queen’s University</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the Queen’s University Agreement with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Queen’s University Agreement, we paid Queen’s University a one-time fee of $3.0 million as an upfront fee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$0.2 million to reimburse Queen’s University for certain plasmid production costs. We are obligated to pay Queen’s University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in the aggregate upon achievement of certain regulatory milestones and up to $10.0 million in the aggregate upon achievement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milestones, a low single-digit royalty on net sales of licensed products, subject to certain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1" w:name="page92"/>
    <w:bookmarkEnd w:id="91"/>
    <w:p>
      <w:pPr>
        <w:spacing w:after="0" w:line="258" w:lineRule="auto"/>
        <w:rPr>
          <w:sz w:val="20"/>
          <w:szCs w:val="20"/>
          <w:color w:val="auto"/>
        </w:rPr>
      </w:pPr>
      <w:r>
        <w:rPr>
          <w:rFonts w:ascii="Times New Roman" w:cs="Times New Roman" w:eastAsia="Times New Roman" w:hAnsi="Times New Roman"/>
          <w:sz w:val="18"/>
          <w:szCs w:val="18"/>
          <w:color w:val="auto"/>
        </w:rPr>
        <w:t>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 received by us in connection with the sale of a PRV related to a licensed product, not to exceed a low eight-figure amount.</w:t>
      </w:r>
    </w:p>
    <w:p>
      <w:pPr>
        <w:spacing w:after="0" w:line="291"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a separate research grant agreement with Queen’s University, we reimbursed Queen’s University for certain manufacturing production costs totaling $3.8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August 2020, we entered into the Abeona CLN1 Agreement with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288"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In December 2021 a regulatory milestone was triggered in connection with this agreement and therefore we recorded $3.0 million within research and development expenses in the consolidated statements of operations for the year ended December 31, 2021. The milestone fee was paid in January 2022.</w:t>
      </w:r>
    </w:p>
    <w:p>
      <w:pPr>
        <w:spacing w:after="0" w:line="30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295"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been actively monitoring the COVID-19 situation and its impact globally. Our financial results for the year ended December 31, 2021 were not impacted by COVID-19, and we currently do not expect any material impact on our financial results in 2022. We believe the remote working arrangements and travel restrictions imposed by various governmental jurisdictions have had limited impact on our ability to maintain internal operations during the year ended December 31, 2021. The extent to which COVID-19 may impact our business and operations will depend on future developments that are highly uncertain and cannot be predicted with confidence, such as the duration of the outbreak, the effectiveness of actions to contain and treat COVID-19 and the availability, timing and effectiveness of a vaccine, both domestically and globally. We cannot presently predict the scope and severity of any potential business shutdowns or disruptions, including to our planned clinical trials and preclinical studies. Any such shutdowns or other business interruptions could result in material and negative effects to our ability to conduct our business in the manner and on the timelines presently planned, which could have a material adverse impact on our business, results of operation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79" w:lineRule="exact"/>
        <w:rPr>
          <w:sz w:val="20"/>
          <w:szCs w:val="20"/>
          <w:color w:val="auto"/>
        </w:rPr>
      </w:pPr>
    </w:p>
    <w:p>
      <w:pPr>
        <w:ind w:left="1120" w:right="620" w:hanging="37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44" w:lineRule="exact"/>
        <w:rPr>
          <w:rFonts w:ascii="Times New Roman" w:cs="Times New Roman" w:eastAsia="Times New Roman" w:hAnsi="Times New Roman"/>
          <w:sz w:val="18"/>
          <w:szCs w:val="18"/>
          <w:color w:val="auto"/>
        </w:rPr>
      </w:pPr>
    </w:p>
    <w:p>
      <w:pPr>
        <w:ind w:left="1120" w:right="660" w:hanging="37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120" w:right="780" w:hanging="37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or CMOs;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44" w:lineRule="exact"/>
        <w:rPr>
          <w:rFonts w:ascii="Times New Roman" w:cs="Times New Roman" w:eastAsia="Times New Roman" w:hAnsi="Times New Roman"/>
          <w:sz w:val="18"/>
          <w:szCs w:val="18"/>
          <w:color w:val="auto"/>
        </w:rPr>
      </w:pPr>
    </w:p>
    <w:p>
      <w:pPr>
        <w:ind w:left="1120" w:right="680" w:hanging="37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27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4" w:lineRule="exact"/>
        <w:rPr>
          <w:sz w:val="20"/>
          <w:szCs w:val="20"/>
          <w:color w:val="auto"/>
        </w:rPr>
      </w:pPr>
    </w:p>
    <w:p>
      <w:pPr>
        <w:ind w:left="1120" w:hanging="370"/>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93" w:name="page94"/>
    <w:bookmarkEnd w:id="93"/>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44" w:lineRule="exact"/>
        <w:rPr>
          <w:rFonts w:ascii="Times New Roman" w:cs="Times New Roman" w:eastAsia="Times New Roman" w:hAnsi="Times New Roman"/>
          <w:sz w:val="18"/>
          <w:szCs w:val="18"/>
          <w:color w:val="auto"/>
        </w:rPr>
      </w:pPr>
    </w:p>
    <w:p>
      <w:pPr>
        <w:ind w:left="1120" w:right="240" w:hanging="370"/>
        <w:spacing w:after="0" w:line="282"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of our product candidates;</w:t>
      </w:r>
    </w:p>
    <w:p>
      <w:pPr>
        <w:spacing w:after="0" w:line="144" w:lineRule="exact"/>
        <w:rPr>
          <w:rFonts w:ascii="Times New Roman" w:cs="Times New Roman" w:eastAsia="Times New Roman" w:hAnsi="Times New Roman"/>
          <w:sz w:val="18"/>
          <w:szCs w:val="18"/>
          <w:color w:val="auto"/>
        </w:rPr>
      </w:pPr>
    </w:p>
    <w:p>
      <w:pPr>
        <w:ind w:left="1120" w:right="100" w:hanging="370"/>
        <w:spacing w:after="0" w:line="266"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3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w:t>
      </w:r>
    </w:p>
    <w:p>
      <w:pPr>
        <w:spacing w:after="0" w:line="284"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expanded infrastructure, as well as the initiation and continuation of our preclinical studies and clinical trials for our product candidates. We also anticipate that our general and administrative expenses will increase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 Ended December 31, 2021 and 2020</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2021 and 2020 (in thousands):</w:t>
      </w:r>
    </w:p>
    <w:p>
      <w:pPr>
        <w:spacing w:after="0" w:line="23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56"/>
        </w:trPr>
        <w:tc>
          <w:tcPr>
            <w:tcW w:w="598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6"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131,943</w:t>
            </w:r>
          </w:p>
        </w:tc>
        <w:tc>
          <w:tcPr>
            <w:tcW w:w="160" w:type="dxa"/>
            <w:vAlign w:val="bottom"/>
          </w:tcPr>
          <w:p>
            <w:pPr>
              <w:spacing w:after="0"/>
              <w:rPr>
                <w:sz w:val="19"/>
                <w:szCs w:val="19"/>
                <w:color w:val="auto"/>
              </w:rPr>
            </w:pP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20" w:type="dxa"/>
            <w:vAlign w:val="bottom"/>
            <w:shd w:val="clear" w:color="auto" w:fill="CFF0FC"/>
          </w:tcPr>
          <w:p>
            <w:pPr>
              <w:spacing w:after="0"/>
              <w:rPr>
                <w:sz w:val="19"/>
                <w:szCs w:val="19"/>
                <w:color w:val="auto"/>
              </w:rPr>
            </w:pPr>
          </w:p>
        </w:tc>
      </w:tr>
      <w:tr>
        <w:trPr>
          <w:trHeight w:val="223"/>
        </w:trPr>
        <w:tc>
          <w:tcPr>
            <w:tcW w:w="5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173,267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120" w:type="dxa"/>
            <w:vAlign w:val="bottom"/>
            <w:tcBorders>
              <w:bottom w:val="single" w:sz="8" w:color="CFF0FC"/>
            </w:tcBorders>
          </w:tcPr>
          <w:p>
            <w:pPr>
              <w:spacing w:after="0"/>
              <w:rPr>
                <w:sz w:val="19"/>
                <w:szCs w:val="19"/>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120" w:type="dxa"/>
            <w:vAlign w:val="bottom"/>
            <w:shd w:val="clear" w:color="auto" w:fill="CFF0FC"/>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(17,030)</w:t>
            </w:r>
          </w:p>
        </w:tc>
      </w:tr>
      <w:tr>
        <w:trPr>
          <w:trHeight w:val="230"/>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7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12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(174,523)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3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$131.9 million for the year ended December 31, 2021, compared to $31.9 million for the year ended December 31, 2020. The $100.0 million increase was primarily attributable to an increase of $38.3 million of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4" w:name="page95"/>
    <w:bookmarkEnd w:id="94"/>
    <w:p>
      <w:pPr>
        <w:spacing w:after="0" w:line="258" w:lineRule="auto"/>
        <w:rPr>
          <w:sz w:val="20"/>
          <w:szCs w:val="20"/>
          <w:color w:val="auto"/>
        </w:rPr>
      </w:pPr>
      <w:r>
        <w:rPr>
          <w:rFonts w:ascii="Times New Roman" w:cs="Times New Roman" w:eastAsia="Times New Roman" w:hAnsi="Times New Roman"/>
          <w:sz w:val="18"/>
          <w:szCs w:val="18"/>
          <w:color w:val="auto"/>
        </w:rPr>
        <w:t>incurred in research and development manufacturing and other raw material purchases, which included cGMP batches produced by Catalent and UT Southwestern. We also incurred an increase in employee compensation and expenses of $32.7 million, which included $7.1 million of non-cash stock-based compensation, due to an increase in the employee headcount in the research and development function. We also incurred an increase of $29.0 million of third-party research and development consulting fees, primarily related to GLP toxicology studies, clinical study CRO activities, and consulting for regulatory and clinical studies.</w:t>
      </w:r>
    </w:p>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3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$41.3 million for the year ended December 31, 2021, compared to $11.1 million for the year ended December 31, 2020. The increase of approximately $30.2 million was primarily attributable to $16.3 million of incremental compensation expense, which included $7.7 million of non-cash stock-based compensation, due to increases in employee headcount. We also incurred an increase of $13.9 million in professional fees related to legal, insurance, investor relations/communications, accounting, personnel recruiting, market research and patient advocacy activities.</w:t>
      </w:r>
    </w:p>
    <w:p>
      <w:pPr>
        <w:spacing w:after="0" w:line="3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for the year ended December 31, 2021 primarily consisted of interest expense incurred under the Term Loan Agreement.</w:t>
      </w:r>
    </w:p>
    <w:p>
      <w:pPr>
        <w:spacing w:after="0" w:line="3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for the year ended December 31, 2021 primarily consisted of interest earned on our savings account.</w:t>
      </w:r>
    </w:p>
    <w:p>
      <w:pPr>
        <w:spacing w:after="0" w:line="3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Preferred Stock Tranche Liability</w:t>
      </w:r>
    </w:p>
    <w:p>
      <w:pPr>
        <w:spacing w:after="0" w:line="11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determined that our obligation to issue, and the investors’ right to purchase, additional shares of Series A convertible preferred stock pursuant to the milestone closings represented a freestanding financial instrument, or the tranche liability. The tranche liability was initially recorded at fair value. We concluded that the tranche liability met the definition of a freestanding financial instrument, as it was legally detachable and separately exercisable from the initial closing of the Series A convertible preferred stock.</w:t>
      </w:r>
    </w:p>
    <w:p>
      <w:pPr>
        <w:spacing w:after="0" w:line="2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June 30, 2020, ahead of the anticipated closing of the Series B preferred stock financing at a purchase price of $17.00 per share on July 2, 2020, certain investors elected to exercise in full their options to purchase their pro-rata portion of the milestone shares prior to our achievement of the clinical milestones and purchased 200,000 shares of Series A convertible preferred stock. We remeasured the fair value of the entire tranche liability at June 30, 2020, and recognized a non-cash expense of approximately $17.0 million. The tranche liability was extinguished upon the issuance of the Series A milestone shares on July 1, 2020 and July 2, 2020, and no additional changes in fair value were recorded.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As of December 31, 2021, we had cash and cash equivalents of $149.1 million. We have funded our operations primarily through equity financings, raising an aggregate of $307.0 million in gross proceeds from our initial public offering and private placements of convertible preferred stock.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p>
    <w:p>
      <w:pPr>
        <w:spacing w:after="0" w:line="29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an additional $10.0 million in term loans on December 29, 2021. The loan repayment schedule provides for interest only payments until August 31, 2024, followed by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5" w:name="page96"/>
    <w:bookmarkEnd w:id="95"/>
    <w:p>
      <w:pPr>
        <w:ind w:right="380"/>
        <w:spacing w:after="0" w:line="282" w:lineRule="auto"/>
        <w:rPr>
          <w:sz w:val="20"/>
          <w:szCs w:val="20"/>
          <w:color w:val="auto"/>
        </w:rPr>
      </w:pPr>
      <w:r>
        <w:rPr>
          <w:rFonts w:ascii="Times New Roman" w:cs="Times New Roman" w:eastAsia="Times New Roman" w:hAnsi="Times New Roman"/>
          <w:sz w:val="18"/>
          <w:szCs w:val="18"/>
          <w:color w:val="auto"/>
        </w:rPr>
        <w:t>consecutive monthly payments of principal and interest. All unpaid principal and accrued and unpaid interest with respect to each term loan is due and payable in full on August 1, 2026.</w:t>
      </w:r>
    </w:p>
    <w:p>
      <w:pPr>
        <w:spacing w:after="0" w:line="27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As of December 31, 2021, no shares of common stock have been issued and sold pursuant to the Sales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initiate clinical trials of and seek marketing approval for our product candidates, as well as build out of our cGMP manufacturing facility in Durham, North Carolina.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8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2021, our material cash requirements consisted of $29.2 million in total lease payments under our noncancelable leases for equipment, laboratory space and office space entered into in 2021 and $22.9 million in total lease payments under our noncancelable lease for manufacturing space entered into in 2020. These leases are described in further detail in Note 11 to our audited consolidated financial statements located in Part IV, Item 15 of this Annual Report on Form 10-K. Our most significant purchase commitments consist of approximately $12.0 million related to the build-out of our cGMP manufacturing facility and $8.1 million in cancellable purchase obligations to our CROs.</w:t>
      </w:r>
    </w:p>
    <w:p>
      <w:pPr>
        <w:spacing w:after="0" w:line="33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along with full access to the term loan facility, will enable us to fund our operating expenses and capital requirements into the fourth quarter of 2023. This estimate reflects that our strategic prioritization efforts to improve operating efficiency, including pausing development of TSHA-101 and the reduction of our headcount by approximately 35% in March 2022. We will require additional capital to fund the research and development of our product candidates, to fund our manufacturing activities, to fund precommercial activities of our programs and for working capital and general corporate purposes.</w:t>
      </w:r>
    </w:p>
    <w:p>
      <w:pPr>
        <w:spacing w:after="0" w:line="29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1120" w:right="40" w:hanging="370"/>
        <w:spacing w:after="0" w:line="282"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TSHA-101, TSHA-102, TSHA-105, TSHA-118, TSHA-120, TSHA-121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right="260" w:hanging="370"/>
        <w:spacing w:after="0" w:line="282"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 including with respect to our term loan facility with Silicon Valley Bank;</w:t>
      </w:r>
    </w:p>
    <w:p>
      <w:pPr>
        <w:spacing w:after="0" w:line="53" w:lineRule="exact"/>
        <w:rPr>
          <w:rFonts w:ascii="Times New Roman" w:cs="Times New Roman" w:eastAsia="Times New Roman" w:hAnsi="Times New Roman"/>
          <w:sz w:val="18"/>
          <w:szCs w:val="18"/>
          <w:color w:val="auto"/>
        </w:rPr>
      </w:pPr>
    </w:p>
    <w:p>
      <w:pPr>
        <w:ind w:left="1120" w:right="460" w:hanging="370"/>
        <w:spacing w:after="0" w:line="282"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120" w:right="620" w:hanging="370"/>
        <w:spacing w:after="0" w:line="282"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44" w:lineRule="exact"/>
        <w:rPr>
          <w:rFonts w:ascii="Times New Roman" w:cs="Times New Roman" w:eastAsia="Times New Roman" w:hAnsi="Times New Roman"/>
          <w:sz w:val="18"/>
          <w:szCs w:val="18"/>
          <w:color w:val="auto"/>
        </w:rPr>
      </w:pPr>
    </w:p>
    <w:p>
      <w:pPr>
        <w:ind w:left="1120" w:right="940" w:hanging="370"/>
        <w:spacing w:after="0" w:line="282"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our own commercial-scale cGMP manufacturing facility;</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6" w:name="page97"/>
    <w:bookmarkEnd w:id="96"/>
    <w:p>
      <w:pPr>
        <w:ind w:left="1120" w:right="200" w:hanging="370"/>
        <w:spacing w:after="0" w:line="282"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6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including the remaining tranches of our Term Loan Facility,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9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the efficacy, availability and adoption of vaccines, both domestically and globally, and the impact of new variants or mutations of the coronavirus, such as the Delta and Omicron variants. While the potential economic impact brought by, and the duration of, the COVID-19 pandemic may be difficult to assess or predict, a continued and growing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2021 and 2020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(117,042)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(21,554)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(9,082)</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291,064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251,253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3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2021, our net cash used in operating activities of $117.0 million primarily consisted of a net loss of $174.5 million, primarily attributable to our spending on research and development expenses. The net loss of $174.5 million was partially offset by $28.8 million in adjustments for non-cash items, primarily due to stock-based compensation expense of $18.2 million, and the add back of the up-front license fee of $5.5 million paid to HHF related to the acquisition of TSHA-120 which is treated as an investing outflow, and the regulatory milestone fee of $3.0 million due to Abeona in connection with the CLN1 Agreement, as well as other license fees of $1.3 million. The $174.5 million net loss was also partially offset by a source of cash of $28.7 million from the change in our operating assets and liabilities, primarily resulting from an increase in accounts payable and accrued expenses.</w:t>
      </w:r>
    </w:p>
    <w:p>
      <w:pPr>
        <w:spacing w:after="0" w:line="29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our net cash used in operating activities of $30.7 million primarily consisted of a net loss of $60.0 million, primarily attributable to our spending on research and development expenses. The net loss of $60.0 million was partially offset by $29.4 million in adjustments for non-cash items, primarily due to the change in the fair value of the preferred stock tranche liability of $17.0 million and stock-based compensation expense of $3.4 million, as well as the upfront payment to acquire the license rights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7" w:name="page98"/>
    <w:bookmarkEnd w:id="97"/>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Queen’s University Agreement for $3.0 million, and the upfront payments related to the Abeona CLN1 and Rett Agreements for $3.0 million each, all of which were recorded as a component of research and development expenses and were reported as investing cash outflows.</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investing activities used $21.6 million of cash primarily attributable to the up-front license fee payment of $5.5 million to acquire exclusive worldwide rights to TSHA-120, for the treatment of GAN, and capital expenditures related to our in-house manufacturing facility and office space. During the year ended December 31, 2020, investing activities used $9.1 million of cash primarily attributable to the upfront fees paid pursuant to the Queen’s University Agreement, the Abeona CLN1 Agreement and the Abeona Rett Agreement.</w:t>
      </w:r>
    </w:p>
    <w:p>
      <w:pPr>
        <w:spacing w:after="0" w:line="3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financing activities provided $39.1 million of cash, which was attributable to the receipt of $40.0 million net proceeds from our Term Loan with Silicon Valley Bank, partially offset by $0.4 million of cash paid for costs related to our filing of a shelf registration statement on Form S-3 and $0.5 million in other financing activities. During the year ended December 31, 2020, financing activities provided $291.1 million of cash, which was primarily attributable to the receipt of $165.9 million in net proceeds from our initial public offering, $95.8 million in net proceeds from the sale of our Series B convertible preferred stock and $29.4 million in net proceeds from the sale of our Series A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 expenses and the disclosure of contingent assets and liabilities in our financial statements. In accordance with U.S. GAAP, we evaluate our estimates and judgments on an ongoing basis, including those related to research and development expenses, the preferred stock tranche liability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00"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consolidated financial statements located in Part IV, Item 15 of this Annual Report on Form 10-K, we believe the following are the critical accounting policies used in the preparation of our financial statements that require significant estimates and judgments.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have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We record accruals for estimated ongoing research costs. When evaluating the adequacy of the accrued liabilities, we analyze progress of the studies, including the phase or completion of events, invoices received and contracted costs.</w:t>
      </w:r>
    </w:p>
    <w:p>
      <w:pPr>
        <w:spacing w:after="0" w:line="33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Research and development costs primarily consist of payroll, stock-based compensation, clinical trial expense, certain manufacturing costs, laboratory costs and other supplies, and the cost to acquire third-party licenses.</w:t>
      </w:r>
    </w:p>
    <w:p>
      <w:pPr>
        <w:spacing w:after="0" w:line="270"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8" w:name="page99"/>
    <w:bookmarkEnd w:id="98"/>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To date, we have not experienced significant changes in our estimates of accrued research and development liabilities after a reporting period. However, due to the nature of estimates, there is no assurance that we will not make changes to our estimates in the future as we become aware of additional information about the status or conduct of our clinical studies and other research activities.</w:t>
      </w:r>
    </w:p>
    <w:p>
      <w:pPr>
        <w:spacing w:after="0" w:line="25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4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account for all stock-based payments to employees and non-employees, including grants of stock options, restricted stock awards, or “RSAs” and restricted stock units or, “RSUs” based on their respective grant date fair values. We estimate the fair value of stock option grants using the Black-Scholes option pricing model, which is affected principally by the estimated fair value of shares of our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our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we have never paid cash dividends and do not expect to pay any cash dividends in the foreseeable future.</w:t>
      </w:r>
    </w:p>
    <w:p>
      <w:pPr>
        <w:spacing w:after="0" w:line="296"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Prior to September 23, 2020, the fair value of common stock underlying our stock options, RSAs and RSUs was estimated by our board of directors considering, among other things, contemporaneous valuations of our common stock prepared by unrelated third-party valuation firms. After the IPO, the fair value of common stock is based on the closing price of our common stock on the Nasdaq Global Select Market as reported on the date of the grant.</w:t>
      </w:r>
    </w:p>
    <w:p>
      <w:pPr>
        <w:spacing w:after="0" w:line="28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RSAs and RSUs are valued based on the fair value of our common stock on the date of grant. The Company expenses stock-based compensation related to stock options, RSAs and RSUs over the requisite service period using the straight-line method. Stock-based compensation costs are generally recorded in research and development expense or general and administrative expense in the consolidated statements of operations based upon the respective employee’s roles within our Company, however a portion of stock-based compensation related to employees who are directly involved in the manufacturing facility buildout, is capitalized into the cost basis of the manufacturing plant. Forfeitures are recorded as they occur.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Tranche liability</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determined that our obligation to issue, and the investors’ right to purchase, additional shares of Series A convertible preferred stock pursuant to the milestone closings represent a freestanding financial instrument, or the tranche liability. The tranche liability was initially recorded at fair value. The proceeds from the sale of the convertible preferred stock are first allocated to the fair value of the tranche liability, with the remaining proceeds from the sale of the convertible preferred stock allocated to the Series A convertible preferred stock. The tranche liability is remeasured at each reporting period and upon the exercise or expiration of the obligation, with gains and losses arising from subsequent changes in its fair value recognized as a component of other expense in the consolidated statements of operations. At the time of the exercise or expiration of the tranche liability, any remaining value of the tranche liability is reclassified to convertible preferred stock on the consolidated balance sheet. Between June 30, 2020 and July 2, 2020, all of the 4,000,000 Milestone Shares were issued and the related tranche liability was extinguished in its entirety, and we reclassified the entire tranche liability of $18.1 million to convertible preferred stock on the consolidated balance sheets.</w:t>
      </w:r>
    </w:p>
    <w:p>
      <w:pPr>
        <w:spacing w:after="0" w:line="337"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We estimated the fair value of the tranche liability using a Monte Carlo simulation at the initial issuance date. As of March 4, 2020, the simulations occurred based on our implied aggregate equity value derived from the Series A convertible preferred stock offering price of $3.00 per share, along with, in part, the following subjective assumptions: risk-free rate of 0.59%, an expected volatility of 80%, the expected term to a liquidity event of one year and a 60% probability of achieving the clinical milestones and timing thereof. Subsequently, we estimated the fair value of the tranche liability using a backsolve approach at June 30, 2020, which was calculated based on our aggregate equity value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0" w:firstLine="722"/>
        <w:spacing w:after="0" w:line="282" w:lineRule="auto"/>
        <w:rPr>
          <w:sz w:val="20"/>
          <w:szCs w:val="20"/>
          <w:color w:val="auto"/>
        </w:rPr>
      </w:pPr>
      <w:r>
        <w:rPr>
          <w:rFonts w:ascii="Times New Roman" w:cs="Times New Roman" w:eastAsia="Times New Roman" w:hAnsi="Times New Roman"/>
          <w:sz w:val="18"/>
          <w:szCs w:val="18"/>
          <w:color w:val="auto"/>
        </w:rPr>
        <w:t>See Note 2 to our audited consolidated financial statements located in Part IV, Item 15 of this Annual Report on Form 10-K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140" w:firstLine="722"/>
        <w:spacing w:after="0" w:line="25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 In addition, as an emerging growth company, we may take advantage of specified reduced disclosure and other requirements that are otherwise applicable generally to public companies. These provisions include:</w:t>
      </w:r>
    </w:p>
    <w:p>
      <w:pPr>
        <w:spacing w:after="0" w:line="79" w:lineRule="exact"/>
        <w:rPr>
          <w:sz w:val="20"/>
          <w:szCs w:val="20"/>
          <w:color w:val="auto"/>
        </w:rPr>
      </w:pPr>
    </w:p>
    <w:p>
      <w:pPr>
        <w:ind w:left="1080" w:hanging="357"/>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44"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44"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44" w:lineRule="exact"/>
        <w:rPr>
          <w:rFonts w:ascii="Times New Roman" w:cs="Times New Roman" w:eastAsia="Times New Roman" w:hAnsi="Times New Roman"/>
          <w:sz w:val="18"/>
          <w:szCs w:val="18"/>
          <w:color w:val="auto"/>
        </w:rPr>
      </w:pPr>
    </w:p>
    <w:p>
      <w:pPr>
        <w:ind w:left="1080" w:right="20" w:hanging="357"/>
        <w:spacing w:after="0" w:line="253"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 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Annual Report on Form 10-K and our other filings with the SEC. Accordingly, the information contained herein may be different than you might obtain from other public companies in which you hold equity interests.</w:t>
      </w:r>
    </w:p>
    <w:p>
      <w:pPr>
        <w:spacing w:after="0" w:line="302" w:lineRule="exact"/>
        <w:rPr>
          <w:sz w:val="20"/>
          <w:szCs w:val="20"/>
          <w:color w:val="auto"/>
        </w:rPr>
      </w:pPr>
    </w:p>
    <w:p>
      <w:pPr>
        <w:ind w:right="200" w:firstLine="722"/>
        <w:spacing w:after="0" w:line="276"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1" w:lineRule="exact"/>
        <w:rPr>
          <w:sz w:val="20"/>
          <w:szCs w:val="20"/>
          <w:color w:val="auto"/>
        </w:rPr>
      </w:pPr>
    </w:p>
    <w:p>
      <w:pPr>
        <w:ind w:right="60" w:firstLine="8"/>
        <w:spacing w:after="0" w:line="252" w:lineRule="auto"/>
        <w:tabs>
          <w:tab w:leader="none" w:pos="2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Taysha Gene Therapies,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Taysha Gene Therapies, Inc. (the “Company”) as of December 31, 2021 and 2020, the related consolidated statements of operations,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251,253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159,602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257,879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lease asset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213,956</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Build-to-suit lease liability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118,573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 and December 31, 2020</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$0.00001 par value per share; 200,000,000 shares authorized and 38,473,945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37,761,435 issued and outstanding as of December 31, 2021 and December 31, 2020</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331,032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312,428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(235,649)</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(61,126)</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213,956</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8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For the Year</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55"/>
        </w:trPr>
        <w:tc>
          <w:tcPr>
            <w:tcW w:w="61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131,943</w:t>
            </w:r>
          </w:p>
        </w:tc>
        <w:tc>
          <w:tcPr>
            <w:tcW w:w="180" w:type="dxa"/>
            <w:vAlign w:val="bottom"/>
          </w:tcPr>
          <w:p>
            <w:pPr>
              <w:spacing w:after="0"/>
              <w:rPr>
                <w:sz w:val="19"/>
                <w:szCs w:val="19"/>
                <w:color w:val="auto"/>
              </w:rPr>
            </w:pP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5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(17,030)</w:t>
            </w:r>
          </w:p>
        </w:tc>
        <w:tc>
          <w:tcPr>
            <w:tcW w:w="0" w:type="dxa"/>
            <w:vAlign w:val="bottom"/>
          </w:tcPr>
          <w:p>
            <w:pPr>
              <w:spacing w:after="0"/>
              <w:rPr>
                <w:sz w:val="1"/>
                <w:szCs w:val="1"/>
                <w:color w:val="auto"/>
              </w:rPr>
            </w:pPr>
          </w:p>
        </w:tc>
      </w:tr>
      <w:tr>
        <w:trPr>
          <w:trHeight w:val="157"/>
        </w:trPr>
        <w:tc>
          <w:tcPr>
            <w:tcW w:w="61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6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5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37,650,566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17,665,683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180" w:type="dxa"/>
            <w:vAlign w:val="bottom"/>
            <w:tcBorders>
              <w:bottom w:val="single" w:sz="8" w:color="CFF0FC"/>
            </w:tcBorders>
            <w:shd w:val="clear" w:color="auto" w:fill="CFF0FC"/>
          </w:tcPr>
          <w:p>
            <w:pPr>
              <w:spacing w:after="0"/>
              <w:rPr>
                <w:sz w:val="11"/>
                <w:szCs w:val="11"/>
                <w:color w:val="auto"/>
              </w:rPr>
            </w:pPr>
          </w:p>
        </w:tc>
        <w:tc>
          <w:tcPr>
            <w:tcW w:w="154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vMerge w:val="continue"/>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20" w:type="dxa"/>
            <w:vAlign w:val="bottom"/>
          </w:tcPr>
          <w:p>
            <w:pPr>
              <w:spacing w:after="0"/>
              <w:rPr>
                <w:sz w:val="19"/>
                <w:szCs w:val="19"/>
                <w:color w:val="auto"/>
              </w:rPr>
            </w:pPr>
          </w:p>
        </w:tc>
        <w:tc>
          <w:tcPr>
            <w:tcW w:w="1060" w:type="dxa"/>
            <w:vAlign w:val="bottom"/>
            <w:gridSpan w:val="4"/>
          </w:tcPr>
          <w:p>
            <w:pPr>
              <w:jc w:val="center"/>
              <w:ind w:left="469"/>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Borders>
              <w:right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8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1760" w:type="dxa"/>
            <w:vAlign w:val="bottom"/>
            <w:tcBorders>
              <w:right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4"/>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3320" w:type="dxa"/>
            <w:vAlign w:val="bottom"/>
          </w:tcPr>
          <w:p>
            <w:pPr>
              <w:spacing w:after="0"/>
              <w:rPr>
                <w:sz w:val="14"/>
                <w:szCs w:val="14"/>
                <w:color w:val="auto"/>
              </w:rPr>
            </w:pPr>
          </w:p>
        </w:tc>
        <w:tc>
          <w:tcPr>
            <w:tcW w:w="18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760" w:type="dxa"/>
            <w:vAlign w:val="bottom"/>
            <w:tcBorders>
              <w:right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9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86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Borders>
              <w:right w:val="single" w:sz="8" w:color="auto"/>
            </w:tcBorders>
          </w:tcPr>
          <w:p>
            <w:pPr>
              <w:spacing w:after="0"/>
              <w:rPr>
                <w:sz w:val="13"/>
                <w:szCs w:val="13"/>
                <w:color w:val="auto"/>
              </w:rPr>
            </w:pPr>
          </w:p>
        </w:tc>
        <w:tc>
          <w:tcPr>
            <w:tcW w:w="7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3"/>
                <w:szCs w:val="13"/>
                <w:color w:val="auto"/>
              </w:rPr>
            </w:pPr>
          </w:p>
        </w:tc>
        <w:tc>
          <w:tcPr>
            <w:tcW w:w="800" w:type="dxa"/>
            <w:vAlign w:val="bottom"/>
            <w:gridSpan w:val="2"/>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55"/>
        </w:trPr>
        <w:tc>
          <w:tcPr>
            <w:tcW w:w="33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2019</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right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10,894,999</w:t>
            </w:r>
          </w:p>
        </w:tc>
        <w:tc>
          <w:tcPr>
            <w:tcW w:w="18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980</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(1,115)</w:t>
            </w:r>
          </w:p>
        </w:tc>
        <w:tc>
          <w:tcPr>
            <w:tcW w:w="1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(135</w:t>
            </w:r>
          </w:p>
        </w:tc>
        <w:tc>
          <w:tcPr>
            <w:tcW w:w="100" w:type="dxa"/>
            <w:vAlign w:val="bottom"/>
            <w:tcBorders>
              <w:top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39"/>
        </w:trPr>
        <w:tc>
          <w:tcPr>
            <w:tcW w:w="33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Series A convertible preferred stock, net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offering costs of $605 and issuance of preferred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28,345</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tranche liability of $1,050</w:t>
            </w: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Series B convertible preferred stock net of</w:t>
            </w:r>
          </w:p>
        </w:tc>
        <w:tc>
          <w:tcPr>
            <w:tcW w:w="9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5,647,048</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95,815</w:t>
            </w:r>
          </w:p>
        </w:tc>
        <w:tc>
          <w:tcPr>
            <w:tcW w:w="200" w:type="dxa"/>
            <w:vAlign w:val="bottom"/>
            <w:tcBorders>
              <w:right w:val="single" w:sz="8" w:color="auto"/>
            </w:tcBorders>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offering costs of $185</w:t>
            </w:r>
          </w:p>
        </w:tc>
        <w:tc>
          <w:tcPr>
            <w:tcW w:w="9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Reclassification of preferred stock tranche liability</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18,080</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upon issuance of Series A milestone shares</w:t>
            </w: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Conversion of Series A and Series B convertible</w:t>
            </w:r>
          </w:p>
        </w:tc>
        <w:tc>
          <w:tcPr>
            <w:tcW w:w="9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(10,000,000)</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(46,425)</w:t>
            </w: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(5,647,048)</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(95,815)</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17,047,378</w:t>
            </w: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142,240</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142,240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preferred stock to common stock</w:t>
            </w:r>
          </w:p>
        </w:tc>
        <w:tc>
          <w:tcPr>
            <w:tcW w:w="9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of common stock in initial public</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offering, net of offering costs and underwriting</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9,050,000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165,854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165,854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discounts and commissions of $15,145</w:t>
            </w: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restricted stock award</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769,058</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(60,011)</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(60,011)</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FF0FC"/>
              <w:right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37,761,435</w:t>
            </w:r>
          </w:p>
        </w:tc>
        <w:tc>
          <w:tcPr>
            <w:tcW w:w="1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312,428</w:t>
            </w:r>
          </w:p>
        </w:tc>
        <w:tc>
          <w:tcPr>
            <w:tcW w:w="1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(61,126</w:t>
            </w:r>
          </w:p>
        </w:tc>
        <w:tc>
          <w:tcPr>
            <w:tcW w:w="160" w:type="dxa"/>
            <w:vAlign w:val="bottom"/>
            <w:tcBorders>
              <w:bottom w:val="single" w:sz="8" w:color="CFF0FC"/>
            </w:tcBorders>
          </w:tcPr>
          <w:p>
            <w:pPr>
              <w:jc w:val="right"/>
              <w:ind w:right="7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251,302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auto"/>
            </w:tcBorders>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ind w:left="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18,604</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18,604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upon vesting and settlement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712,510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of restricted stock units</w:t>
            </w: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4"/>
                <w:szCs w:val="14"/>
                <w:color w:val="auto"/>
              </w:rPr>
              <w:t>(174,523)</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(174,523)</w:t>
            </w: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38,473,945</w:t>
            </w:r>
          </w:p>
        </w:tc>
        <w:tc>
          <w:tcPr>
            <w:tcW w:w="1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331,032</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(235,649</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95,383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78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(174,523)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(60,011)</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 license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(3,361)</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(6,585)</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Due to related party</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(117,042)</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(15,304)</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(21,554)</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Term Loan,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discounts and commission and other offering</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w:t>
            </w: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Payment of shelf registration costs</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Series A convertible preferred stock, net of issuance costs</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Series B convertible preferred stock, net of issuance costs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(99,513)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251,253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151,740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251,253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151,740</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in accounts payable and 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 funded by landlord</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Build-to-suit lease liability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 not yet paid</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preferred stock tranche liability</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preferred stock tranche liability</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A and Series B convertible preferred stock to common stock</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 not yet paid</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300" w:firstLine="720"/>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spacing w:after="0" w:line="284" w:lineRule="exact"/>
        <w:rPr>
          <w:sz w:val="20"/>
          <w:szCs w:val="20"/>
          <w:color w:val="auto"/>
        </w:rPr>
      </w:pPr>
    </w:p>
    <w:p>
      <w:pPr>
        <w:ind w:right="340" w:firstLine="720"/>
        <w:spacing w:after="0" w:line="282" w:lineRule="auto"/>
        <w:rPr>
          <w:sz w:val="20"/>
          <w:szCs w:val="20"/>
          <w:color w:val="auto"/>
        </w:rPr>
      </w:pPr>
      <w:r>
        <w:rPr>
          <w:rFonts w:ascii="Times New Roman" w:cs="Times New Roman" w:eastAsia="Times New Roman" w:hAnsi="Times New Roman"/>
          <w:sz w:val="18"/>
          <w:szCs w:val="18"/>
          <w:color w:val="auto"/>
        </w:rPr>
        <w:t>Taysha is a patient-centric gene therapy company focused on developing and commercializing AAV-based gene therapies for the treatment of monogenic diseases of the central nervous system (“CNS”) in both rare and large patient populations.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18"/>
          <w:szCs w:val="18"/>
          <w:color w:val="auto"/>
        </w:rPr>
        <w:t>On September 16, 2020, the Company effected a 1.0895-for-one stock split of its authorized, issued and outstanding shares of common stock and a proportional adjustment to the existing conversion ratios for each series of the Company’s convertible preferred stock as discussed in Note 7. Accordingly, all share and per share amounts for the periods presented in the accompanying consolidated financial statements and notes thereto have been adjusted retroactively, where applicable, to reflect this stock split and adjustment of the convertible preferred stock conversion ratios.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18"/>
          <w:szCs w:val="18"/>
          <w:color w:val="auto"/>
        </w:rPr>
        <w:t>On September 23, 2020, the Company’s registration statement on Form S-1 (File No. 333-248559) related to the initial public offering (“IPO”) of its common stock became effective and on September 28, 2020, the IPO closed. Pursuant to the IPO, the Company issued and sold 9,050,000 shares of common stock at a public offering price of $20.00 per share, which included 1,180,434 shares of common stock issued upon the exercise in full of the underwriters’ option to purchase additional shares. The Company received net proceeds of $165.9 million after deducting underwriting discounts and commissions and other offering costs. The shares began trading on the Nasdaq Global Select Market on September 24, 2020.</w:t>
      </w:r>
    </w:p>
    <w:p>
      <w:pPr>
        <w:spacing w:after="0" w:line="291"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18"/>
          <w:szCs w:val="18"/>
          <w:color w:val="auto"/>
        </w:rPr>
        <w:t>On September 28, 2020, in connection with the closing of the IPO, 10,000,000 shares of Series A and 5,647,048 shares of Series B convertible preferred stock automatically converted into an aggregate of 17,047,378 shares of common stock with a conversion ratio of 1.0895 shares of common stock for each share of Series A and Series B convertible preferred stock.</w:t>
      </w:r>
    </w:p>
    <w:p>
      <w:pPr>
        <w:spacing w:after="0" w:line="284"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18"/>
          <w:szCs w:val="18"/>
          <w:color w:val="auto"/>
        </w:rPr>
        <w:t>As a result of the IPO, including the underwriters’ exercise in full of their option to purchase additional shares, and the conversions of the Series A and B convertible preferred stock, the Company’s total number of outstanding shares increased by 26,097,378 immediately following the closing of the IPO.</w:t>
      </w:r>
    </w:p>
    <w:p>
      <w:pPr>
        <w:spacing w:after="0" w:line="284" w:lineRule="exact"/>
        <w:rPr>
          <w:sz w:val="20"/>
          <w:szCs w:val="20"/>
          <w:color w:val="auto"/>
        </w:rPr>
      </w:pPr>
    </w:p>
    <w:p>
      <w:pPr>
        <w:jc w:val="both"/>
        <w:ind w:right="140" w:firstLine="720"/>
        <w:spacing w:after="0" w:line="266" w:lineRule="auto"/>
        <w:rPr>
          <w:sz w:val="20"/>
          <w:szCs w:val="20"/>
          <w:color w:val="auto"/>
        </w:rPr>
      </w:pPr>
      <w:r>
        <w:rPr>
          <w:rFonts w:ascii="Times New Roman" w:cs="Times New Roman" w:eastAsia="Times New Roman" w:hAnsi="Times New Roman"/>
          <w:sz w:val="18"/>
          <w:szCs w:val="18"/>
          <w:color w:val="auto"/>
        </w:rPr>
        <w:t>Upon the effectiveness of the Company’s registration statement related to the IPO, the Company’s 2020 Stock Incentive Plan (the “New Plan”) and 2020 Employee Stock Purchase Plan became effective. At that time, all shares reserved for issuance under the Existing Plan ceased to be available for issuance under such plan and became available for issuance under the New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will be entitled to receive 3.0% of the gross sales price per share of common stock sold under the Sales Agreement. As of December 31, 2021, no shares of common stock have been issued and sold pursuant to the Sales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As of December 31, 2021, the Company had an accumulated deficit of $235.6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18"/>
          <w:szCs w:val="18"/>
          <w:color w:val="auto"/>
        </w:rPr>
        <w:t>Prior to the closing of the Company’s IPO, between March and July 2020, the Company closed on the sale of an aggregate of 10,000,000 shares of Series A convertible preferred stock for gross proceeds of $30.0 million. Between July and August 2020, the Company closed on the sale of an aggregate of 5,647,048 shares of Series B convertible preferred stock for gross proceeds of $96.0 million.</w:t>
      </w:r>
    </w:p>
    <w:p>
      <w:pPr>
        <w:spacing w:after="0" w:line="284"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18"/>
          <w:szCs w:val="18"/>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December 31, 2021, the Company had cash and cash equivalents of $149.1 million which the Company believes will be sufficient to fund its planned operations for a period of at least twelve months from the date of issuance of these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302"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During December 2019, the novel coronavirus (“COVID-19”) emerged and subsequently spread worldwide. The World Health Organization declared COVID-19 a global pandemic resulting in federal, state and local governments and private entities implementing various restrictions, including travel restrictions, restrictions on public gatherings, stay at home orders, and advisories and quarantining people who may have been exposed to the virus. The Company has been actively monitoring COVID-19 and its impact globally. Management believes the financial results for the year ended December 31, 2021 were not significantly impacted by COVID-19. In addition, management believes the remote working arrangements and travel restrictions imposed by various governmental jurisdictions have had limited impact on the Company’s ability to maintain internal operations during the year ended December 31, 2021.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COVID-19.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 as determined by the Financial Accounting Standards Board (“FASB”) Accounting Standards Codification (“ASC”) and include all adjustments necessary for the fair presentation of the Company’s financial position for the periods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600" w:firstLine="7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Taysha and its wholly 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the Company’s financial statements upon adoption. Under the Jumpstart Our Business Startups Act of 2012, as amended,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IPO (as an input into stock-based compensation), estimating manufacturing accruals and accrued or prepaid research and development expenses, and the valuation of the preferred stock tranche liability. These estimates and assumptions are based on current facts, historical experience and various other factors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 In response to the ongoing and rapidly evolving COVID-19 pandemic, management considered the impact of the estimated economic implications on the Company’s critical and significant accounting estimates, including assessment of impairment of long-lived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284" w:lineRule="exact"/>
        <w:rPr>
          <w:sz w:val="20"/>
          <w:szCs w:val="20"/>
          <w:color w:val="auto"/>
        </w:rPr>
      </w:pPr>
    </w:p>
    <w:p>
      <w:pPr>
        <w:ind w:right="200" w:firstLine="720"/>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 which is the business of developing AAV-based gene therapies for the treatment of rare monogenic diseases of the CNS.</w:t>
      </w:r>
    </w:p>
    <w:p>
      <w:pPr>
        <w:spacing w:after="0" w:line="2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2021 and 2020, the Company did not have any long-lived assets located outside of the United States.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340" w:firstLine="72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funds held in a standard checking account and a standard savings account. The Company considers all highly liquid investments with an original maturity of three months or less at the date of purchase to be cash equivalents. As of December 31, 2021 and 2020, respectively, the Company had no cash equivalents.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20" w:firstLine="720"/>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that the Company has placed in an escrow account which is pledged as collateral under certain lease agreements and letters of credit.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240" w:firstLine="7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are accounted for in accordance with ASC 820, Fair Value Measurements and Disclosures which defines fair value as the exchange price that would be received for an asset or paid to transfer a liability (an exit price) in the principal or most advantageous market for the asset or liability in an orderly transaction between market participants on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measurement date. The fair value hierarchy requires an entity to maximize the use of observable inputs when measuring fair value and classifies those inputs into three levels:</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Level 1—Observable inputs, such as quoted prices in active markets for identical assets or liabilities.</w:t>
      </w:r>
    </w:p>
    <w:p>
      <w:pPr>
        <w:spacing w:after="0" w:line="117" w:lineRule="exact"/>
        <w:rPr>
          <w:sz w:val="20"/>
          <w:szCs w:val="20"/>
          <w:color w:val="auto"/>
        </w:rPr>
      </w:pPr>
    </w:p>
    <w:p>
      <w:pPr>
        <w:jc w:val="both"/>
        <w:ind w:right="180" w:firstLine="720"/>
        <w:spacing w:after="0" w:line="266"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Level 3—Unobservable inputs in which there is little or no market data, which require the reporting entity to develop its own assumptions.</w:t>
      </w:r>
    </w:p>
    <w:p>
      <w:pPr>
        <w:spacing w:after="0" w:line="333"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288" w:lineRule="exact"/>
        <w:rPr>
          <w:sz w:val="20"/>
          <w:szCs w:val="20"/>
          <w:color w:val="auto"/>
        </w:rPr>
      </w:pPr>
    </w:p>
    <w:p>
      <w:pPr>
        <w:jc w:val="both"/>
        <w:ind w:right="300" w:firstLine="72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and cash equivalents, prepaid expenses and other current assets, accounts payable, accrued expenses and other current liabilities are reasonable estimates of their fair values due to the short-term nature of these items.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The Company capitalizes costs directly associated with equity financings until such financings are consummated, at which time such costs are recorded in additional paid-in capital against the gross proceeds of the equity financings. Costs associated with the shelf registration statement on Form S-3, filed with the SEC on October 5, 2021 have been capitalized and will be reclassified to additional paid-in capital on a pro rata basis when the Company completes offerings under the shelf registration. At the end of the three-year term of the shelf registration, the remaining deferred offering costs, if any, will be charged to operations. As of December 31, 2021 and 2020, there was $0.5 million and 0, respectively, of such deferred costs included in prepaid expenses and other current assets on the consolidated balance sheets.</w:t>
      </w:r>
    </w:p>
    <w:p>
      <w:pPr>
        <w:spacing w:after="0" w:line="295"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filing fees directly relating to the IPO and the Company’s Series A and Series B preferred stock financings, were capitalized and offset against the related proceeds upon the completion of the offerings in 2020. Upon completion of the IPO in September 2020, approximately $2.5 million of deferred offering costs were offset against the IPO proceeds in additional paid-in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18"/>
          <w:szCs w:val="18"/>
          <w:color w:val="auto"/>
        </w:rPr>
        <w:t>Property, plant and equipment, net are stated at cost less accumulated depreciation and consist solely of computer equipment and laboratory equipment. Directly identifiable payroll and payroll-related costs incurred in connection with the build-out of the Company’s cGMP manufacturing facility are capitalized into the cost basis of the asset to the extent that such costs are incurred to bring the asset to the condition and location for its intended use. Depreciation expense is recognized using the straight-line method over its estimated useful life of three to five years.</w:t>
      </w:r>
    </w:p>
    <w:p>
      <w:pPr>
        <w:spacing w:after="0" w:line="180" w:lineRule="exact"/>
        <w:rPr>
          <w:sz w:val="20"/>
          <w:szCs w:val="20"/>
          <w:color w:val="auto"/>
        </w:rPr>
      </w:pPr>
    </w:p>
    <w:p>
      <w:pPr>
        <w:ind w:right="40" w:firstLine="720"/>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Build-to-Suit Lease</w:t>
      </w:r>
    </w:p>
    <w:p>
      <w:pPr>
        <w:spacing w:after="0" w:line="121"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In the Company’s lease arrangement in Durham, North Carolina (as described in Note 11), the Company was involved in the construction of the build-out. To the extent the Company is involved with the structural improvements of the construction project or takes construction risk prior to the commencement of a lease, accounting guidance requires the Company to be considered the owner for accounting purposes of these types of projects during the construction period. In such cases, the Company records an asset in property, plant and equipment on its consolidated balance sheet equal to the fair value of the building shell, and a corresponding build-to-suit lease obligation on its consolidated balance sheet representing the amounts paid by the lessor. Upon completion of construction, the Company will consider the requirements for sale-leaseback accounting treatment, including evaluating whether all risks of ownership have been transferred back to the landlord.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which consist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2021 and 2020.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35" w:lineRule="exact"/>
        <w:rPr>
          <w:sz w:val="20"/>
          <w:szCs w:val="20"/>
          <w:color w:val="auto"/>
        </w:rPr>
      </w:pPr>
    </w:p>
    <w:p>
      <w:pPr>
        <w:jc w:val="both"/>
        <w:ind w:firstLine="720"/>
        <w:spacing w:after="0" w:line="312" w:lineRule="auto"/>
        <w:rPr>
          <w:sz w:val="20"/>
          <w:szCs w:val="20"/>
          <w:color w:val="auto"/>
        </w:rPr>
      </w:pPr>
      <w:r>
        <w:rPr>
          <w:rFonts w:ascii="Times New Roman" w:cs="Times New Roman" w:eastAsia="Times New Roman" w:hAnsi="Times New Roman"/>
          <w:sz w:val="17"/>
          <w:szCs w:val="17"/>
          <w:color w:val="auto"/>
        </w:rPr>
        <w:t>Debt issuance costs are deferred and presented as a reduction to long-term debt. Debt issuance costs are amortized using the effective interest rate method over the term of the loan. Amortization of deferred debt issuance costs are included in interest expense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18"/>
          <w:szCs w:val="18"/>
          <w:color w:val="auto"/>
        </w:rPr>
        <w:t>The Company recorded shares of its convertible preferred stock at their respective fair values on the dates of issuance, net of issuance costs. The Company applied the guidance in ASC 480-10-S99-3A, SEC Staff Announcement: Classification and Measurement of Redeemable Securities and therefore classified the Series A convertible preferred stock as mezzanine equity. The convertible preferred stock was recorded outside of stockholders’ deficit because, in the event of certain deemed liquidation events considered not solely within the Company’s control, such as a merger, acquisition and sale of all or substantially all of the Company’s assets (a “Deemed Liquidation Event”), the convertible preferred stock would become redeemable at the option of the holders. In the event of a change of control of the Company, proceeds received from the sale of such shares would have been distributed in accordance with the liquidation preferences set forth in the Company’s Amended and Restated Certificate of Incorporation. The Company determined not to adjust the carrying values of the convertible preferred stock to the liquidation preferences of such shares because of the uncertainty of whether or when such an event would occur. All shares of the Company’s previously issued and outstanding convertible preferred stock were converted into shares of common stock upon the closing of the IPO (see Note 7).</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Liability</w:t>
      </w:r>
    </w:p>
    <w:p>
      <w:pPr>
        <w:spacing w:after="0" w:line="121"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18"/>
          <w:szCs w:val="18"/>
          <w:color w:val="auto"/>
        </w:rPr>
        <w:t>The Company determined that its obligation to issue, and the Company’s investors’ right to purchase, additional shares of Series A convertible preferred stock pursuant to the milestone closings (see Note 7) represented a freestanding financial instrument (the “tranche liability”). The tranche liability was initially recorded at fair value. The proceeds from the sale of the convertible preferred stock were first allocated to the fair value of the tranche liability with the remaining proceeds from the sale of the convertible preferred stock allocated to the Series A convertible preferred stock. The tranche liability was remeasured at each reporting period and upon the exercise or expiration of the obligation, with gains and losses arising from subsequent changes in its fair value recognized in other expense in the consolidated statements of operations. At the time of the exercise or expiration of the tranche liability, any remaining value of the tranche liability was reclassified to convertible preferred stock on the consolidated balance sheets.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18"/>
          <w:szCs w:val="18"/>
          <w:color w:val="auto"/>
        </w:rPr>
        <w:t>The Company has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consolidated balance sheets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w:t>
      </w:r>
    </w:p>
    <w:p>
      <w:pPr>
        <w:spacing w:after="0" w:line="291"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18"/>
          <w:szCs w:val="18"/>
          <w:color w:val="auto"/>
        </w:rPr>
        <w:t>Research and development costs primarily consist of payroll, stock-based compensation, certain manufacturing costs, laboratory costs and other supplies, and the cost to acquire license. Costs incurred in obtaining technology licenses through asset acquisitions are charged to research and development expense if the licensed technology has not reached technological feasibility and has no alternative future use. Payments of such upfront license fees and subsequent development milestones are included as investing cash outflows in the consolidated statements of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non-employees, including grants of stock options, restricted stock awards, or RSAs, and restricted stock units, or RSUs, based on their respective grant date fair values. The Company estimates the fair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0" w:name="page111"/>
    <w:bookmarkEnd w:id="1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value of stock option grants using the Black-Scholes option pricing model, which is affected principally by the estimated fair value of shares of the Company’s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the Company’s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279"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18"/>
          <w:szCs w:val="18"/>
          <w:color w:val="auto"/>
        </w:rPr>
        <w:t>Prior to September 23, 2020, the fair value of common stock underlying the Company’s stock options, RSAs and RSUs was estimated by the Company’s board of directors considering, among other things, contemporaneous valuations of the Company’s common stock prepared by unrelated third-party valuation firms. After the IPO, the fair value of common stock is based on the closing price of the Company’s common stock on the Nasdaq Global Select Market as reported on the date of the grant.</w:t>
      </w:r>
    </w:p>
    <w:p>
      <w:pPr>
        <w:spacing w:after="0" w:line="288" w:lineRule="exact"/>
        <w:rPr>
          <w:sz w:val="20"/>
          <w:szCs w:val="20"/>
          <w:color w:val="auto"/>
        </w:rPr>
      </w:pPr>
    </w:p>
    <w:p>
      <w:pPr>
        <w:ind w:right="180" w:firstLine="720"/>
        <w:spacing w:after="0" w:line="256" w:lineRule="auto"/>
        <w:rPr>
          <w:sz w:val="20"/>
          <w:szCs w:val="20"/>
          <w:color w:val="auto"/>
        </w:rPr>
      </w:pPr>
      <w:r>
        <w:rPr>
          <w:rFonts w:ascii="Times New Roman" w:cs="Times New Roman" w:eastAsia="Times New Roman" w:hAnsi="Times New Roman"/>
          <w:sz w:val="18"/>
          <w:szCs w:val="18"/>
          <w:color w:val="auto"/>
        </w:rPr>
        <w:t>The RSAs and RSUs are valued based on the fair value of the Company’s common stock on the date of grant. The Company expenses stock-based compensation related to stock options, RSAs and RSUs over the requisite service period using the straight-line method. Stock-based compensation costs are initially recorded in research and development expense or general and administrative expense in the consolidated statements of operations in a manner consistent with the classification of the respective employee’s payroll costs. A portion of stock-based compensation expense that relates to employees who are directly involved in the buildout of the Company’s cGMP manufacturing facility are capitalized into the cost basis of that asset to the extent that such costs are incurred to bring the asset to the condition and location for its intended use. Forfeitures are recorded as they occur.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of its deferred income tax assets in the future, an adjustment to the deferred income tax asset valuation allowance would increase income in the period such determination was made.</w:t>
      </w:r>
    </w:p>
    <w:p>
      <w:pPr>
        <w:spacing w:after="0" w:line="296"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During the year ended December 31, 2021, the Company recorded an increase in the amount of gross unrecognized tax benefits by $4.7 million. The unrecognized tax benefits, if recognized, would not affect the effective income tax rate due to the valuation allowance that currently offsets deferred tax assets. The Company does not expect the unrecognized tax benefits to change significantly over the next 12 months. The Company would recognize any corresponding interest and penalties associated with its income tax positions in income tax expense. There was no income tax interest or penalties incurred for the years ended December 31, 2021 and 2020.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40" w:firstLine="720"/>
        <w:spacing w:after="0" w:line="282" w:lineRule="auto"/>
        <w:rPr>
          <w:sz w:val="20"/>
          <w:szCs w:val="20"/>
          <w:color w:val="auto"/>
        </w:rPr>
      </w:pPr>
      <w:r>
        <w:rPr>
          <w:rFonts w:ascii="Times New Roman" w:cs="Times New Roman" w:eastAsia="Times New Roman" w:hAnsi="Times New Roman"/>
          <w:sz w:val="18"/>
          <w:szCs w:val="18"/>
          <w:color w:val="auto"/>
        </w:rPr>
        <w:t>Comprehensive loss is equal to net loss as presented in the accompanying consolidated statements of operations, as the Company did not have any other comprehensive income or loss for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18"/>
          <w:szCs w:val="18"/>
          <w:color w:val="auto"/>
        </w:rPr>
        <w:t>In August 2018, the FASB issued Accounting Standards Update (“ASU”) No. 2018-13, Fair Value Measurement (ASC Topic 820) (“ASU 2018-13”), which modifies, removes and adds certain disclosure requirements on fair value measurements based on the FASB Concepts Statement, Conceptual Framework for Financial Reporting—Chapter 8: Notes to Financial Statements. The amendments on changes in unrealized gains and losses, the range and weighted-average of significant unobservable inputs used to develop Level 3 fair value measurements and the narrative description of measurement uncertainty should be applied prospectively for only the most recent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interim or annual period presented in the initial fiscal year of adoption. All other amendments should be applied retrospectively to all periods presented upon their effective date. The Company adopted ASU 2018-13 as of January 1, 2020 for the annual period. The adoption of the guidance did not have a material impact on the Company’s consolidated financial statements.</w:t>
      </w:r>
    </w:p>
    <w:p>
      <w:pPr>
        <w:spacing w:after="0" w:line="284"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 Collaborative Arrangements,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The Company early adopted this standard as of January 1, 2020. This ASU requires retrospective adoption to the date the Company adopted ASC 606, which was early adopted upon the Company’s Inception, by recognizing a cumulative-effect adjustment to the opening balance of retained earnings of the earliest annual period presented. As the Company does not have any contracts with customers or collaborative arrangements, the adoption of this guidance did not have any impact on the Company’s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Company is currently evaluating the impact of this standard on its consolidated financial statements.</w:t>
      </w:r>
    </w:p>
    <w:p>
      <w:pPr>
        <w:spacing w:after="0" w:line="291"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beginning after December 15, 2021, and interim periods within fiscal years beginning after December 15, 2022, with early adoption permitted. The Company is currently evaluating the impact of this standard on its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3—Supplemental Financial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3"/>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46,004</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Included in construction in progress at December 31, 2021 was $45.8 million of costs associated with the Build-to-Suit lease (see Note 11), which includes $2.0 million of capitalized payroll and payroll-related costs.</w:t>
      </w:r>
    </w:p>
    <w:p>
      <w:pPr>
        <w:spacing w:after="0" w:line="2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Depreciation expense was $0.5 million and an immaterial amount for the years ended December 31, 2021 and 2020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38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license fees</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trials</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38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3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Prepaid bonus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 with Silicon Valley Bank</w:t>
      </w:r>
    </w:p>
    <w:p>
      <w:pPr>
        <w:spacing w:after="0" w:line="121"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18"/>
          <w:szCs w:val="18"/>
          <w:color w:val="auto"/>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the Company’s option upon having three distinct and active clinical stage programs, determined at the discretion of the Agent, at the time of draw and (iv) from April 1, 2023 until December 31, 2023, an additional $20.0 million term loan facility available upon approval by the Agent and the Lenders (collectively, the “Term Loans”). The Company drew $30.0 million in term loans on the Closing Date and $10.0 million in term loans in December 2021.</w:t>
      </w:r>
    </w:p>
    <w:p>
      <w:pPr>
        <w:spacing w:after="0" w:line="296"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18"/>
          <w:szCs w:val="18"/>
          <w:color w:val="auto"/>
        </w:rPr>
        <w:t>The interest rate applicable to the Term Loans is the greater of (a) the WSJ Prime Rate plus 3.75% or (b) 7.00% per annum. The Term Loans are interest only from the Closing Date through August 31, 2024, after which the Company is required to pay equal monthly installments of principal through August 1, 2026, the maturity date.</w:t>
      </w:r>
    </w:p>
    <w:p>
      <w:pPr>
        <w:spacing w:after="0" w:line="284"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18"/>
          <w:szCs w:val="18"/>
          <w:color w:val="auto"/>
        </w:rPr>
        <w:t>The Term Loans may be prepaid in full through August 12, 2022 with payment of a 2.00% prepayment premium, after which they may be prepaid in full through August 12, 2023 with payment of a 1.00% prepayment premium, after which they may be prepaid in full with no prepayment premium. An additional final payment of 7.5% of the amount of Terms Loans advanced by the Lenders (“Exit Fee”) will be due upon prepayment or repayment of the Term Loans in full. The Exit Fee of $3.0 million was recorded as debt discount and has also been fully accrued within non-current liabilities as of December 31, 2021. The debt discount is being accreted using the effective interest method over the term of the Term Loans within interest expense in the consolidated statements of operations.</w:t>
      </w:r>
    </w:p>
    <w:p>
      <w:pPr>
        <w:spacing w:after="0" w:line="295"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18"/>
          <w:szCs w:val="18"/>
          <w:color w:val="auto"/>
        </w:rPr>
        <w:t>The obligations under the Term Loan Agreement are secured by a perfected security interest in all of the Company’s assets except for intellectual property and certain other customarily excluded property pursuant to the terms of the Term Loan Agreement. There are no financial covenants and no warrants associated with the Term Loan Agreement. The Term Loan Agreement contains various covenants that limit the Company’s ability to engage in specified types of transactions without the consent of the Lenders which include, among others, incurring or assuming certain debt; merging, consolidating or acquiring all or substantially all of the capital stock or property of another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spacing w:after="0" w:line="270"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18"/>
          <w:szCs w:val="18"/>
          <w:color w:val="auto"/>
        </w:rPr>
        <w:t>The Term Loan Agreement also contains customary representations and warranties, and also includes customary events of default, including payment default, breach of covenants, change of control, and material adverse effects. The Company was in compliance with all covenants under the Term Loan Agreement as of December 31, 2021. Upon the occurrence of an event of default, a default interest rate of an additional 5% per annum may be applied to the outstanding loan balances, and the Lenders may declare all outstanding obligations immediately due and payable and exercise all of its rights and remedies as set forth in the Term Loan Agreement and under applicable law.</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During the year ended December 31, 2021, the Company recognized interest expense related to the Term Loan of $1.1 million.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Future principal debt payments on the Term Loan Agreement as of December 31, 2021 are as follows (in thousands):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9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9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shd w:val="clear" w:color="auto" w:fill="CFF0FC"/>
          </w:tcPr>
          <w:p>
            <w:pPr>
              <w:spacing w:after="0"/>
              <w:rPr>
                <w:sz w:val="19"/>
                <w:szCs w:val="19"/>
                <w:color w:val="auto"/>
              </w:rPr>
            </w:pPr>
          </w:p>
        </w:tc>
      </w:tr>
      <w:tr>
        <w:trPr>
          <w:trHeight w:val="229"/>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r>
      <w:tr>
        <w:trPr>
          <w:trHeight w:val="230"/>
        </w:trPr>
        <w:tc>
          <w:tcPr>
            <w:tcW w:w="9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20" w:type="dxa"/>
            <w:vAlign w:val="bottom"/>
            <w:shd w:val="clear" w:color="auto" w:fill="CFF0FC"/>
          </w:tcPr>
          <w:p>
            <w:pPr>
              <w:spacing w:after="0"/>
              <w:rPr>
                <w:sz w:val="19"/>
                <w:szCs w:val="19"/>
                <w:color w:val="auto"/>
              </w:rPr>
            </w:pP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r>
      <w:tr>
        <w:trPr>
          <w:trHeight w:val="229"/>
        </w:trPr>
        <w:tc>
          <w:tcPr>
            <w:tcW w:w="9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(2,808)</w:t>
            </w: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120" w:type="dxa"/>
            <w:vAlign w:val="bottom"/>
          </w:tcPr>
          <w:p>
            <w:pPr>
              <w:spacing w:after="0"/>
              <w:rPr>
                <w:sz w:val="19"/>
                <w:szCs w:val="19"/>
                <w:color w:val="auto"/>
              </w:rPr>
            </w:pPr>
          </w:p>
        </w:tc>
      </w:tr>
      <w:tr>
        <w:trPr>
          <w:trHeight w:val="20"/>
        </w:trPr>
        <w:tc>
          <w:tcPr>
            <w:tcW w:w="9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5—Research, Collaboration, Grant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(“UT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297"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295"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w:t>
      </w:r>
    </w:p>
    <w:p>
      <w:pPr>
        <w:spacing w:after="0" w:line="284"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Queen’s Agreement</w:t>
      </w:r>
    </w:p>
    <w:p>
      <w:pPr>
        <w:spacing w:after="0" w:line="121" w:lineRule="exact"/>
        <w:rPr>
          <w:sz w:val="20"/>
          <w:szCs w:val="20"/>
          <w:color w:val="auto"/>
        </w:rPr>
      </w:pPr>
    </w:p>
    <w:p>
      <w:pPr>
        <w:ind w:right="240" w:firstLine="720"/>
        <w:spacing w:after="0" w:line="266" w:lineRule="auto"/>
        <w:rPr>
          <w:sz w:val="20"/>
          <w:szCs w:val="20"/>
          <w:color w:val="auto"/>
        </w:rPr>
      </w:pPr>
      <w:r>
        <w:rPr>
          <w:rFonts w:ascii="Times New Roman" w:cs="Times New Roman" w:eastAsia="Times New Roman" w:hAnsi="Times New Roman"/>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all of which was paid during the year ended December 31, 2020.</w:t>
      </w:r>
    </w:p>
    <w:p>
      <w:pPr>
        <w:spacing w:after="0" w:line="324"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is recorded in research and development expenses in the consolidated statements of operations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3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additional milestone payments were made in connection with the Queen’s Agreement during the year ended December 31,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30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18"/>
          <w:szCs w:val="18"/>
          <w:color w:val="auto"/>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380" w:firstLine="720"/>
        <w:spacing w:after="0" w:line="266"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research, develop, manufacture, have manufactured, use, and commercialize licensed products for gene therapy and the use of related transgenes for Rett syndrome.</w:t>
      </w:r>
    </w:p>
    <w:p>
      <w:pPr>
        <w:spacing w:after="0" w:line="270" w:lineRule="exact"/>
        <w:rPr>
          <w:sz w:val="20"/>
          <w:szCs w:val="20"/>
          <w:color w:val="auto"/>
        </w:rPr>
      </w:pPr>
    </w:p>
    <w:p>
      <w:pPr>
        <w:ind w:right="40" w:firstLine="720"/>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is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300"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 additional milestone payments were made in connection with the Abeona Rett Agreement during the year ended December 31,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Worldwide Rights for TSHA-120 for the treatment of GAN</w:t>
      </w:r>
    </w:p>
    <w:p>
      <w:pPr>
        <w:spacing w:after="0" w:line="121"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In March 2021, the Company acquired the exclusive worldwide rights to a clinical-stage AAV9 gene therapy program, now known as TSHA-120, for the treatment of Giant Axonal Neuropathy (“GAN”) pursuant to a license agreement with Hannah’s Hope Fund for Giant Axonal Neuropathy, Inc. (“HHF”). TSHA-120 is an intrathecally dosed AAV9 gene therapy currently being evaluated in a clinical trial for the treatment of GAN. Under the terms of the agreement, in exchange for granting the Company the exclusive worldwide rights to TSHA-120, HHF received an upfront payment of $5.5 million and will be eligible to receive clinical, regulatory and commercial milestones totaling up to $19.3 million, as well as a low, single-digit royalty on net sales upon commercialization of the product.</w:t>
      </w:r>
    </w:p>
    <w:p>
      <w:pPr>
        <w:spacing w:after="0" w:line="295" w:lineRule="exact"/>
        <w:rPr>
          <w:sz w:val="20"/>
          <w:szCs w:val="20"/>
          <w:color w:val="auto"/>
        </w:rPr>
      </w:pPr>
    </w:p>
    <w:p>
      <w:pPr>
        <w:ind w:right="260" w:firstLine="720"/>
        <w:spacing w:after="0" w:line="266" w:lineRule="auto"/>
        <w:rPr>
          <w:sz w:val="20"/>
          <w:szCs w:val="20"/>
          <w:color w:val="auto"/>
        </w:rPr>
      </w:pPr>
      <w:r>
        <w:rPr>
          <w:rFonts w:ascii="Times New Roman" w:cs="Times New Roman" w:eastAsia="Times New Roman" w:hAnsi="Times New Roman"/>
          <w:sz w:val="18"/>
          <w:szCs w:val="18"/>
          <w:color w:val="auto"/>
        </w:rPr>
        <w:t>In exchange for the license rights, the Company recorded an aggregate of $5.5 million within research and development expenses in the consolidated statements of operations since the acquired license does not have an alternative future use. No additional milestone payments were made in connection with this agreement during the year ended December 31, 2021.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121"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18"/>
          <w:szCs w:val="18"/>
          <w:color w:val="auto"/>
        </w:rPr>
        <w:t>The Company entered into two secured promissory notes with RA Session II, President and Chief Executive Officer and a member of the Company’s board of directors in January 2020 for an aggregate of $1.67 million, with 10% interest. The Company secured the notes with a first priority security interest in certain assets of the Company. As of December 31, 2020, the Company had repaid the notes in full. As a result, Mr. Session released his security interest in the collateral. During the year ended December 31, 2020, the Company incurred and paid approximately $28,000 of interest expense related to the notes.</w:t>
      </w:r>
    </w:p>
    <w:p>
      <w:pPr>
        <w:spacing w:after="0" w:line="287" w:lineRule="exact"/>
        <w:rPr>
          <w:sz w:val="20"/>
          <w:szCs w:val="20"/>
          <w:color w:val="auto"/>
        </w:rPr>
      </w:pPr>
    </w:p>
    <w:p>
      <w:pPr>
        <w:ind w:right="42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7— Stockholders’ Equity (Deficit), Convertible Preferred Stock and Tranche Liability </w:t>
      </w:r>
      <w:r>
        <w:rPr>
          <w:rFonts w:ascii="Times New Roman" w:cs="Times New Roman" w:eastAsia="Times New Roman" w:hAnsi="Times New Roman"/>
          <w:sz w:val="18"/>
          <w:szCs w:val="18"/>
          <w:b w:val="1"/>
          <w:bCs w:val="1"/>
          <w:i w:val="1"/>
          <w:iCs w:val="1"/>
          <w:color w:val="auto"/>
        </w:rPr>
        <w:t>Authorized shares</w:t>
      </w:r>
    </w:p>
    <w:p>
      <w:pPr>
        <w:ind w:right="80" w:firstLine="748"/>
        <w:spacing w:after="0" w:line="256" w:lineRule="auto"/>
        <w:rPr>
          <w:sz w:val="20"/>
          <w:szCs w:val="20"/>
          <w:color w:val="auto"/>
        </w:rPr>
      </w:pPr>
      <w:r>
        <w:rPr>
          <w:rFonts w:ascii="Times New Roman" w:cs="Times New Roman" w:eastAsia="Times New Roman" w:hAnsi="Times New Roman"/>
          <w:sz w:val="18"/>
          <w:szCs w:val="18"/>
          <w:color w:val="auto"/>
        </w:rPr>
        <w:t>The Company amended its certificate of incorporation on March 4, 2020, July 2, 2020 and again on July 28, 2020 such that the total number of shares of common stock authorized to be issued was increased to 32,685,000, and the total number of shares of preferred stock authorized to be issued was increased to 15,647,052, of which 10,000,000 preferred shares were designated Series A convertible preferred stock and 5,647,052 were designated Series B convertible preferred stock. On September 28, 2020, the Company amended its certificate of incorporation such that the total number of shares of common stock authorized to be issued was increased to 200,000,000, and the total number of shares of new preferred stock authorized to be issued was 10,000,000. As of December 31, 2021, no shares of preferred stock were issued or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w:t>
      </w:r>
    </w:p>
    <w:p>
      <w:pPr>
        <w:spacing w:after="0" w:line="121"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18"/>
          <w:szCs w:val="18"/>
          <w:color w:val="auto"/>
        </w:rPr>
        <w:t>On September 28, 2020, the Company issued an aggregate of 7,869,566 shares of common stock in the IPO, and on September 29, 2020, the Company issued an aggregate of 1,180,434 shares of common stock upon the underwriters’ exercise in full of their option to purchase additional shares, each at the public offering price of $20.00 per share less underwriting discounts and commissions. In connection with the IPO, the Company received gross proceeds of $181.0 million, which was offset by issuance costs, including underwriters’ discounts and commissions, of approximately $15.1 million.</w:t>
      </w:r>
    </w:p>
    <w:p>
      <w:pPr>
        <w:spacing w:after="0" w:line="288"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IPO, 10,000,000 shares of Series A convertible preferred stock and 5,647,048 shares of Series B convertible preferred stock automatically converted into an aggregate of 17,047,378 shares of common stock with a conversion ratio of 1.0895 shares of common stock for each share of Series A and Series B convertible preferred stock then outstanding.</w:t>
      </w:r>
    </w:p>
    <w:p>
      <w:pPr>
        <w:spacing w:after="0" w:line="284" w:lineRule="exact"/>
        <w:rPr>
          <w:sz w:val="20"/>
          <w:szCs w:val="20"/>
          <w:color w:val="auto"/>
        </w:rPr>
      </w:pPr>
    </w:p>
    <w:p>
      <w:pPr>
        <w:ind w:right="520" w:firstLine="720"/>
        <w:spacing w:after="0" w:line="282" w:lineRule="auto"/>
        <w:rPr>
          <w:sz w:val="20"/>
          <w:szCs w:val="20"/>
          <w:color w:val="auto"/>
        </w:rPr>
      </w:pPr>
      <w:r>
        <w:rPr>
          <w:rFonts w:ascii="Times New Roman" w:cs="Times New Roman" w:eastAsia="Times New Roman" w:hAnsi="Times New Roman"/>
          <w:sz w:val="18"/>
          <w:szCs w:val="18"/>
          <w:color w:val="auto"/>
        </w:rPr>
        <w:t>As a result of the IPO, the underwriters’ exercise of their option, and the conversions of the Series A and B convertible preferred stock, the Company’s total number of outstanding shares increased by 26,097,378 immediately following the closing of the IPO.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and B convertible preferred stock</w:t>
      </w:r>
    </w:p>
    <w:p>
      <w:pPr>
        <w:spacing w:after="0" w:line="121"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18"/>
          <w:szCs w:val="18"/>
          <w:color w:val="auto"/>
        </w:rPr>
        <w:t>On March 4, 2020, the Company entered into a purchase agreement (the “Series A Purchase Agreement”) providing for a private placement of up to 10,000,000 shares of Series A convertible preferred stock at an original issuance price of $3.00 per share, subject to separate closings, including: (1) 6,000,000 shares at the initial closing on March 4, 2020, and (2) 2,000,000 shares at each of two subsequent closings triggered by the achievement of specific clinical milestones. The Series A Purchase Agreement obligated the Company to issue and sell and the Series A investors to purchase up to a total of 4,000,000 additional shares of Series A convertible preferred stock (the “Milestone Shares”) at the same price per share upon the achievement of certain defined clinical milestones (the “tranche liability”). The determination as to whether the milestone events had been met was subject to certification by the Board of Directors. Each Series A investor had the right, but not the obligation, to purchase all or any portion of the Milestone Shares at any time in its sole option and in its sole and absolute discretion, whether or not the Company had achieved the applicable clinical milestone.</w:t>
      </w:r>
    </w:p>
    <w:p>
      <w:pPr>
        <w:spacing w:after="0" w:line="300"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18"/>
          <w:szCs w:val="18"/>
          <w:color w:val="auto"/>
        </w:rPr>
        <w:t>On June 30, 2020, several affiliated Series A investors elected to exercise in full their options to purchase 200,000 shares, representing all of their remaining pro-rata portion of the Milestone Shares, prior to the Company’s achievement of the clinical milestones for gross proceeds of $0.6 million. The remainder of the Series A investors exercised in full their options to purchase 3,800,000 shares, representing all of their remaining pro-rata portion of the Milestone Shares, prior to the Company’s achievement of the clinical milestones, for gross proceeds of $11.4 million between July 1, 2020 and July 2, 2020. As part of this issuance, the Company issued and sold 3,266,667 shares to PBM TGT Holdings, LLC and 400,000 shares to Nolan Capital, LLC, which stockholders are controlled by certain members of the Company’s board of directors.</w:t>
      </w:r>
    </w:p>
    <w:p>
      <w:pPr>
        <w:spacing w:after="0" w:line="295"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18"/>
          <w:szCs w:val="18"/>
          <w:color w:val="auto"/>
        </w:rPr>
        <w:t>On July 2, 2020, the Company entered into a purchase agreement (the “Series B Purchase Agreement”), as later amended on July 28, 2020, providing for a private placement of up to 5,647,052 shares of Series B convertible preferred stock. The Company sold 5,647,048 shares of Series B convertible preferred stock at a price of $17.00 per share in multiple closings in July and August 2020 for gross proceeds of $96.0 million. The majority of investors that participated in the Series B Purchase Agreement were new investors.</w:t>
      </w:r>
    </w:p>
    <w:p>
      <w:pPr>
        <w:spacing w:after="0" w:line="288"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18"/>
          <w:szCs w:val="18"/>
          <w:color w:val="auto"/>
        </w:rPr>
        <w:t>As described above, in connection with the closing of the IPO, all shares of Series A and Series B convertible preferred stock were automatically converted into an aggregate of 17,047,378 shares of common stock with a conversion ratio, which was adjusted for the stock split, of 1.0895 shares of common stock for each share of Series A and Series B convertible preferred stock then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tranche liability</w:t>
      </w:r>
    </w:p>
    <w:p>
      <w:pPr>
        <w:spacing w:after="0" w:line="121" w:lineRule="exact"/>
        <w:rPr>
          <w:sz w:val="20"/>
          <w:szCs w:val="20"/>
          <w:color w:val="auto"/>
        </w:rPr>
      </w:pPr>
    </w:p>
    <w:p>
      <w:pPr>
        <w:ind w:right="520" w:firstLine="7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tranche liability met the definition of a freestanding financial instrument, as it was legally detachable and separately exercisable from the initial closing of the Series A convertible preferred stock.</w:t>
      </w:r>
    </w:p>
    <w:p>
      <w:pPr>
        <w:spacing w:after="0" w:line="270"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The estimated fair value of the tranche liability was determined using a Monte Carlo simulation at the initial issuance date. As of March 4, 2020, the simulations occurred based on the implied aggregate equity value of the Company derived from the Series A convertible preferred stock offering price of $3.00 per share, along with, in part, the following subjective assumptions: risk-free rate of 0.59%, an expected volatility of 80%, the expected term to a liquidity event of 1 year, and a 60% probability of achieving the clinical milestones and timing thereof. Subsequently, the estimated fair value of the tranche liability was determined using a backsolve approach at June 30, 2020, immediately prior to the issuance of the Milestone Shares, which was calculated based on the aggregate equity value of the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270" w:lineRule="exact"/>
        <w:rPr>
          <w:sz w:val="20"/>
          <w:szCs w:val="20"/>
          <w:color w:val="auto"/>
        </w:rPr>
      </w:pPr>
    </w:p>
    <w:p>
      <w:pPr>
        <w:ind w:right="220" w:firstLine="720"/>
        <w:spacing w:after="0" w:line="282" w:lineRule="auto"/>
        <w:rPr>
          <w:sz w:val="20"/>
          <w:szCs w:val="20"/>
          <w:color w:val="auto"/>
        </w:rPr>
      </w:pPr>
      <w:r>
        <w:rPr>
          <w:rFonts w:ascii="Times New Roman" w:cs="Times New Roman" w:eastAsia="Times New Roman" w:hAnsi="Times New Roman"/>
          <w:sz w:val="18"/>
          <w:szCs w:val="18"/>
          <w:color w:val="auto"/>
        </w:rPr>
        <w:t>Based on the analysis, the Company recorded a preferred stock tranche liability of $1.1 million at the issue date to account for the obligation to issue the Milestone Shares at a predetermined fixed price at a future settlement date.</w:t>
      </w:r>
    </w:p>
    <w:p>
      <w:pPr>
        <w:spacing w:after="0" w:line="270"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18"/>
          <w:szCs w:val="18"/>
          <w:color w:val="auto"/>
        </w:rPr>
        <w:t>At June 30, 2020, ahead of the anticipated closing of the Series B Purchase Agreement for $17.00 per share that occurred on July 2, 2020, certain investors elected to exercise in full their options to their pro-rata portion of the Milestone Shares prior to the Company’s achievement of the clinical milestones and purchased 200,000 shares of Series A convertible preferred stock. The Company remeasured the fair value of the entire tranche liability at June 30, 2020 and recognized a non-cash expense of $17.0 million in the consolidated statements of operations. Between June 30, 2020 and July 2, 2020, all of the 4,000,000 Milestone Shares were issued and the related tranche liability was extinguished in its entirety, and the Company reclassified the entire tranche liability of $18.1 million to convertible preferred stock on the consolidated balance sheets.</w:t>
      </w:r>
    </w:p>
    <w:p>
      <w:pPr>
        <w:spacing w:after="0" w:line="295"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18"/>
          <w:szCs w:val="18"/>
          <w:color w:val="auto"/>
        </w:rPr>
        <w:t>The Company concluded that no beneficial conversion feature (“BCF”) existed as the effective conversion price of the Series A convertible preferred stock exceeded the fair value of the Company’s common stock at each of the commitment dates. Specifically, at the commitment date of June 30, 2020, when 200,000 Milestone Shares were issued, the deemed proceeds were equal to the cash proceeds received for the shares of Series A convertible preferred stock and the fair value of the tranche liability that related to the Milestone Shares, or $7.52 per share. As the effective conversion price exceeded the fair value of the Company’s common stock at the commitment date, no BCF existed.</w:t>
      </w:r>
    </w:p>
    <w:p>
      <w:pPr>
        <w:spacing w:after="0" w:line="291"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preferred stock tranche liability measured at fair value using Level 3 significant unobservable inputs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380" w:type="dxa"/>
            <w:vAlign w:val="bottom"/>
            <w:gridSpan w:val="2"/>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issuance of Series A convertible preferred stock</w:t>
            </w:r>
          </w:p>
        </w:tc>
        <w:tc>
          <w:tcPr>
            <w:tcW w:w="1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r>
      <w:tr>
        <w:trPr>
          <w:trHeight w:val="22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10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preferred stock tranche liability due to issuance of Milestone Shares</w:t>
            </w:r>
          </w:p>
        </w:tc>
        <w:tc>
          <w:tcPr>
            <w:tcW w:w="1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(18,080)</w:t>
            </w: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8—Stock-Based Compensation</w:t>
      </w:r>
    </w:p>
    <w:p>
      <w:pPr>
        <w:spacing w:after="0" w:line="121" w:lineRule="exact"/>
        <w:rPr>
          <w:sz w:val="20"/>
          <w:szCs w:val="20"/>
          <w:color w:val="auto"/>
        </w:rPr>
      </w:pPr>
    </w:p>
    <w:p>
      <w:pPr>
        <w:ind w:right="200" w:firstLine="720"/>
        <w:spacing w:after="0" w:line="261"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Existing Plan which permits the granting of incentive stock options, non-statutory stock options, stock appreciation rights, RSAs, RSUs and other stock-based awards to employees, directors, officers and consultants. On July 1, 2020, 3,529,412 shares of common stock were authorized for issuance under the Existing Plan. On September 16, 2020, the Company increased the number of shares of common stock authorized for issuance under the Existing Plan to 3,845,294.</w:t>
      </w:r>
    </w:p>
    <w:p>
      <w:pPr>
        <w:spacing w:after="0" w:line="288"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New Plan, which became effective upon the execution of the underwriting agreement in connection with the IPO. The number of shares available for future issuance under the New Plan is the sum of (1) 3,390,168 new shares of common stock, (2) 209,841 remaining shares of common stock reserved under the Existing Plan that became available for issuance upon the effectiveness of the New Plan and (3) the number of shares of common stock subject to outstanding awards under the Existing Plan when the New Plan became effective that thereafter expire or are forfeited, canceled, withheld to satisfy tax withholding or to purchase or exercise an award, repurchased by the Company or are otherwise terminated. The number of shares of common stock reserved for issuance under the New Plan will automatically increase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On January 1, 2021 the board of directors increased the number of common stock reserved for issuance under the New Plan by 1,434,934 shares. On January 1, 2022 the board of directors increased the number of common stock reserved for issuance under the New Plan by 1,923,697 shares.</w:t>
      </w:r>
    </w:p>
    <w:p>
      <w:pPr>
        <w:spacing w:after="0" w:line="302"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Date and ending on (and including) January 1, 2030, in an amount equal to the lesser of (i) one percent (1.0%) of the total number of shares of capital stock outstanding on December 31st of the preceding calendar year, and (ii) 724,000 shares of common stock. No shares were added to the ESPP in 2021, and no issuances have been made under the ESPP as of December 31, 2021. On January 1, 2022, the board of directors increased the number of common stock reserved for issuance under the ESPP by 384,739.</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18"/>
          <w:szCs w:val="18"/>
          <w:color w:val="auto"/>
        </w:rPr>
        <w:t>On July 1, 2020, options to purchase 2,896,782 shares of common stock under the Existing Plan were awarded to certain employees and consultants of the Company with an exercise price per share of $0.80, which were expected to vest over a four-year period, all of which were subsequently cancelled (the “Cancelled Options”). The grant date fair value of the Cancelled Options was $13.8 million at the original grant date. In exchange, the Company awarded 2,518,932 RSUs on September 2, 2020, which are expected to vest over a four-year term. The Company accounted for the changes in award terms as a modification in accordance with ASC 718 Compensation – Stock Compensation. The modification was accounted for as an exchange of the original award for a new award with total compensation cost equal to the grant-date fair value of the original award plus any incremental value measured on the modification date. The Company determined that there was no incremental value as the fair value of the original award immediately before the modification was greater than the fair value of the new award immediately after the modification. Accordingly, the Company continues to recognize the remaining compensation cost of the Cancelled Options over the vesting period of the RSUs.</w:t>
      </w:r>
    </w:p>
    <w:p>
      <w:pPr>
        <w:spacing w:after="0" w:line="296" w:lineRule="exact"/>
        <w:rPr>
          <w:sz w:val="20"/>
          <w:szCs w:val="20"/>
          <w:color w:val="auto"/>
        </w:rPr>
      </w:pPr>
    </w:p>
    <w:p>
      <w:pPr>
        <w:ind w:right="80" w:firstLine="748"/>
        <w:spacing w:after="0" w:line="258" w:lineRule="auto"/>
        <w:rPr>
          <w:sz w:val="20"/>
          <w:szCs w:val="20"/>
          <w:color w:val="auto"/>
        </w:rPr>
      </w:pPr>
      <w:r>
        <w:rPr>
          <w:rFonts w:ascii="Times New Roman" w:cs="Times New Roman" w:eastAsia="Times New Roman" w:hAnsi="Times New Roman"/>
          <w:sz w:val="18"/>
          <w:szCs w:val="18"/>
          <w:color w:val="auto"/>
        </w:rPr>
        <w:t>The estimated fair value of the Company’s common stock at July 1, 2020 was $5.28 per share, as determined using information derived from the issuance price of the Company’s Series B convertible preferred stock of $17.00 per share on July 2, 2020. The valuation of the common stock was determined using an option-pricing model under which shares are valued by creating a series of call options with exercise prices based on the liquidation preferences and conversion terms of each equity class, adjusted for a discount for the lack of marketability to account for a lack of access to an active public market.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Cancelled Options that were granted on July 1, 2020:</w:t>
            </w:r>
          </w:p>
        </w:tc>
        <w:tc>
          <w:tcPr>
            <w:tcW w:w="1060" w:type="dxa"/>
            <w:vAlign w:val="bottom"/>
          </w:tcPr>
          <w:p>
            <w:pPr>
              <w:spacing w:after="0"/>
              <w:rPr>
                <w:sz w:val="20"/>
                <w:szCs w:val="20"/>
                <w:color w:val="auto"/>
              </w:rPr>
            </w:pPr>
          </w:p>
        </w:tc>
      </w:tr>
      <w:tr>
        <w:trPr>
          <w:trHeight w:val="216"/>
        </w:trPr>
        <w:tc>
          <w:tcPr>
            <w:tcW w:w="10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3"/>
        </w:trPr>
        <w:tc>
          <w:tcPr>
            <w:tcW w:w="10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r>
              <w:rPr>
                <w:rFonts w:ascii="Times New Roman" w:cs="Times New Roman" w:eastAsia="Times New Roman" w:hAnsi="Times New Roman"/>
                <w:sz w:val="19"/>
                <w:szCs w:val="19"/>
                <w:color w:val="auto"/>
              </w:rPr>
              <w:t>%</w:t>
            </w:r>
          </w:p>
        </w:tc>
      </w:tr>
      <w:tr>
        <w:trPr>
          <w:trHeight w:val="243"/>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346"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excluding the Cancelled Options, options to purchase 674,842 shares of common stock were granted with a weighted-average exercise price per share of $20.68. On September 2, 2020, options to purchase 16,342 shares of common stock under the Existing Plan were awarded to certain directors of the Company with an exercise price per share of $14.90, and on various dates beginning at the closing of the IPO through December 31, 2020, 658,500 shares of common stock under the New Plan were awarded with a weighted-average exercise price per share of $20.83. The stock options generally vest over three or four years and have a ten-year contractual term.</w:t>
      </w:r>
    </w:p>
    <w:p>
      <w:pPr>
        <w:spacing w:after="0" w:line="318" w:lineRule="exact"/>
        <w:rPr>
          <w:sz w:val="20"/>
          <w:szCs w:val="20"/>
          <w:color w:val="auto"/>
        </w:rPr>
      </w:pPr>
    </w:p>
    <w:p>
      <w:pPr>
        <w:ind w:right="460" w:firstLine="7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option to purchase 3,192,600 shares of common stock under the New Plan were awarded with a weighted-average grant date fair value per share of $16.33. The stock options vest over one to four years and have a ten-year contractual term.</w:t>
      </w:r>
    </w:p>
    <w:p>
      <w:pPr>
        <w:spacing w:after="0" w:line="270"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stock options, excluding the Cancelled Options, for the years ended December 31, 2021 and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20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86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r>
      <w:tr>
        <w:trPr>
          <w:trHeight w:val="223"/>
        </w:trPr>
        <w:tc>
          <w:tcPr>
            <w:tcW w:w="8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0.84%</w:t>
            </w:r>
          </w:p>
        </w:tc>
        <w:tc>
          <w:tcPr>
            <w:tcW w:w="7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r>
      <w:tr>
        <w:trPr>
          <w:trHeight w:val="230"/>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FF0FC"/>
          </w:tcPr>
          <w:p>
            <w:pPr>
              <w:spacing w:after="0"/>
              <w:rPr>
                <w:sz w:val="19"/>
                <w:szCs w:val="19"/>
                <w:color w:val="auto"/>
              </w:rPr>
            </w:pPr>
          </w:p>
        </w:tc>
      </w:tr>
      <w:tr>
        <w:trPr>
          <w:trHeight w:val="234"/>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7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643"/>
        </w:trPr>
        <w:tc>
          <w:tcPr>
            <w:tcW w:w="93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F-19</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1"/>
        </w:trPr>
        <w:tc>
          <w:tcPr>
            <w:tcW w:w="8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 ended December 31, 2021: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674,842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674,842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3,192,600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(217,480)</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3,649,962</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4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December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243,722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160" w:firstLine="720"/>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as of December 31, 2021 and the exercise price of the stock options. As of December 31, 2021, the total unrecognized compensation related to unvested stock option awards granted was $44.7 million, which the Company expects to recognize over a weighted-average period of approximately 3.1 years. No stock options were exercised during the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18"/>
          <w:szCs w:val="18"/>
          <w:color w:val="auto"/>
        </w:rPr>
        <w:t>On September 2, 2020, the Company issued 331,121 RSUs to an employee under the Existing Plan; 25% of the shares of common stock underlying the RSUs vest at each anniversary over a four-year period. The RSUs are subject to a service-based vesting condition. The RSUs were also subject to a liquidity-based performance vesting condition that was met upon the closing of the IPO. The Company at any time may accelerate the vesting of the RSUs. Such shares are not accounted for as outstanding until they vest. As of December 31, 2021, the total unrecognized compensation related to unvested RSUs granted, including the remaining compensation cost associated with the RSUs granted on September 2, 2020 in exchange for the Cancelled Options, was $10.7 million which is expected to be amortized on a straight-line basis over the weighted- average remaining vesting period of approximately 1.5 years.</w:t>
      </w:r>
    </w:p>
    <w:p>
      <w:pPr>
        <w:spacing w:after="0" w:line="297"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18"/>
          <w:szCs w:val="18"/>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RSU activity for the year ended December 31, 2021 and 2020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2020</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Replacement restricted units 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2,850,053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(712,510)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Cancelled or forfeited</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(250,778)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1,886,765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18"/>
          <w:szCs w:val="18"/>
          <w:color w:val="auto"/>
        </w:rPr>
        <w:t>RA Session II, the Company’s President and Chief Executive Officer, was awarded 769,058 RSAs under the Existing Plan on July 1, 2020, which are expected to vest over a three-year term, subject to continuous employment. As of December 31, 2021, the total unrecognized compensation related to unvested RSAs granted was $1.8 million which is expected to be amortized on a straight-line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over the weighted average remaining vesting period of approximately 0.6 years. The fair value of these RSAs at the grant date of July 1, 2020 was $5.28 per share.</w:t>
      </w:r>
    </w:p>
    <w:p>
      <w:pPr>
        <w:spacing w:after="0" w:line="2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Company’s RSA activity for the year ended December 31, 2021 and 2020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7720" w:type="dxa"/>
            <w:vAlign w:val="bottom"/>
          </w:tcPr>
          <w:p>
            <w:pPr>
              <w:spacing w:after="0"/>
              <w:rPr>
                <w:sz w:val="14"/>
                <w:szCs w:val="14"/>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7720" w:type="dxa"/>
            <w:vAlign w:val="bottom"/>
          </w:tcPr>
          <w:p>
            <w:pPr>
              <w:spacing w:after="0"/>
              <w:rPr>
                <w:sz w:val="15"/>
                <w:szCs w:val="15"/>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769,058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(427,083)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341,975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$0.4 million of stock-based compensation expense was capitalized as part of construction in process (see Note 3). The following table summarizes the total remaining stock-based compensation expense for the stock options, RSAs and RSUs recorded in the consolidated statements of operations for the years ended December 31, 2021 and 2020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4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160" w:type="dxa"/>
            <w:vAlign w:val="bottom"/>
          </w:tcPr>
          <w:p>
            <w:pPr>
              <w:spacing w:after="0"/>
              <w:rPr>
                <w:sz w:val="15"/>
                <w:szCs w:val="15"/>
                <w:color w:val="auto"/>
              </w:rPr>
            </w:pP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5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5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18,184</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9—Net Loss Per Common Share</w:t>
      </w:r>
    </w:p>
    <w:p>
      <w:pPr>
        <w:spacing w:after="0" w:line="121"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the periods presented, basic and diluted net loss per common share are the same.</w:t>
      </w:r>
    </w:p>
    <w:p>
      <w:pPr>
        <w:spacing w:after="0" w:line="284" w:lineRule="exact"/>
        <w:rPr>
          <w:sz w:val="20"/>
          <w:szCs w:val="20"/>
          <w:color w:val="auto"/>
        </w:rPr>
      </w:pPr>
    </w:p>
    <w:p>
      <w:pPr>
        <w:ind w:right="160" w:firstLine="7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for the years ended December 31, 2021 and 2020, respectively (in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(174,523)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to compute net loss per common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37,650,566</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17,665,683</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200" w:firstLine="720"/>
        <w:spacing w:after="0" w:line="229" w:lineRule="exact"/>
        <w:rPr>
          <w:sz w:val="20"/>
          <w:szCs w:val="20"/>
          <w:color w:val="auto"/>
        </w:rPr>
      </w:pPr>
      <w:r>
        <w:rPr>
          <w:rFonts w:ascii="Times New Roman" w:cs="Times New Roman" w:eastAsia="Times New Roman" w:hAnsi="Times New Roman"/>
          <w:sz w:val="18"/>
          <w:szCs w:val="18"/>
          <w:color w:val="auto"/>
        </w:rPr>
        <w:t>The following common stock equivalents outstanding as of December 31, 2021 and 2020, respectively,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tbl>
      <w:tblPr>
        <w:tblLayout w:type="fixed"/>
        <w:tblInd w:w="0" w:type="dxa"/>
        <w:tblCellMar>
          <w:top w:w="0" w:type="dxa"/>
          <w:left w:w="0" w:type="dxa"/>
          <w:bottom w:w="0" w:type="dxa"/>
          <w:right w:w="0" w:type="dxa"/>
        </w:tblCellMar>
      </w:tblPr>
      <w:tr>
        <w:trPr>
          <w:trHeight w:val="131"/>
        </w:trPr>
        <w:tc>
          <w:tcPr>
            <w:tcW w:w="33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60" w:type="dxa"/>
            <w:vAlign w:val="bottom"/>
            <w:gridSpan w:val="2"/>
          </w:tcPr>
          <w:p>
            <w:pPr>
              <w:ind w:left="3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gridSpan w:val="2"/>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300" w:type="dxa"/>
            <w:vAlign w:val="bottom"/>
          </w:tcPr>
          <w:p>
            <w:pPr>
              <w:spacing w:after="0"/>
              <w:rPr>
                <w:sz w:val="15"/>
                <w:szCs w:val="15"/>
                <w:color w:val="auto"/>
              </w:rPr>
            </w:pPr>
          </w:p>
        </w:tc>
        <w:tc>
          <w:tcPr>
            <w:tcW w:w="6140" w:type="dxa"/>
            <w:vAlign w:val="bottom"/>
            <w:gridSpan w:val="2"/>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45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1,886,765</w:t>
            </w:r>
          </w:p>
        </w:tc>
        <w:tc>
          <w:tcPr>
            <w:tcW w:w="2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Unvested RSAs</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341,975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769,058</w:t>
            </w: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3,649,962</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674,842</w:t>
            </w:r>
          </w:p>
        </w:tc>
        <w:tc>
          <w:tcPr>
            <w:tcW w:w="120" w:type="dxa"/>
            <w:vAlign w:val="bottom"/>
            <w:shd w:val="clear" w:color="auto" w:fill="CFF0FC"/>
          </w:tcPr>
          <w:p>
            <w:pPr>
              <w:spacing w:after="0"/>
              <w:rPr>
                <w:sz w:val="19"/>
                <w:szCs w:val="19"/>
                <w:color w:val="auto"/>
              </w:rPr>
            </w:pPr>
          </w:p>
        </w:tc>
      </w:tr>
      <w:tr>
        <w:trPr>
          <w:trHeight w:val="223"/>
        </w:trPr>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5,878,702</w:t>
            </w:r>
          </w:p>
        </w:tc>
        <w:tc>
          <w:tcPr>
            <w:tcW w:w="2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4,293,953</w:t>
            </w:r>
          </w:p>
        </w:tc>
        <w:tc>
          <w:tcPr>
            <w:tcW w:w="12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3300" w:type="dxa"/>
            <w:vAlign w:val="bottom"/>
          </w:tcPr>
          <w:p>
            <w:pPr>
              <w:spacing w:after="0"/>
              <w:rPr>
                <w:sz w:val="24"/>
                <w:szCs w:val="24"/>
                <w:color w:val="auto"/>
              </w:rPr>
            </w:pPr>
          </w:p>
        </w:tc>
        <w:tc>
          <w:tcPr>
            <w:tcW w:w="642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F-21</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1"/>
        </w:trPr>
        <w:tc>
          <w:tcPr>
            <w:tcW w:w="33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0"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18"/>
          <w:szCs w:val="18"/>
          <w:color w:val="auto"/>
        </w:rPr>
        <w:t>On March 27, 2020, the CARES Act, an economic relief package in response to the COVID-19 pandemic, was signed into law. The CARES Act contains several corporate income tax provisions, including making remaining alternative minimum tax credits immediately refundable; providing a 5-year carryback of NOL carryforwards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The CARES Act did not have a material effect on the realizability of deferred income tax assets or tax expense in 2021 or 2020.</w:t>
      </w:r>
    </w:p>
    <w:p>
      <w:pPr>
        <w:spacing w:after="0" w:line="3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effective tax rate of the Company's provision (benefit) for income taxes differs from the federal statutory rate as follows:</w:t>
      </w:r>
    </w:p>
    <w:p>
      <w:pPr>
        <w:spacing w:after="0" w:line="300"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7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9"/>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29"/>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7"/>
              </w:rPr>
              <w:t>(27.76)%</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tranche liability</w:t>
            </w:r>
          </w:p>
        </w:tc>
        <w:tc>
          <w:tcPr>
            <w:tcW w:w="7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
        </w:trPr>
        <w:tc>
          <w:tcPr>
            <w:tcW w:w="8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4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80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Deferred tax assets and valuation allowance</w:t>
      </w:r>
    </w:p>
    <w:p>
      <w:pPr>
        <w:spacing w:after="0" w:line="133" w:lineRule="exact"/>
        <w:rPr>
          <w:sz w:val="20"/>
          <w:szCs w:val="20"/>
          <w:color w:val="auto"/>
        </w:rPr>
      </w:pPr>
    </w:p>
    <w:p>
      <w:pPr>
        <w:jc w:val="both"/>
        <w:ind w:right="200" w:firstLine="720"/>
        <w:spacing w:after="0" w:line="266" w:lineRule="auto"/>
        <w:rPr>
          <w:sz w:val="20"/>
          <w:szCs w:val="20"/>
          <w:color w:val="auto"/>
        </w:rPr>
      </w:pPr>
      <w:r>
        <w:rPr>
          <w:rFonts w:ascii="Times New Roman" w:cs="Times New Roman" w:eastAsia="Times New Roman" w:hAnsi="Times New Roman"/>
          <w:sz w:val="18"/>
          <w:szCs w:val="18"/>
          <w:color w:val="auto"/>
        </w:rPr>
        <w:t>Deferred tax assets reflect the tax effects of NOLs, tax credit carryovers, and temporary differences between the carrying amounts of assets and liabilities for financial reporting purposes and the amounts used for income tax purposes. At December 31, 2021 and 2020, the significant components of the Company’s net deferred tax asset are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33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722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r>
      <w:tr>
        <w:trPr>
          <w:trHeight w:val="223"/>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6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37,005</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r>
      <w:tr>
        <w:trPr>
          <w:trHeight w:val="23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58,231</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1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(58,231)</w:t>
            </w:r>
          </w:p>
        </w:tc>
        <w:tc>
          <w:tcPr>
            <w:tcW w:w="1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(9,782)</w:t>
            </w:r>
          </w:p>
        </w:tc>
      </w:tr>
      <w:tr>
        <w:trPr>
          <w:trHeight w:val="223"/>
        </w:trPr>
        <w:tc>
          <w:tcPr>
            <w:tcW w:w="7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 net of allowance</w:t>
            </w:r>
          </w:p>
        </w:tc>
        <w:tc>
          <w:tcPr>
            <w:tcW w:w="1160" w:type="dxa"/>
            <w:vAlign w:val="bottom"/>
            <w:tcBorders>
              <w:top w:val="single" w:sz="8" w:color="auto"/>
              <w:bottom w:val="single" w:sz="8" w:color="auto"/>
            </w:tcBorders>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18"/>
          <w:szCs w:val="18"/>
          <w:color w:val="auto"/>
        </w:rPr>
        <w:t>There are no deferred tax liabilities as of December 31, 2021 and 2020, respectively. The valuation allowance is equal to the total deferred tax asset amounts as of December 31, 2021 and 2020 as there are no deferred tax liabilities in the respective periods.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620" w:firstLine="720"/>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$48.4 million during the year ended December 31, 2021 and by $9.5 million during the year ended December 31, 2020.</w:t>
      </w:r>
    </w:p>
    <w:p>
      <w:pPr>
        <w:spacing w:after="0" w:line="297"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18"/>
          <w:szCs w:val="18"/>
          <w:color w:val="auto"/>
        </w:rPr>
        <w:t>As of December 31, 2021, there were net federal operating losses of $175.6 million, state operating losses of $4.1 million, federal tax credit carryforward of $19.0 million, and state tax credit carryforward of $1.0 million. The net operating losses and state tax credit carryforward do not expire. As of December 31, 2020, there were net federal operating losses of $27.7 million, federal tax credit carryforward of $0.9 million, and state tax credit carryforward of less than $0.1 million. The federal tax credit carryforward will expire in 2040. The Company files federal and state income tax returns and, in the normal course of business, the Company is subject to examination by these taxing authorities. All periods since Inception are subject to examination by these taxing authorities, where applicable. There are currently no pending income tax examinations.</w:t>
      </w:r>
    </w:p>
    <w:p>
      <w:pPr>
        <w:spacing w:after="0" w:line="336"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18"/>
          <w:szCs w:val="18"/>
          <w:color w:val="auto"/>
        </w:rPr>
        <w:t>Pursuant to Section 382 of the Internal Revenue Code, certain substantial changes in the Company's ownership may result in a limitation on the amount of NOL carryforwards and tax credit carryforwards that may be used in future years. Utilization of the NOL and tax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tax credit carryforwards that can be utilized annually to offset future taxable income and tax, respectively. The Company has not completed a study to assess whether an ownership change has occurred, or whether there have been multiple ownership changes since its formation. There could also be additional ownership changes in the future which may result in additional limitations on the utilization of NOL carryforwards and credits.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500" w:firstLine="7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20" w:firstLine="7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December 31, 2021. The Company does not anticipate recognizing any significant losses relating to these arrangements.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291"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will be responsible for constructing interior improvements within the Facility. The Company was required to place $2.6 million in an escrow account which will be released when the improvements are substantially complete. The escrow funds are recorded as restricted cash on the consolidated balance sheet as of December 31, 2021 and are expected to be released in 2023.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95" w:lineRule="exact"/>
        <w:rPr>
          <w:sz w:val="20"/>
          <w:szCs w:val="20"/>
          <w:color w:val="auto"/>
        </w:rPr>
      </w:pPr>
    </w:p>
    <w:p>
      <w:pPr>
        <w:ind w:right="300" w:firstLine="720"/>
        <w:spacing w:after="0" w:line="282" w:lineRule="auto"/>
        <w:rPr>
          <w:sz w:val="20"/>
          <w:szCs w:val="20"/>
          <w:color w:val="auto"/>
        </w:rPr>
      </w:pPr>
      <w:r>
        <w:rPr>
          <w:rFonts w:ascii="Times New Roman" w:cs="Times New Roman" w:eastAsia="Times New Roman" w:hAnsi="Times New Roman"/>
          <w:sz w:val="18"/>
          <w:szCs w:val="18"/>
          <w:color w:val="auto"/>
        </w:rPr>
        <w:t>The Company incurred initial direct costs to enter into the Durham Lease of approximately $0.8 million. The costs have been recorded on the consolidated balance sheets as a deferred lease asset and are being amortized into earnings over the term of the Durham Lease.</w:t>
      </w:r>
    </w:p>
    <w:p>
      <w:pPr>
        <w:spacing w:after="0" w:line="268" w:lineRule="exact"/>
        <w:rPr>
          <w:sz w:val="20"/>
          <w:szCs w:val="20"/>
          <w:color w:val="auto"/>
        </w:rPr>
      </w:pPr>
    </w:p>
    <w:p>
      <w:pPr>
        <w:ind w:right="140" w:firstLine="72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is deemed, for accounting purposes only, to be the owner of the entire leased Facility, including the building shell, during the construction period because of the Company’s level of direct financial and operational involvement in the substantial tenant improvements, including structural improvements, required to build out the Facility. As a result, the Company capitalized approximately $26.3 million as a build-to-suit asset within property, plant and equipment, net and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recognized a corresponding build-to-suit lease financing obligation as a liability on its consolidated balance sheets equal to the fair value of the existing building shell using comparable market prices per square foot for similar space for public real estate transactions in the surrounding area at commencement of construction. Additionally, construction costs incurred as part of the build-out and tenant improvements are also capitalized within property, plant and equipment, net. Costs of approximately $45.8 million have been capitalized during the year ended December 31, 2021, related to both equipment purchases and the build-out of the leased Facility. The Company will assess and determine if the build-to-suit asset and corresponding liability should be derecognized upon completion of construction.</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Dallas Lease</w:t>
      </w:r>
    </w:p>
    <w:p>
      <w:pPr>
        <w:spacing w:after="0" w:line="121"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18"/>
          <w:szCs w:val="18"/>
          <w:color w:val="auto"/>
        </w:rPr>
        <w:t>On January 11, 2021, the Company entered into a lease agreement (the “Dallas Lease”) with Pegasus Park, LLC, a Delaware limited liability company (the “Dallas Landlord”), pursuant to which the Company will lease approximately 15,000 square feet of office space at 3000 Pegasus Park Drive, Dallas, Texas 75247 (the “Office Space”).</w:t>
      </w:r>
    </w:p>
    <w:p>
      <w:pPr>
        <w:spacing w:after="0" w:line="324"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18"/>
          <w:szCs w:val="18"/>
          <w:color w:val="auto"/>
        </w:rPr>
        <w:t>The Dallas Lease commenced on May 27, 2021, and has a term of approximately ten years. The Company has an option to extend the term of the Dallas Lease for one additional period of five years. The Company’s obligation for the payment of base rent for the Office Space is initially approximately $32,500 per month and will increase annually, up to an estimated monthly base rent of $50,000 during the term of the Dallas Lease. The Company is obligated to pay operating costs and utilities applicable to the Office Space. Total future minimum lease payments under the Dallas Lease over the initial 10 year term are approximately $4.9 million. The Company is responsible for costs of constructing interior improvements within the Office Space that exceed $40.00 per rentable square foot construction allowance provided by the Dallas Landlord.</w:t>
      </w:r>
    </w:p>
    <w:p>
      <w:pPr>
        <w:spacing w:after="0" w:line="295" w:lineRule="exact"/>
        <w:rPr>
          <w:sz w:val="20"/>
          <w:szCs w:val="20"/>
          <w:color w:val="auto"/>
        </w:rPr>
      </w:pPr>
    </w:p>
    <w:p>
      <w:pPr>
        <w:ind w:right="180" w:firstLine="720"/>
        <w:spacing w:after="0" w:line="282" w:lineRule="auto"/>
        <w:rPr>
          <w:sz w:val="20"/>
          <w:szCs w:val="20"/>
          <w:color w:val="auto"/>
        </w:rPr>
      </w:pPr>
      <w:r>
        <w:rPr>
          <w:rFonts w:ascii="Times New Roman" w:cs="Times New Roman" w:eastAsia="Times New Roman" w:hAnsi="Times New Roman"/>
          <w:sz w:val="18"/>
          <w:szCs w:val="18"/>
          <w:color w:val="auto"/>
        </w:rPr>
        <w:t>The Company has a right of first refusal with respect to certain additional adjacent office space before the Dallas Landlord accepts any offer for such space.</w:t>
      </w:r>
    </w:p>
    <w:p>
      <w:pPr>
        <w:spacing w:after="0" w:line="270"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18"/>
          <w:szCs w:val="18"/>
          <w:color w:val="auto"/>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284"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recognized approximately $0.6 million of lease construction incentive based on the construction allowance provided. The construction incentive has been recorded on the consolidated balance sheets as a deferred lease incentive obligation and is being amortized into earnings as a deduction of rent expense over the term of the Dallas Lease.</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Dallas Lease Expansion</w:t>
      </w:r>
    </w:p>
    <w:p>
      <w:pPr>
        <w:spacing w:after="0" w:line="121"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amended the Dallas Lease (the “Dallas Lease Amendment”) with the Dallas Landlord, pursuant to which the Company will lease approximately 18,000 square feet of office space adjacent to the Office Space at 3000 Pegasus Park Drive, Dallas, Texas 75247 (the “Expansion Premises”).</w:t>
      </w:r>
    </w:p>
    <w:p>
      <w:pPr>
        <w:spacing w:after="0" w:line="311" w:lineRule="exact"/>
        <w:rPr>
          <w:sz w:val="20"/>
          <w:szCs w:val="20"/>
          <w:color w:val="auto"/>
        </w:rPr>
      </w:pPr>
    </w:p>
    <w:p>
      <w:pPr>
        <w:ind w:right="40" w:firstLine="762"/>
        <w:spacing w:after="0" w:line="258" w:lineRule="auto"/>
        <w:rPr>
          <w:sz w:val="20"/>
          <w:szCs w:val="20"/>
          <w:color w:val="auto"/>
        </w:rPr>
      </w:pPr>
      <w:r>
        <w:rPr>
          <w:rFonts w:ascii="Times New Roman" w:cs="Times New Roman" w:eastAsia="Times New Roman" w:hAnsi="Times New Roman"/>
          <w:sz w:val="18"/>
          <w:szCs w:val="18"/>
          <w:color w:val="auto"/>
        </w:rPr>
        <w:t>The Dallas Lease Amendment commences on the date on which certain improvements to the Expansion Premises have been made and the Expansion Premises is tendered to the Company for possession, which the Company and the Dallas Landlord presently anticipate to be delivered on or about June 1, 2022, and will have a term of approximately ten years. The Company’s obligation for the payment of base rent for the Expansion Premises will initially be approximately $40,000 per month and will increase annually, up to an estimated monthly base rent of $62,000 during the term of the Dallas Lease Expansion.</w:t>
      </w:r>
    </w:p>
    <w:p>
      <w:pPr>
        <w:spacing w:after="0" w:line="332"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18"/>
          <w:szCs w:val="18"/>
          <w:color w:val="auto"/>
        </w:rPr>
        <w:t>The Company is obligated to pay operating costs and utilities applicable to the Expansion Premises. Total future minimum lease payments under the Dallas Lease over the initial 10 year term are approximately $6.0 million. The Company will be responsible for costs of constructing interior improvements within the Expansion Premises that exceed a $40.00 per rentable square foot construction allowance provided by the Dallas Landlord</w:t>
      </w:r>
    </w:p>
    <w:p>
      <w:pPr>
        <w:spacing w:after="0" w:line="32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18"/>
          <w:szCs w:val="18"/>
          <w:color w:val="auto"/>
        </w:rPr>
        <w:t>The Company has a right of first refusal with respect to certain additional office space on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at 3000 Pegasus Park Drive, Dallas, Texas 75247 before the Dallas Landlord accepts any offer for such space.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On-site Generation Lease</w:t>
      </w:r>
    </w:p>
    <w:p>
      <w:pPr>
        <w:spacing w:after="0" w:line="135" w:lineRule="exact"/>
        <w:rPr>
          <w:sz w:val="20"/>
          <w:szCs w:val="20"/>
          <w:color w:val="auto"/>
        </w:rPr>
      </w:pPr>
    </w:p>
    <w:p>
      <w:pPr>
        <w:ind w:right="120" w:firstLine="720"/>
        <w:spacing w:after="0" w:line="282" w:lineRule="auto"/>
        <w:rPr>
          <w:sz w:val="20"/>
          <w:szCs w:val="20"/>
          <w:color w:val="auto"/>
        </w:rPr>
      </w:pPr>
      <w:r>
        <w:rPr>
          <w:rFonts w:ascii="Times New Roman" w:cs="Times New Roman" w:eastAsia="Times New Roman" w:hAnsi="Times New Roman"/>
          <w:sz w:val="18"/>
          <w:szCs w:val="18"/>
          <w:color w:val="auto"/>
        </w:rPr>
        <w:t>On June 30, 2021, the Company entered into a lease agreement (the “On-site Generation Lease”) with an Electricity Utility Company (the “On-site Generation Landlord”), pursuant to which the Company will lease equipment to generate its supply of electricity (the “Leased Equipment”).</w:t>
      </w:r>
    </w:p>
    <w:p>
      <w:pPr>
        <w:spacing w:after="0" w:line="310" w:lineRule="exact"/>
        <w:rPr>
          <w:sz w:val="20"/>
          <w:szCs w:val="20"/>
          <w:color w:val="auto"/>
        </w:rPr>
      </w:pPr>
    </w:p>
    <w:p>
      <w:pPr>
        <w:jc w:val="both"/>
        <w:ind w:right="40" w:firstLine="720"/>
        <w:spacing w:after="0" w:line="258" w:lineRule="auto"/>
        <w:rPr>
          <w:sz w:val="20"/>
          <w:szCs w:val="20"/>
          <w:color w:val="auto"/>
        </w:rPr>
      </w:pPr>
      <w:r>
        <w:rPr>
          <w:rFonts w:ascii="Times New Roman" w:cs="Times New Roman" w:eastAsia="Times New Roman" w:hAnsi="Times New Roman"/>
          <w:sz w:val="18"/>
          <w:szCs w:val="18"/>
          <w:color w:val="auto"/>
        </w:rPr>
        <w:t>The On-site Generation Lease has not commenced as of December 31, 2021, as the Company does not have the right to operate nor control the leased equipment. The On-site Generation Lease will have an initial term of ten years, and will automatically renew annually thereafter until terminated. The Company’s obligation for the payment of fees for the Leased Equipment and monthly maintenance and fuel acquisition costs (the “Monthly Rate”) is $29,465 per month and eight advanced monthly payments of $126,500. Total future minimum lease payments under the On-site Generation Lease over the initial ten-year term, including the advanced payments, are approximately $4.5 million.</w:t>
      </w:r>
    </w:p>
    <w:p>
      <w:pPr>
        <w:spacing w:after="0" w:line="318" w:lineRule="exact"/>
        <w:rPr>
          <w:sz w:val="20"/>
          <w:szCs w:val="20"/>
          <w:color w:val="auto"/>
        </w:rPr>
      </w:pPr>
    </w:p>
    <w:p>
      <w:pPr>
        <w:ind w:right="540" w:firstLine="720"/>
        <w:spacing w:after="0" w:line="282" w:lineRule="auto"/>
        <w:rPr>
          <w:sz w:val="20"/>
          <w:szCs w:val="20"/>
          <w:color w:val="auto"/>
        </w:rPr>
      </w:pPr>
      <w:r>
        <w:rPr>
          <w:rFonts w:ascii="Times New Roman" w:cs="Times New Roman" w:eastAsia="Times New Roman" w:hAnsi="Times New Roman"/>
          <w:sz w:val="18"/>
          <w:szCs w:val="18"/>
          <w:color w:val="auto"/>
        </w:rPr>
        <w:t>The On-site Generation Landlord has the right to terminate the lease upon breach of a material provision of the On-site Generation Lease, including the Company’s failure to pay financial obligations in a timely manner.</w:t>
      </w:r>
    </w:p>
    <w:p>
      <w:pPr>
        <w:spacing w:after="0" w:line="3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Central Utilities Building</w:t>
      </w:r>
    </w:p>
    <w:p>
      <w:pPr>
        <w:spacing w:after="0" w:line="135" w:lineRule="exact"/>
        <w:rPr>
          <w:sz w:val="20"/>
          <w:szCs w:val="20"/>
          <w:color w:val="auto"/>
        </w:rPr>
      </w:pPr>
    </w:p>
    <w:p>
      <w:pPr>
        <w:jc w:val="both"/>
        <w:ind w:right="440" w:firstLine="720"/>
        <w:spacing w:after="0" w:line="266" w:lineRule="auto"/>
        <w:rPr>
          <w:sz w:val="20"/>
          <w:szCs w:val="20"/>
          <w:color w:val="auto"/>
        </w:rPr>
      </w:pPr>
      <w:r>
        <w:rPr>
          <w:rFonts w:ascii="Times New Roman" w:cs="Times New Roman" w:eastAsia="Times New Roman" w:hAnsi="Times New Roman"/>
          <w:sz w:val="18"/>
          <w:szCs w:val="18"/>
          <w:color w:val="auto"/>
        </w:rPr>
        <w:t>On December 21, 2021, the Company entered into a lease agreement for a Central Utilities Building (the “CUB Lease”) with an Electricity Utility Company (the “CUB Landlord”), pursuant to which the Company will lease equipment to maintain and distribute its supply of electricity (the “Leased CUB”).</w:t>
      </w:r>
    </w:p>
    <w:p>
      <w:pPr>
        <w:spacing w:after="0" w:line="324"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18"/>
          <w:szCs w:val="18"/>
          <w:color w:val="auto"/>
        </w:rPr>
        <w:t>The CUB Lease has not commenced as of December 31, 2021, as the Company does not have the right to operate nor control the leased equipment. The CUB Lease will have an initial term of ten years. After the initial term CUB Lease will renew on an annual basis until terminated. The Company’s obligation for the payment of fees (the “Monthly Fees”) for the CUB Lease is $82,700 per month and ten advanced monthly payments of $169,753. Total future minimum lease payments under the CUB Lease over the initial ten-year term, including advanced payments, are approximately $11.6 million.</w:t>
      </w:r>
    </w:p>
    <w:p>
      <w:pPr>
        <w:spacing w:after="0" w:line="318"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18"/>
          <w:szCs w:val="18"/>
          <w:color w:val="auto"/>
        </w:rPr>
        <w:t>The CUB Landlord has the right to terminate the lease upon breach of a material provision of the CUB Lease, including the Company’s failure to pay financial obligations in a timely manner.</w:t>
      </w:r>
    </w:p>
    <w:p>
      <w:pPr>
        <w:spacing w:after="0" w:line="3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aggregate lease commitments as of December 31, 2021 (in thousands):</w:t>
      </w:r>
    </w:p>
    <w:p>
      <w:pPr>
        <w:spacing w:after="0" w:line="235" w:lineRule="exact"/>
        <w:rPr>
          <w:sz w:val="20"/>
          <w:szCs w:val="20"/>
          <w:color w:val="auto"/>
        </w:rPr>
      </w:pPr>
    </w:p>
    <w:tbl>
      <w:tblPr>
        <w:tblLayout w:type="fixed"/>
        <w:tblInd w:w="282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80" w:type="dxa"/>
            <w:vAlign w:val="bottom"/>
            <w:shd w:val="clear" w:color="auto" w:fill="CFF0FC"/>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80" w:type="dxa"/>
            <w:vAlign w:val="bottom"/>
          </w:tcPr>
          <w:p>
            <w:pPr>
              <w:spacing w:after="0"/>
              <w:rPr>
                <w:sz w:val="19"/>
                <w:szCs w:val="19"/>
                <w:color w:val="auto"/>
              </w:rPr>
            </w:pP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80" w:type="dxa"/>
            <w:vAlign w:val="bottom"/>
            <w:shd w:val="clear" w:color="auto" w:fill="CFF0FC"/>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80" w:type="dxa"/>
            <w:vAlign w:val="bottom"/>
          </w:tcPr>
          <w:p>
            <w:pPr>
              <w:spacing w:after="0"/>
              <w:rPr>
                <w:sz w:val="19"/>
                <w:szCs w:val="19"/>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80" w:type="dxa"/>
            <w:vAlign w:val="bottom"/>
            <w:shd w:val="clear" w:color="auto" w:fill="CFF0FC"/>
          </w:tcPr>
          <w:p>
            <w:pPr>
              <w:spacing w:after="0"/>
              <w:rPr>
                <w:sz w:val="19"/>
                <w:szCs w:val="19"/>
                <w:color w:val="auto"/>
              </w:rPr>
            </w:pPr>
          </w:p>
        </w:tc>
      </w:tr>
      <w:tr>
        <w:trPr>
          <w:trHeight w:val="230"/>
        </w:trPr>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30,563</w:t>
            </w:r>
          </w:p>
        </w:tc>
        <w:tc>
          <w:tcPr>
            <w:tcW w:w="80" w:type="dxa"/>
            <w:vAlign w:val="bottom"/>
            <w:tcBorders>
              <w:bottom w:val="single" w:sz="8" w:color="CFF0FC"/>
            </w:tcBorders>
          </w:tcPr>
          <w:p>
            <w:pPr>
              <w:spacing w:after="0"/>
              <w:rPr>
                <w:sz w:val="19"/>
                <w:szCs w:val="19"/>
                <w:color w:val="auto"/>
              </w:rPr>
            </w:pP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Commitments</w:t>
            </w:r>
          </w:p>
        </w:tc>
        <w:tc>
          <w:tcPr>
            <w:tcW w:w="10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52,153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Retirement Plan</w:t>
      </w:r>
    </w:p>
    <w:p>
      <w:pPr>
        <w:spacing w:after="0" w:line="148" w:lineRule="exact"/>
        <w:rPr>
          <w:sz w:val="20"/>
          <w:szCs w:val="20"/>
          <w:color w:val="auto"/>
        </w:rPr>
      </w:pPr>
    </w:p>
    <w:p>
      <w:pPr>
        <w:ind w:right="380" w:firstLine="720"/>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$0.4 million to the 401(k) retirement savings plan for the year ended December 31, 2021.</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25" w:name="page126"/>
    <w:bookmarkEnd w:id="1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for CLN7</w:t>
      </w:r>
    </w:p>
    <w:p>
      <w:pPr>
        <w:spacing w:after="0" w:line="133"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18"/>
          <w:szCs w:val="18"/>
          <w:color w:val="auto"/>
        </w:rPr>
        <w:t>In March 2022, the Company entered into a license agreement with UT Southwestern to which the Company obtained an exclusive worldwide, royalty-bearing license with right to grant sublicenses to develop, manufacture, use, and commercialize licensed products for gene therapy for CLN7, a form of Batten Disease. In connection with the license agreement, the Company will pay a one-time up-front license fee of $0.3 million. The Company is obligated to pay UT Southwestern up to $7.7 million in regulatory-related milestones and up to $7.5 million in sales-related milestones, as well as a low, single-digit royalty on net sales upon commercialization of the product.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TSHA-102 for the Treatment of Rett Syndrome</w:t>
      </w:r>
    </w:p>
    <w:p>
      <w:pPr>
        <w:spacing w:after="0" w:line="119"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18"/>
          <w:szCs w:val="18"/>
          <w:color w:val="auto"/>
        </w:rPr>
        <w:t>In March 2022, the Company received a No Objection letter from Health Canada on the Company’s Clinical Trial Application (CTA) for TSHA-102 for treatment of Rett Syndrome.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Prioritization</w:t>
      </w:r>
    </w:p>
    <w:p>
      <w:pPr>
        <w:spacing w:after="0" w:line="119"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18"/>
          <w:szCs w:val="18"/>
          <w:color w:val="auto"/>
        </w:rPr>
        <w:t>In March 2022, the Company implemented changes to the Company’s organizational structure as well as a broader operational cost reduction plan to enable the Company to focus on specific clinical-stage programs for GAN and Rett syndrome. The Company will conduct small proof-of-concept studies in CLN1 disease and SLC13A5 deficiency. Development of the CLN7 program will continue in collaboration with existing partners with future clinical development to focus on the first-generation construct. All other research and development activities will be paused to increase operational efficiency.</w:t>
      </w:r>
    </w:p>
    <w:p>
      <w:pPr>
        <w:spacing w:after="0" w:line="183" w:lineRule="exact"/>
        <w:rPr>
          <w:sz w:val="20"/>
          <w:szCs w:val="20"/>
          <w:color w:val="auto"/>
        </w:rPr>
      </w:pPr>
    </w:p>
    <w:p>
      <w:pPr>
        <w:jc w:val="both"/>
        <w:ind w:right="480" w:firstLine="720"/>
        <w:spacing w:after="0" w:line="266" w:lineRule="auto"/>
        <w:rPr>
          <w:sz w:val="20"/>
          <w:szCs w:val="20"/>
          <w:color w:val="auto"/>
        </w:rPr>
      </w:pPr>
      <w:r>
        <w:rPr>
          <w:rFonts w:ascii="Times New Roman" w:cs="Times New Roman" w:eastAsia="Times New Roman" w:hAnsi="Times New Roman"/>
          <w:sz w:val="18"/>
          <w:szCs w:val="18"/>
          <w:color w:val="auto"/>
        </w:rPr>
        <w:t>In connection with prioritization of programs, the Company reduced headcount by approximately 35% across all functions. The Company estimates that the severance and termination-related costs will total approximately $1.4 million and will be recorded in the first quarter of 2022. The Company expects that the payment of these costs will be substantially complete by the end of the second quarter of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133" w:lineRule="exact"/>
        <w:rPr>
          <w:sz w:val="20"/>
          <w:szCs w:val="20"/>
          <w:color w:val="auto"/>
        </w:rPr>
      </w:pPr>
    </w:p>
    <w:p>
      <w:pPr>
        <w:ind w:right="380" w:firstLine="720"/>
        <w:spacing w:after="0" w:line="282" w:lineRule="auto"/>
        <w:rPr>
          <w:sz w:val="20"/>
          <w:szCs w:val="20"/>
          <w:color w:val="auto"/>
        </w:rPr>
      </w:pPr>
      <w:r>
        <w:rPr>
          <w:rFonts w:ascii="Times New Roman" w:cs="Times New Roman" w:eastAsia="Times New Roman" w:hAnsi="Times New Roman"/>
          <w:sz w:val="18"/>
          <w:szCs w:val="18"/>
          <w:color w:val="auto"/>
        </w:rPr>
        <w:t>In January, February, and March 2022, the Company granted options to purchase an aggregate of 1,874,100 shares of its common stock at a weighted-average exercise price of $6.23 per share.</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95"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10-K. Based on such evaluation, our Chief Executive Officer and Chief Financial Officer have concluded that as of December 31, 2021,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40" w:firstLine="6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2021, our internal control over financial reporting was effective.</w:t>
      </w:r>
    </w:p>
    <w:p>
      <w:pPr>
        <w:spacing w:after="0" w:line="288" w:lineRule="exact"/>
        <w:rPr>
          <w:sz w:val="20"/>
          <w:szCs w:val="20"/>
          <w:color w:val="auto"/>
        </w:rPr>
      </w:pPr>
    </w:p>
    <w:p>
      <w:pPr>
        <w:ind w:right="420" w:firstLine="640"/>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quarter ended December 31, 2021 that materially affected, or are reasonably likely to materially affect, our internal control over financial reporting.</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Sales Agreement</w:t>
      </w:r>
    </w:p>
    <w:p>
      <w:pPr>
        <w:spacing w:after="0" w:line="3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March 30, 2022, the Company entered into an amendment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the Sales Agreement, dated October 5, 2021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among the Company, Wells Fargo Securities, LLC, and SVB Securities LLC (f/k/a SVB Leerink LLC). The Amendment modifies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to the Agreement to, among other things, include Goldman Sachs &amp; Co. LLC as an additional Sales Agent (as defined in the Agreement).</w:t>
      </w:r>
    </w:p>
    <w:p>
      <w:pPr>
        <w:spacing w:after="0" w:line="207" w:lineRule="exact"/>
        <w:rPr>
          <w:sz w:val="20"/>
          <w:szCs w:val="20"/>
          <w:color w:val="auto"/>
        </w:rPr>
      </w:pPr>
    </w:p>
    <w:p>
      <w:pPr>
        <w:ind w:right="200" w:firstLine="7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the full text of the Amendment, which is attached as Exhibit 10.19 hereto and is incorporated by reference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Prioritization</w:t>
      </w:r>
    </w:p>
    <w:p>
      <w:pPr>
        <w:spacing w:after="0" w:line="229" w:lineRule="exact"/>
        <w:rPr>
          <w:sz w:val="20"/>
          <w:szCs w:val="20"/>
          <w:color w:val="auto"/>
        </w:rPr>
      </w:pPr>
    </w:p>
    <w:p>
      <w:pPr>
        <w:ind w:right="440" w:firstLine="720"/>
        <w:spacing w:after="0" w:line="282" w:lineRule="auto"/>
        <w:rPr>
          <w:sz w:val="20"/>
          <w:szCs w:val="20"/>
          <w:color w:val="auto"/>
        </w:rPr>
      </w:pPr>
      <w:r>
        <w:rPr>
          <w:rFonts w:ascii="Times New Roman" w:cs="Times New Roman" w:eastAsia="Times New Roman" w:hAnsi="Times New Roman"/>
          <w:sz w:val="18"/>
          <w:szCs w:val="18"/>
          <w:color w:val="auto"/>
        </w:rPr>
        <w:t>The information set forth below is included herein for the purpose of providing disclosure under “Item 2.05 - Costs Associated with Exit or Disposal Activities” of Form 8-K.</w:t>
      </w:r>
    </w:p>
    <w:p>
      <w:pPr>
        <w:spacing w:after="0" w:line="270"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In March 2022, pursuant to the approval by the Board of Directors of the Company’s budget, the Company implemented changes to the Company’s organizational structure as well as a broader operational cost reduction plan to enable the Company to focus on specific clinical-stage programs for GAN and Rett syndrome. The Company will conduct small proof-of-concept studies in CLN1 disease and SLC13A5 deficiency. Development of the CLN7 program will continue in collaboration with existing partners with future clinical development to focus on the first-generation construct. All other research and development activities will be paused to increase operational efficiency. In connection with prioritization of programs, the Company reduced headcount by approximately 35% across all functions. The Company estimates that the severance and termination-related costs will total approximately $1.4 million and will be recorded in the first quarter of 2022. The Company expects that the payment of these costs will be substantially complete by the end of the second quarter of 2022.</w:t>
      </w:r>
    </w:p>
    <w:p>
      <w:pPr>
        <w:spacing w:after="0" w:line="192" w:lineRule="exact"/>
        <w:rPr>
          <w:sz w:val="20"/>
          <w:szCs w:val="20"/>
          <w:color w:val="auto"/>
        </w:rPr>
      </w:pPr>
    </w:p>
    <w:p>
      <w:pPr>
        <w:ind w:right="180" w:firstLine="720"/>
        <w:spacing w:after="0" w:line="282" w:lineRule="auto"/>
        <w:rPr>
          <w:sz w:val="20"/>
          <w:szCs w:val="20"/>
          <w:color w:val="auto"/>
        </w:rPr>
      </w:pPr>
      <w:r>
        <w:rPr>
          <w:rFonts w:ascii="Times New Roman" w:cs="Times New Roman" w:eastAsia="Times New Roman" w:hAnsi="Times New Roman"/>
          <w:sz w:val="18"/>
          <w:szCs w:val="18"/>
          <w:color w:val="auto"/>
        </w:rPr>
        <w:t>The Company’s estimates are based on several assumptions. Actual results may differ materially, and additional charges not currently expected may be incurred in connection with, or as a result of, the headcount reductions.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to be filed with the SEC in connection with our 2022 annual meeting of stockholders, or the Proxy Statement, which is expected to be filed not later than 120 days after the end of our fiscal year ended December 31, 2021, under the captions “Information Regarding the Board of Directors and Corporate Governance,” “Election of Directors” and “Executive Officers” and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20" w:firstLine="7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captions “Executive Compensation” and “Director Compensation”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60" w:firstLine="72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60" w:firstLine="7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captions “Transactions with Related Persons and Indemnification” and “Independence of the Board of Directors”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620" w:firstLine="7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 “Ratification of Selection of Independent Registered Public Accounting Firm” and is incorporated herein by reference.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report and financial statements of the Company are included in this Annual Report on Form 10-K:</w:t>
      </w:r>
    </w:p>
    <w:p>
      <w:pPr>
        <w:spacing w:after="0" w:line="274" w:lineRule="exact"/>
        <w:rPr>
          <w:sz w:val="20"/>
          <w:szCs w:val="20"/>
          <w:color w:val="auto"/>
        </w:rPr>
      </w:pPr>
    </w:p>
    <w:p>
      <w:pPr>
        <w:ind w:left="1080" w:hanging="357"/>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 No. 34)</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Convertible Preferred Stock and Stockholders’ Equity (Deficit)</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Schedules</w:t>
      </w:r>
    </w:p>
    <w:p>
      <w:pPr>
        <w:spacing w:after="0" w:line="121" w:lineRule="exact"/>
        <w:rPr>
          <w:sz w:val="20"/>
          <w:szCs w:val="20"/>
          <w:color w:val="auto"/>
        </w:rPr>
      </w:pPr>
    </w:p>
    <w:p>
      <w:pPr>
        <w:ind w:right="240" w:firstLine="7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they are not applicable, or the required information is included in the financial statements or notes to the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60" w:type="dxa"/>
            <w:vAlign w:val="bottom"/>
            <w:gridSpan w:val="2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5"/>
                <w:szCs w:val="15"/>
                <w:color w:val="auto"/>
              </w:rPr>
            </w:pPr>
          </w:p>
        </w:tc>
        <w:tc>
          <w:tcPr>
            <w:tcW w:w="10100" w:type="dxa"/>
            <w:vAlign w:val="bottom"/>
            <w:tcBorders>
              <w:top w:val="single" w:sz="8" w:color="auto"/>
              <w:bottom w:val="single" w:sz="8" w:color="0000EE"/>
            </w:tcBorders>
            <w:gridSpan w:val="26"/>
          </w:tcPr>
          <w:p>
            <w:pPr>
              <w:spacing w:after="0" w:line="182"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Amended and Restated Certificate of Incorporation (incorporated by reference to Exhibit 3.1 to the Company’s Current Report on Form 8-K</w:t>
              </w:r>
            </w:hyperlink>
          </w:p>
        </w:tc>
        <w:tc>
          <w:tcPr>
            <w:tcW w:w="100" w:type="dxa"/>
            <w:vAlign w:val="bottom"/>
            <w:tcBorders>
              <w:top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(File No. 001-39536), filed with the Securities and Exchange Commission on September 29, 2020).</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Amended and Restated Bylaws (incorporated by reference to Exhibit 3.4 to the Company’s to the Company’s Registration Statement on</w:t>
              </w:r>
            </w:hyperlink>
          </w:p>
        </w:tc>
        <w:tc>
          <w:tcPr>
            <w:tcW w:w="42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 xml:space="preserve">Form S-1 (File No. 333-248559), filed with the </w:t>
              </w:r>
              <w:r>
                <w:rPr>
                  <w:rFonts w:ascii="Times New Roman" w:cs="Times New Roman" w:eastAsia="Times New Roman" w:hAnsi="Times New Roman"/>
                  <w:sz w:val="18"/>
                  <w:szCs w:val="18"/>
                  <w:color w:val="0000EE"/>
                  <w:highlight w:val="white"/>
                </w:rPr>
                <w:t>Securities and Exchange Commission on September 17, 2020).</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95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Amended and Restated Investors’ Rights Agreement, by and among the Company and certain of its stockholders, dated July 2, 2020</w:t>
              </w:r>
            </w:hyperlink>
          </w:p>
        </w:tc>
        <w:tc>
          <w:tcPr>
            <w:tcW w:w="6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(incorporated by reference to Exhibit 4.1 to the Company’s Registration Statement on Form S-1 (File No. 333-248559), filed with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Securities and Exchange Commission on September 2, 2020)</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200" w:type="dxa"/>
            <w:vAlign w:val="bottom"/>
            <w:gridSpan w:val="29"/>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Description of the Company’s Common Stock (incorporated by reference to Exhibit 4.2 to the Company’s Annual Report on Form 10-K</w:t>
              </w:r>
            </w:hyperlink>
          </w:p>
        </w:tc>
        <w:tc>
          <w:tcPr>
            <w:tcW w:w="0" w:type="dxa"/>
            <w:vAlign w:val="bottom"/>
          </w:tcPr>
          <w:p>
            <w:pPr>
              <w:spacing w:after="0"/>
              <w:rPr>
                <w:sz w:val="1"/>
                <w:szCs w:val="1"/>
                <w:color w:val="auto"/>
              </w:rPr>
            </w:pPr>
          </w:p>
        </w:tc>
      </w:tr>
      <w:tr>
        <w:trPr>
          <w:trHeight w:val="196"/>
        </w:trPr>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6"/>
              </w:rPr>
              <w:t>10.1</w:t>
            </w:r>
            <w:r>
              <w:rPr>
                <w:rFonts w:ascii="Arial" w:cs="Arial" w:eastAsia="Arial" w:hAnsi="Arial"/>
                <w:sz w:val="18"/>
                <w:szCs w:val="18"/>
                <w:color w:val="auto"/>
                <w:w w:val="96"/>
              </w:rPr>
              <w:t>†</w:t>
            </w:r>
          </w:p>
        </w:tc>
        <w:tc>
          <w:tcPr>
            <w:tcW w:w="64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(File No. 001-39536), filed with the Securities Exchange Commission on March 3, 2021.</w:t>
              </w:r>
            </w:hyperlink>
          </w:p>
        </w:tc>
        <w:tc>
          <w:tcPr>
            <w:tcW w:w="3380" w:type="dxa"/>
            <w:vAlign w:val="bottom"/>
            <w:tcBorders>
              <w:top w:val="single" w:sz="8" w:color="0000EE"/>
            </w:tcBorders>
            <w:gridSpan w:val="11"/>
          </w:tcPr>
          <w:p>
            <w:pPr>
              <w:spacing w:after="0"/>
              <w:rPr>
                <w:sz w:val="17"/>
                <w:szCs w:val="17"/>
                <w:color w:val="auto"/>
              </w:rPr>
            </w:pPr>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0" w:type="dxa"/>
            <w:vAlign w:val="bottom"/>
            <w:gridSpan w:val="2"/>
            <w:vMerge w:val="continue"/>
          </w:tcPr>
          <w:p>
            <w:pPr>
              <w:spacing w:after="0"/>
              <w:rPr>
                <w:sz w:val="18"/>
                <w:szCs w:val="18"/>
                <w:color w:val="auto"/>
              </w:rPr>
            </w:pPr>
          </w:p>
        </w:tc>
        <w:tc>
          <w:tcPr>
            <w:tcW w:w="10200" w:type="dxa"/>
            <w:vAlign w:val="bottom"/>
            <w:gridSpan w:val="29"/>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Research, Collaboration &amp; License Agreement, by and between the Company and The Board of Regents of the University of Texas System</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on behalf of The University of Texas Southwestern Medical Center, dated as of November 19, 2019 (incorporated by reference to Exhibit</w:t>
              </w:r>
            </w:hyperlink>
          </w:p>
        </w:tc>
        <w:tc>
          <w:tcPr>
            <w:tcW w:w="120" w:type="dxa"/>
            <w:vAlign w:val="bottom"/>
            <w:tcBorders>
              <w:top w:val="single" w:sz="8" w:color="0000EE"/>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Registration Statement on Form S-1 (File No. 333-248559), filed with the </w:t>
              </w:r>
              <w:r>
                <w:rPr>
                  <w:rFonts w:ascii="Times New Roman" w:cs="Times New Roman" w:eastAsia="Times New Roman" w:hAnsi="Times New Roman"/>
                  <w:sz w:val="18"/>
                  <w:szCs w:val="18"/>
                  <w:color w:val="0000EE"/>
                  <w:highlight w:val="white"/>
                </w:rPr>
                <w:t>Securities and Exchange Commission on</w:t>
              </w:r>
            </w:hyperlink>
          </w:p>
        </w:tc>
        <w:tc>
          <w:tcPr>
            <w:tcW w:w="0" w:type="dxa"/>
            <w:vAlign w:val="bottom"/>
          </w:tcPr>
          <w:p>
            <w:pPr>
              <w:spacing w:after="0"/>
              <w:rPr>
                <w:sz w:val="1"/>
                <w:szCs w:val="1"/>
                <w:color w:val="auto"/>
              </w:rPr>
            </w:pPr>
          </w:p>
        </w:tc>
      </w:tr>
      <w:tr>
        <w:trPr>
          <w:trHeight w:val="196"/>
        </w:trPr>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6"/>
              </w:rPr>
              <w:t>10.2</w:t>
            </w:r>
            <w:r>
              <w:rPr>
                <w:rFonts w:ascii="Arial" w:cs="Arial" w:eastAsia="Arial" w:hAnsi="Arial"/>
                <w:sz w:val="18"/>
                <w:szCs w:val="18"/>
                <w:color w:val="auto"/>
                <w:w w:val="96"/>
              </w:rPr>
              <w:t>†</w:t>
            </w:r>
          </w:p>
        </w:tc>
        <w:tc>
          <w:tcPr>
            <w:tcW w:w="1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September 2, 2020).</w:t>
              </w:r>
            </w:hyperlink>
          </w:p>
        </w:tc>
        <w:tc>
          <w:tcPr>
            <w:tcW w:w="55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top w:val="single" w:sz="8" w:color="0000EE"/>
            </w:tcBorders>
            <w:gridSpan w:val="13"/>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0" w:type="dxa"/>
            <w:vAlign w:val="bottom"/>
            <w:gridSpan w:val="2"/>
            <w:vMerge w:val="continue"/>
          </w:tcPr>
          <w:p>
            <w:pPr>
              <w:spacing w:after="0"/>
              <w:rPr>
                <w:sz w:val="18"/>
                <w:szCs w:val="18"/>
                <w:color w:val="auto"/>
              </w:rPr>
            </w:pPr>
          </w:p>
        </w:tc>
        <w:tc>
          <w:tcPr>
            <w:tcW w:w="101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Amendment to Research, Collaboration &amp; License Agreement, by and between the Registrant and The Board of Regents of the University of</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Texas System on behalf of The University of Texas Southwestern Medical Center, dated as of April 2, 2020 (incorporated by reference to</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Exhibit 10.2 to the Company’s Registration Statement on Form S-1 (File No. 333-248559), filed with the Securities and Exchange</w:t>
              </w:r>
            </w:hyperlink>
          </w:p>
        </w:tc>
        <w:tc>
          <w:tcPr>
            <w:tcW w:w="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6"/>
              </w:rPr>
              <w:t>10.3</w:t>
            </w:r>
            <w:r>
              <w:rPr>
                <w:rFonts w:ascii="Arial" w:cs="Arial" w:eastAsia="Arial" w:hAnsi="Arial"/>
                <w:sz w:val="18"/>
                <w:szCs w:val="18"/>
                <w:color w:val="auto"/>
                <w:w w:val="96"/>
              </w:rPr>
              <w:t>†</w:t>
            </w:r>
          </w:p>
        </w:tc>
        <w:tc>
          <w:tcPr>
            <w:tcW w:w="2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Commission on September 2, 2020).</w:t>
              </w:r>
            </w:hyperlink>
          </w:p>
        </w:tc>
        <w:tc>
          <w:tcPr>
            <w:tcW w:w="75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gridSpan w:val="2"/>
            <w:vMerge w:val="continue"/>
          </w:tcPr>
          <w:p>
            <w:pPr>
              <w:spacing w:after="0"/>
              <w:rPr>
                <w:sz w:val="18"/>
                <w:szCs w:val="18"/>
                <w:color w:val="auto"/>
              </w:rPr>
            </w:pPr>
          </w:p>
        </w:tc>
        <w:tc>
          <w:tcPr>
            <w:tcW w:w="10200" w:type="dxa"/>
            <w:vAlign w:val="bottom"/>
            <w:gridSpan w:val="29"/>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License Agreement, by and between the Company and Queen’s University at Kingston, dated as of February 21, 2020 (incorporated by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 xml:space="preserve">reference to Exhibit 10.3 to the Company’s Registration Statement on Form S-1 (File No. 333-248559), filed with the </w:t>
              </w:r>
              <w:r>
                <w:rPr>
                  <w:rFonts w:ascii="Times New Roman" w:cs="Times New Roman" w:eastAsia="Times New Roman" w:hAnsi="Times New Roman"/>
                  <w:sz w:val="18"/>
                  <w:szCs w:val="18"/>
                  <w:color w:val="0000EE"/>
                  <w:highlight w:val="white"/>
                  <w:w w:val="99"/>
                </w:rPr>
                <w:t>Securities and</w:t>
              </w:r>
            </w:hyperlink>
          </w:p>
        </w:tc>
        <w:tc>
          <w:tcPr>
            <w:tcW w:w="200" w:type="dxa"/>
            <w:vAlign w:val="bottom"/>
            <w:tcBorders>
              <w:top w:val="single" w:sz="8" w:color="0000EE"/>
            </w:tcBorders>
            <w:gridSpan w:val="3"/>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10.4</w:t>
            </w:r>
            <w:r>
              <w:rPr>
                <w:rFonts w:ascii="Arial" w:cs="Arial" w:eastAsia="Arial" w:hAnsi="Arial"/>
                <w:sz w:val="18"/>
                <w:szCs w:val="18"/>
                <w:color w:val="auto"/>
              </w:rPr>
              <w:t>†#</w:t>
            </w: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Exchange Commission on September 2, 2020).</w:t>
              </w:r>
            </w:hyperlink>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gridSpan w:val="2"/>
            <w:vMerge w:val="continue"/>
          </w:tcPr>
          <w:p>
            <w:pPr>
              <w:spacing w:after="0"/>
              <w:rPr>
                <w:sz w:val="18"/>
                <w:szCs w:val="18"/>
                <w:color w:val="auto"/>
              </w:rPr>
            </w:pPr>
          </w:p>
        </w:tc>
        <w:tc>
          <w:tcPr>
            <w:tcW w:w="100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License Agreement, by and between the Company and Abeona Therapeutics Inc., dated as of August 14, 2020 (incorporated by reference to</w:t>
              </w:r>
            </w:hyperlink>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Exhibit 10.4 to the Company’s Registration Statement on Form S-1 (File No. 333-248559), filed with the Securities and Exchange</w:t>
              </w:r>
            </w:hyperlink>
          </w:p>
        </w:tc>
        <w:tc>
          <w:tcPr>
            <w:tcW w:w="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10.5</w:t>
            </w:r>
            <w:r>
              <w:rPr>
                <w:rFonts w:ascii="Arial" w:cs="Arial" w:eastAsia="Arial" w:hAnsi="Arial"/>
                <w:sz w:val="18"/>
                <w:szCs w:val="18"/>
                <w:color w:val="auto"/>
              </w:rPr>
              <w:t>†#</w:t>
            </w:r>
          </w:p>
        </w:tc>
        <w:tc>
          <w:tcPr>
            <w:tcW w:w="2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Commission on September 2, 2020).</w:t>
              </w:r>
            </w:hyperlink>
          </w:p>
        </w:tc>
        <w:tc>
          <w:tcPr>
            <w:tcW w:w="75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gridSpan w:val="2"/>
            <w:vMerge w:val="continue"/>
          </w:tcPr>
          <w:p>
            <w:pPr>
              <w:spacing w:after="0"/>
              <w:rPr>
                <w:sz w:val="18"/>
                <w:szCs w:val="18"/>
                <w:color w:val="auto"/>
              </w:rPr>
            </w:pPr>
          </w:p>
        </w:tc>
        <w:tc>
          <w:tcPr>
            <w:tcW w:w="101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License Agreement, by and between the Company and Abeona Therapeutics Inc., dated as of October 29, 2020 (incorporated by reference to</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Exhibit 10.5 to the Company’s Annual Report on Form 10-K (File No. 001-39536), filed with the Securities and Exchange Commission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March 2, 2021.</w:t>
              </w:r>
            </w:hyperlink>
          </w:p>
        </w:tc>
        <w:tc>
          <w:tcPr>
            <w:tcW w:w="8900" w:type="dxa"/>
            <w:vAlign w:val="bottom"/>
            <w:tcBorders>
              <w:top w:val="single" w:sz="8" w:color="0000EE"/>
            </w:tcBorders>
            <w:gridSpan w:val="22"/>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40" w:type="dxa"/>
            <w:vAlign w:val="bottom"/>
          </w:tcPr>
          <w:p>
            <w:pPr>
              <w:spacing w:after="0"/>
              <w:rPr>
                <w:sz w:val="18"/>
                <w:szCs w:val="18"/>
                <w:color w:val="auto"/>
              </w:rPr>
            </w:pPr>
          </w:p>
        </w:tc>
        <w:tc>
          <w:tcPr>
            <w:tcW w:w="10200" w:type="dxa"/>
            <w:vAlign w:val="bottom"/>
            <w:gridSpan w:val="29"/>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2020 Equity Incentive Plan and Forms of Stock Option Grant Notice, Stock Option Agreement and Restricted Stock Award Grant Notice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(incorporated by reference to Exhibit 10.5 to the Company’s Registration Statement on Form S-1 (File No. 333-248559), filed with the</w:t>
              </w:r>
            </w:hyperlink>
          </w:p>
        </w:tc>
        <w:tc>
          <w:tcPr>
            <w:tcW w:w="160" w:type="dxa"/>
            <w:vAlign w:val="bottom"/>
            <w:tcBorders>
              <w:top w:val="single" w:sz="8" w:color="0000EE"/>
            </w:tcBorders>
            <w:gridSpan w:val="4"/>
          </w:tcPr>
          <w:p>
            <w:pPr>
              <w:spacing w:after="0"/>
              <w:rPr>
                <w:sz w:val="17"/>
                <w:szCs w:val="17"/>
                <w:color w:val="auto"/>
              </w:rPr>
            </w:pPr>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Securities and Exchange Commission on September 17, 2020).</w:t>
              </w:r>
            </w:hyperlink>
          </w:p>
        </w:tc>
        <w:tc>
          <w:tcPr>
            <w:tcW w:w="56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20" w:type="dxa"/>
            <w:vAlign w:val="bottom"/>
            <w:gridSpan w:val="7"/>
          </w:tcPr>
          <w:p>
            <w:pPr>
              <w:ind w:left="444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10.7+</w:t>
            </w:r>
          </w:p>
        </w:tc>
        <w:tc>
          <w:tcPr>
            <w:tcW w:w="10180" w:type="dxa"/>
            <w:vAlign w:val="bottom"/>
            <w:gridSpan w:val="30"/>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2020 Stock Incentive Plan and Forms of Stock Option Grant Notice, Stock Option Agreement, Restricted Stock Unit Grant Notice and</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Restricted Stock Unit Award Agreement (incorporated by reference to Exhibit 10.6 to the Company’s Registration Statement on Form S-1</w:t>
              </w:r>
            </w:hyperlink>
          </w:p>
        </w:tc>
        <w:tc>
          <w:tcPr>
            <w:tcW w:w="24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 xml:space="preserve">(File No. 333-248559), filed with the </w:t>
              </w:r>
              <w:r>
                <w:rPr>
                  <w:rFonts w:ascii="Times New Roman" w:cs="Times New Roman" w:eastAsia="Times New Roman" w:hAnsi="Times New Roman"/>
                  <w:sz w:val="18"/>
                  <w:szCs w:val="18"/>
                  <w:color w:val="0000EE"/>
                  <w:highlight w:val="white"/>
                </w:rPr>
                <w:t>Securities and Exchange Commission on September 17, 2020).</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10.8+</w:t>
            </w:r>
          </w:p>
        </w:tc>
        <w:tc>
          <w:tcPr>
            <w:tcW w:w="100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2020 Employee Stock Purchase Plan (incorporated by reference to Exhibit 10.7 to the Company’s Registration Statement on Form S-1 (File</w:t>
              </w:r>
            </w:hyperlink>
          </w:p>
        </w:tc>
        <w:tc>
          <w:tcPr>
            <w:tcW w:w="120" w:type="dxa"/>
            <w:vAlign w:val="bottom"/>
            <w:gridSpan w:val="3"/>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6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No. 333-248559), filed with the Securities and Exchange Commission on September 17, 2020).</w:t>
              </w:r>
            </w:hyperlink>
          </w:p>
        </w:tc>
        <w:tc>
          <w:tcPr>
            <w:tcW w:w="3300" w:type="dxa"/>
            <w:vAlign w:val="bottom"/>
            <w:gridSpan w:val="20"/>
          </w:tcPr>
          <w:p>
            <w:pPr>
              <w:spacing w:after="0"/>
              <w:rPr>
                <w:sz w:val="17"/>
                <w:szCs w:val="17"/>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10.9+</w:t>
            </w:r>
          </w:p>
        </w:tc>
        <w:tc>
          <w:tcPr>
            <w:tcW w:w="10180" w:type="dxa"/>
            <w:vAlign w:val="bottom"/>
            <w:gridSpan w:val="30"/>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of Indemnification Agreement with Executive Officers and Directors ((incorporated by reference to Exhibit 10.8 to the Company’s</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 xml:space="preserve">Registration Statement on Form S-1 (File No. 333-248559), filed with the </w:t>
              </w:r>
              <w:r>
                <w:rPr>
                  <w:rFonts w:ascii="Times New Roman" w:cs="Times New Roman" w:eastAsia="Times New Roman" w:hAnsi="Times New Roman"/>
                  <w:sz w:val="18"/>
                  <w:szCs w:val="18"/>
                  <w:color w:val="0000EE"/>
                  <w:highlight w:val="white"/>
                  <w:w w:val="99"/>
                </w:rPr>
                <w:t>Securities and Exchange Commission on September 17, 2020).</w:t>
              </w:r>
            </w:hyperlink>
          </w:p>
        </w:tc>
        <w:tc>
          <w:tcPr>
            <w:tcW w:w="280" w:type="dxa"/>
            <w:vAlign w:val="bottom"/>
            <w:gridSpan w:val="10"/>
          </w:tcPr>
          <w:p>
            <w:pPr>
              <w:spacing w:after="0"/>
              <w:rPr>
                <w:sz w:val="17"/>
                <w:szCs w:val="17"/>
                <w:color w:val="auto"/>
              </w:rPr>
            </w:pPr>
          </w:p>
        </w:tc>
      </w:tr>
      <w:tr>
        <w:trPr>
          <w:trHeight w:val="209"/>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10.10+</w:t>
            </w:r>
          </w:p>
        </w:tc>
        <w:tc>
          <w:tcPr>
            <w:tcW w:w="101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Non-Employee Director Compensation Policy (incorporated by reference to Exhibit 10.10 to the Company’s Registration Statement on Form</w:t>
              </w:r>
            </w:hyperlink>
          </w:p>
        </w:tc>
        <w:tc>
          <w:tcPr>
            <w:tcW w:w="2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 xml:space="preserve">S-1 (File No. 333-248559), filed with the </w:t>
              </w:r>
              <w:r>
                <w:rPr>
                  <w:rFonts w:ascii="Times New Roman" w:cs="Times New Roman" w:eastAsia="Times New Roman" w:hAnsi="Times New Roman"/>
                  <w:sz w:val="18"/>
                  <w:szCs w:val="18"/>
                  <w:color w:val="0000EE"/>
                  <w:highlight w:val="white"/>
                </w:rPr>
                <w:t>Securities and Exchange Commission on September 17, 2020).</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10.11+</w:t>
            </w:r>
          </w:p>
        </w:tc>
        <w:tc>
          <w:tcPr>
            <w:tcW w:w="10180" w:type="dxa"/>
            <w:vAlign w:val="bottom"/>
            <w:gridSpan w:val="30"/>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Change in Control Severance Plan and Form of Participation Agreement (incorporated by reference to Exhibit 10.11 to the Company’s</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 xml:space="preserve">Registration Statement on Form S-1 (File No. 333-248559), filed with the </w:t>
              </w:r>
              <w:r>
                <w:rPr>
                  <w:rFonts w:ascii="Times New Roman" w:cs="Times New Roman" w:eastAsia="Times New Roman" w:hAnsi="Times New Roman"/>
                  <w:sz w:val="18"/>
                  <w:szCs w:val="18"/>
                  <w:color w:val="0000EE"/>
                  <w:highlight w:val="white"/>
                  <w:w w:val="99"/>
                </w:rPr>
                <w:t>Securities and Exchange Commission on September 17, 2020).</w:t>
              </w:r>
            </w:hyperlink>
          </w:p>
        </w:tc>
        <w:tc>
          <w:tcPr>
            <w:tcW w:w="280" w:type="dxa"/>
            <w:vAlign w:val="bottom"/>
            <w:gridSpan w:val="10"/>
          </w:tcPr>
          <w:p>
            <w:pPr>
              <w:spacing w:after="0"/>
              <w:rPr>
                <w:sz w:val="17"/>
                <w:szCs w:val="17"/>
                <w:color w:val="auto"/>
              </w:rPr>
            </w:pPr>
          </w:p>
        </w:tc>
      </w:tr>
      <w:tr>
        <w:trPr>
          <w:trHeight w:val="209"/>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10.12+</w:t>
            </w:r>
          </w:p>
        </w:tc>
        <w:tc>
          <w:tcPr>
            <w:tcW w:w="10180" w:type="dxa"/>
            <w:vAlign w:val="bottom"/>
            <w:gridSpan w:val="30"/>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Amended and Restated Executive Employment Agreement, effective as of September 24, 2020, by and between the Company and RA</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Session II (incorporated by reference to Exhibit 10.7 to the Company’s Quarterly Report on Form 10-Q (File No. 001-39536), filed with the</w:t>
              </w:r>
            </w:hyperlink>
          </w:p>
        </w:tc>
      </w:tr>
      <w:tr>
        <w:trPr>
          <w:trHeight w:val="196"/>
        </w:trPr>
        <w:tc>
          <w:tcPr>
            <w:tcW w:w="1040" w:type="dxa"/>
            <w:vAlign w:val="bottom"/>
          </w:tcPr>
          <w:p>
            <w:pPr>
              <w:spacing w:after="0"/>
              <w:rPr>
                <w:sz w:val="17"/>
                <w:szCs w:val="17"/>
                <w:color w:val="auto"/>
              </w:rPr>
            </w:pPr>
          </w:p>
        </w:tc>
        <w:tc>
          <w:tcPr>
            <w:tcW w:w="100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Securities and Exchange Commission on November 12, 2020).</w:t>
              </w:r>
            </w:hyperlink>
          </w:p>
        </w:tc>
        <w:tc>
          <w:tcPr>
            <w:tcW w:w="12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10.13+</w:t>
            </w:r>
          </w:p>
        </w:tc>
        <w:tc>
          <w:tcPr>
            <w:tcW w:w="100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Amended and Restated Offer Letter, effective as of September 24, 2020, by and between the Company and Kamran Alam (incorporated by</w:t>
              </w:r>
            </w:hyperlink>
          </w:p>
        </w:tc>
        <w:tc>
          <w:tcPr>
            <w:tcW w:w="180" w:type="dxa"/>
            <w:vAlign w:val="bottom"/>
            <w:gridSpan w:val="6"/>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98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reference to Exhibit 10.13 to the Company’s Annual Report on Form 10-K (File No. 001-39536), filed with the Securities and Exchange</w:t>
              </w:r>
            </w:hyperlink>
          </w:p>
        </w:tc>
        <w:tc>
          <w:tcPr>
            <w:tcW w:w="34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Commission on March 3, 2021).</w:t>
              </w:r>
            </w:hyperlink>
          </w:p>
        </w:tc>
        <w:tc>
          <w:tcPr>
            <w:tcW w:w="7840" w:type="dxa"/>
            <w:vAlign w:val="bottom"/>
            <w:gridSpan w:val="27"/>
          </w:tcPr>
          <w:p>
            <w:pPr>
              <w:spacing w:after="0"/>
              <w:rPr>
                <w:sz w:val="17"/>
                <w:szCs w:val="17"/>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10.14+</w:t>
            </w:r>
          </w:p>
        </w:tc>
        <w:tc>
          <w:tcPr>
            <w:tcW w:w="100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Amended and Restated Offer Letter, effective as of September 24, 2020, by and between the Company and Suyash Prasad (incorporated by</w:t>
              </w:r>
            </w:hyperlink>
          </w:p>
        </w:tc>
        <w:tc>
          <w:tcPr>
            <w:tcW w:w="160" w:type="dxa"/>
            <w:vAlign w:val="bottom"/>
            <w:gridSpan w:val="5"/>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98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reference to Exhibit 10.14 to the Company’s Annual Report on Form 10-K (File No. 001-39536), filed with the Securities and Exchange</w:t>
              </w:r>
            </w:hyperlink>
          </w:p>
        </w:tc>
        <w:tc>
          <w:tcPr>
            <w:tcW w:w="34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Commission on March 3, 2021).</w:t>
              </w:r>
            </w:hyperlink>
          </w:p>
        </w:tc>
        <w:tc>
          <w:tcPr>
            <w:tcW w:w="7840" w:type="dxa"/>
            <w:vAlign w:val="bottom"/>
            <w:gridSpan w:val="27"/>
          </w:tcPr>
          <w:p>
            <w:pPr>
              <w:spacing w:after="0"/>
              <w:rPr>
                <w:sz w:val="17"/>
                <w:szCs w:val="17"/>
                <w:color w:val="auto"/>
              </w:rPr>
            </w:pPr>
          </w:p>
        </w:tc>
      </w:tr>
      <w:tr>
        <w:trPr>
          <w:trHeight w:val="209"/>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10.15</w:t>
            </w:r>
          </w:p>
        </w:tc>
        <w:tc>
          <w:tcPr>
            <w:tcW w:w="101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Lease, dated December 17, 2020, by and between Patriot Park Partners II, LLC and the Company (incorporated by reference to Exhibit 10.15</w:t>
              </w:r>
            </w:hyperlink>
          </w:p>
        </w:tc>
      </w:tr>
      <w:tr>
        <w:trPr>
          <w:trHeight w:val="196"/>
        </w:trPr>
        <w:tc>
          <w:tcPr>
            <w:tcW w:w="1040" w:type="dxa"/>
            <w:vAlign w:val="bottom"/>
          </w:tcPr>
          <w:p>
            <w:pPr>
              <w:spacing w:after="0"/>
              <w:rPr>
                <w:sz w:val="17"/>
                <w:szCs w:val="17"/>
                <w:color w:val="auto"/>
              </w:rPr>
            </w:pPr>
          </w:p>
        </w:tc>
        <w:tc>
          <w:tcPr>
            <w:tcW w:w="10180" w:type="dxa"/>
            <w:vAlign w:val="bottom"/>
            <w:gridSpan w:val="30"/>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to the Company’s Annual Report on Form 10-K (File No. 001-39536), filed with the Securities and Exchange Commission on March 3,</w:t>
              </w:r>
            </w:hyperlink>
          </w:p>
        </w:tc>
      </w:tr>
      <w:tr>
        <w:trPr>
          <w:trHeight w:val="196"/>
        </w:trPr>
        <w:tc>
          <w:tcPr>
            <w:tcW w:w="10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7">
              <w:r>
                <w:rPr>
                  <w:rFonts w:ascii="Times New Roman" w:cs="Times New Roman" w:eastAsia="Times New Roman" w:hAnsi="Times New Roman"/>
                  <w:sz w:val="18"/>
                  <w:szCs w:val="18"/>
                  <w:color w:val="0000EE"/>
                  <w:w w:val="94"/>
                </w:rPr>
                <w:t>2021).</w:t>
              </w:r>
            </w:hyperlink>
          </w:p>
        </w:tc>
        <w:tc>
          <w:tcPr>
            <w:tcW w:w="4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10.16</w:t>
            </w:r>
          </w:p>
        </w:tc>
        <w:tc>
          <w:tcPr>
            <w:tcW w:w="10180" w:type="dxa"/>
            <w:vAlign w:val="bottom"/>
            <w:gridSpan w:val="30"/>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Loan and Security Agreement, dated August 12, 2021, by and among the Company, the lenders party thereto from time to time and Silicon</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Valley Bank, as administrative agent and collateral agent (incorporated by reference to Exhibit 10.2 to the Company’s Quarterly Report on</w:t>
              </w:r>
            </w:hyperlink>
          </w:p>
        </w:tc>
        <w:tc>
          <w:tcPr>
            <w:tcW w:w="2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9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Form 10-Q (File No. 001-39536), filed with the Securities and Exchange Commission on August 16, 2021).</w:t>
              </w:r>
            </w:hyperlink>
          </w:p>
        </w:tc>
        <w:tc>
          <w:tcPr>
            <w:tcW w:w="22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10.17</w:t>
            </w:r>
          </w:p>
        </w:tc>
        <w:tc>
          <w:tcPr>
            <w:tcW w:w="10180" w:type="dxa"/>
            <w:vAlign w:val="bottom"/>
            <w:gridSpan w:val="30"/>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Lease Agreement, dated January 8, 2021, by and between Pegasus Park, LLC and the Company (incorporated by reference to Exhibit 10.1 to</w:t>
              </w:r>
            </w:hyperlink>
          </w:p>
        </w:tc>
      </w:tr>
      <w:tr>
        <w:trPr>
          <w:trHeight w:val="196"/>
        </w:trPr>
        <w:tc>
          <w:tcPr>
            <w:tcW w:w="1040" w:type="dxa"/>
            <w:vAlign w:val="bottom"/>
          </w:tcPr>
          <w:p>
            <w:pPr>
              <w:spacing w:after="0"/>
              <w:rPr>
                <w:sz w:val="17"/>
                <w:szCs w:val="17"/>
                <w:color w:val="auto"/>
              </w:rPr>
            </w:pPr>
          </w:p>
        </w:tc>
        <w:tc>
          <w:tcPr>
            <w:tcW w:w="101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the Company’s Quarterly Report on Form 10-Q (File No. 001-39536), filed with the Securities and Exchange Commission on August 16,</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9">
              <w:r>
                <w:rPr>
                  <w:rFonts w:ascii="Times New Roman" w:cs="Times New Roman" w:eastAsia="Times New Roman" w:hAnsi="Times New Roman"/>
                  <w:sz w:val="18"/>
                  <w:szCs w:val="18"/>
                  <w:color w:val="0000EE"/>
                  <w:w w:val="94"/>
                </w:rPr>
                <w:t>2021).</w:t>
              </w:r>
            </w:hyperlink>
          </w:p>
        </w:tc>
        <w:tc>
          <w:tcPr>
            <w:tcW w:w="4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10.18*</w:t>
            </w:r>
          </w:p>
        </w:tc>
        <w:tc>
          <w:tcPr>
            <w:tcW w:w="10180" w:type="dxa"/>
            <w:vAlign w:val="bottom"/>
            <w:gridSpan w:val="30"/>
          </w:tcPr>
          <w:p>
            <w:pPr>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First Amendment to Lease Agreement, dated December 14, 2021, by and between Pegasus Park, LLC and the Company.</w:t>
              </w:r>
            </w:hyperlink>
          </w:p>
        </w:tc>
      </w:tr>
      <w:tr>
        <w:trPr>
          <w:trHeight w:val="20"/>
        </w:trPr>
        <w:tc>
          <w:tcPr>
            <w:tcW w:w="10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10.19*</w:t>
            </w:r>
          </w:p>
        </w:tc>
        <w:tc>
          <w:tcPr>
            <w:tcW w:w="10180" w:type="dxa"/>
            <w:vAlign w:val="bottom"/>
            <w:gridSpan w:val="30"/>
          </w:tcPr>
          <w:p>
            <w:pPr>
              <w:spacing w:after="0"/>
              <w:rPr>
                <w:rFonts w:ascii="Times New Roman" w:cs="Times New Roman" w:eastAsia="Times New Roman" w:hAnsi="Times New Roman"/>
                <w:sz w:val="18"/>
                <w:szCs w:val="18"/>
                <w:color w:val="0000EE"/>
              </w:rPr>
            </w:pPr>
            <w:hyperlink w:anchor="page139">
              <w:r>
                <w:rPr>
                  <w:rFonts w:ascii="Times New Roman" w:cs="Times New Roman" w:eastAsia="Times New Roman" w:hAnsi="Times New Roman"/>
                  <w:sz w:val="18"/>
                  <w:szCs w:val="18"/>
                  <w:color w:val="0000EE"/>
                </w:rPr>
                <w:t>Amendment No. 1 to Sales Agreement, dated March 30, 2022, by and among the Company, Goldman Sachs &amp; Co. LLC, SVB Securities</w:t>
              </w:r>
            </w:hyperlink>
          </w:p>
        </w:tc>
      </w:tr>
      <w:tr>
        <w:trPr>
          <w:trHeight w:val="196"/>
        </w:trPr>
        <w:tc>
          <w:tcPr>
            <w:tcW w:w="104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139">
              <w:r>
                <w:rPr>
                  <w:rFonts w:ascii="Times New Roman" w:cs="Times New Roman" w:eastAsia="Times New Roman" w:hAnsi="Times New Roman"/>
                  <w:sz w:val="18"/>
                  <w:szCs w:val="18"/>
                  <w:color w:val="0000EE"/>
                  <w:w w:val="97"/>
                </w:rPr>
                <w:t>LLC and Wells Fargo Securities, LLC.</w:t>
              </w:r>
            </w:hyperlink>
          </w:p>
        </w:tc>
        <w:tc>
          <w:tcPr>
            <w:tcW w:w="7060" w:type="dxa"/>
            <w:vAlign w:val="bottom"/>
            <w:tcBorders>
              <w:top w:val="single" w:sz="8" w:color="0000EE"/>
            </w:tcBorders>
            <w:gridSpan w:val="12"/>
          </w:tcPr>
          <w:p>
            <w:pPr>
              <w:spacing w:after="0"/>
              <w:rPr>
                <w:sz w:val="17"/>
                <w:szCs w:val="17"/>
                <w:color w:val="auto"/>
              </w:rPr>
            </w:pPr>
          </w:p>
        </w:tc>
        <w:tc>
          <w:tcPr>
            <w:tcW w:w="340" w:type="dxa"/>
            <w:vAlign w:val="bottom"/>
            <w:gridSpan w:val="12"/>
          </w:tcPr>
          <w:p>
            <w:pPr>
              <w:spacing w:after="0"/>
              <w:rPr>
                <w:sz w:val="17"/>
                <w:szCs w:val="17"/>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23.1*</w:t>
            </w:r>
          </w:p>
        </w:tc>
        <w:tc>
          <w:tcPr>
            <w:tcW w:w="10180" w:type="dxa"/>
            <w:vAlign w:val="bottom"/>
            <w:gridSpan w:val="30"/>
          </w:tcPr>
          <w:p>
            <w:pPr>
              <w:spacing w:after="0"/>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Consent of Deloitte &amp; Touche LLP</w:t>
              </w:r>
            </w:hyperlink>
          </w:p>
        </w:tc>
      </w:tr>
      <w:tr>
        <w:trPr>
          <w:trHeight w:val="20"/>
        </w:trPr>
        <w:tc>
          <w:tcPr>
            <w:tcW w:w="10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24.1*</w:t>
            </w:r>
          </w:p>
        </w:tc>
        <w:tc>
          <w:tcPr>
            <w:tcW w:w="34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33">
              <w:r>
                <w:rPr>
                  <w:rFonts w:ascii="Times New Roman" w:cs="Times New Roman" w:eastAsia="Times New Roman" w:hAnsi="Times New Roman"/>
                  <w:sz w:val="18"/>
                  <w:szCs w:val="18"/>
                  <w:color w:val="0000EE"/>
                  <w:w w:val="99"/>
                </w:rPr>
                <w:t>Power of Attorney (included on signature page)</w:t>
              </w:r>
            </w:hyperlink>
          </w:p>
        </w:tc>
        <w:tc>
          <w:tcPr>
            <w:tcW w:w="6740" w:type="dxa"/>
            <w:vAlign w:val="bottom"/>
            <w:gridSpan w:val="23"/>
          </w:tcPr>
          <w:p>
            <w:pPr>
              <w:spacing w:after="0"/>
              <w:rPr>
                <w:sz w:val="18"/>
                <w:szCs w:val="18"/>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31.1*</w:t>
            </w:r>
          </w:p>
        </w:tc>
        <w:tc>
          <w:tcPr>
            <w:tcW w:w="10180" w:type="dxa"/>
            <w:vAlign w:val="bottom"/>
            <w:gridSpan w:val="30"/>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hyperlink>
          </w:p>
        </w:tc>
      </w:tr>
      <w:tr>
        <w:trPr>
          <w:trHeight w:val="196"/>
        </w:trPr>
        <w:tc>
          <w:tcPr>
            <w:tcW w:w="10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45">
              <w:r>
                <w:rPr>
                  <w:rFonts w:ascii="Times New Roman" w:cs="Times New Roman" w:eastAsia="Times New Roman" w:hAnsi="Times New Roman"/>
                  <w:sz w:val="18"/>
                  <w:szCs w:val="18"/>
                  <w:color w:val="0000EE"/>
                  <w:w w:val="99"/>
                </w:rPr>
                <w:t>Adopted Pursuant to Section 302 of the Sarbanes-Oxley Act of 2002.</w:t>
              </w:r>
            </w:hyperlink>
          </w:p>
        </w:tc>
        <w:tc>
          <w:tcPr>
            <w:tcW w:w="4680" w:type="dxa"/>
            <w:vAlign w:val="bottom"/>
            <w:tcBorders>
              <w:top w:val="single" w:sz="8" w:color="0000EE"/>
            </w:tcBorders>
            <w:gridSpan w:val="7"/>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31.2*</w:t>
            </w:r>
          </w:p>
        </w:tc>
        <w:tc>
          <w:tcPr>
            <w:tcW w:w="95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46">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hyperlink>
          </w:p>
        </w:tc>
        <w:tc>
          <w:tcPr>
            <w:tcW w:w="620" w:type="dxa"/>
            <w:vAlign w:val="bottom"/>
            <w:gridSpan w:val="15"/>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4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46">
              <w:r>
                <w:rPr>
                  <w:rFonts w:ascii="Times New Roman" w:cs="Times New Roman" w:eastAsia="Times New Roman" w:hAnsi="Times New Roman"/>
                  <w:sz w:val="18"/>
                  <w:szCs w:val="18"/>
                  <w:color w:val="0000EE"/>
                  <w:w w:val="99"/>
                </w:rPr>
                <w:t>Adopted Pursuant to Section 302 of the Sarbanes-Oxley Act of 2002.</w:t>
              </w:r>
            </w:hyperlink>
          </w:p>
        </w:tc>
        <w:tc>
          <w:tcPr>
            <w:tcW w:w="5200" w:type="dxa"/>
            <w:vAlign w:val="bottom"/>
            <w:gridSpan w:val="21"/>
          </w:tcPr>
          <w:p>
            <w:pPr>
              <w:spacing w:after="0"/>
              <w:rPr>
                <w:sz w:val="17"/>
                <w:szCs w:val="17"/>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147">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w:t>
              </w:r>
            </w:hyperlink>
          </w:p>
        </w:tc>
        <w:tc>
          <w:tcPr>
            <w:tcW w:w="140" w:type="dxa"/>
            <w:vAlign w:val="bottom"/>
            <w:gridSpan w:val="4"/>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47">
              <w:r>
                <w:rPr>
                  <w:rFonts w:ascii="Times New Roman" w:cs="Times New Roman" w:eastAsia="Times New Roman" w:hAnsi="Times New Roman"/>
                  <w:sz w:val="18"/>
                  <w:szCs w:val="18"/>
                  <w:color w:val="0000EE"/>
                  <w:w w:val="97"/>
                </w:rPr>
                <w:t>Act of 2002.</w:t>
              </w:r>
            </w:hyperlink>
          </w:p>
        </w:tc>
        <w:tc>
          <w:tcPr>
            <w:tcW w:w="9280" w:type="dxa"/>
            <w:vAlign w:val="bottom"/>
            <w:gridSpan w:val="28"/>
          </w:tcPr>
          <w:p>
            <w:pPr>
              <w:spacing w:after="0"/>
              <w:rPr>
                <w:sz w:val="17"/>
                <w:szCs w:val="17"/>
                <w:color w:val="auto"/>
              </w:rPr>
            </w:pPr>
          </w:p>
        </w:tc>
      </w:tr>
      <w:tr>
        <w:trPr>
          <w:trHeight w:val="21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30"/>
          </w:tcPr>
          <w:p>
            <w:pPr>
              <w:spacing w:after="0"/>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hyperlink>
          </w:p>
        </w:tc>
      </w:tr>
      <w:tr>
        <w:trPr>
          <w:trHeight w:val="196"/>
        </w:trPr>
        <w:tc>
          <w:tcPr>
            <w:tcW w:w="10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48">
              <w:r>
                <w:rPr>
                  <w:rFonts w:ascii="Times New Roman" w:cs="Times New Roman" w:eastAsia="Times New Roman" w:hAnsi="Times New Roman"/>
                  <w:sz w:val="18"/>
                  <w:szCs w:val="18"/>
                  <w:color w:val="0000EE"/>
                  <w:w w:val="97"/>
                </w:rPr>
                <w:t>Act of 2002.</w:t>
              </w:r>
            </w:hyperlink>
          </w:p>
        </w:tc>
        <w:tc>
          <w:tcPr>
            <w:tcW w:w="9080" w:type="dxa"/>
            <w:vAlign w:val="bottom"/>
            <w:tcBorders>
              <w:top w:val="single" w:sz="8" w:color="0000EE"/>
            </w:tcBorders>
            <w:gridSpan w:val="21"/>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232"/>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101.INS</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0"/>
        </w:trPr>
        <w:tc>
          <w:tcPr>
            <w:tcW w:w="1040" w:type="dxa"/>
            <w:vAlign w:val="bottom"/>
          </w:tcPr>
          <w:p>
            <w:pPr>
              <w:spacing w:after="0"/>
              <w:rPr>
                <w:sz w:val="19"/>
                <w:szCs w:val="19"/>
                <w:color w:val="auto"/>
              </w:rPr>
            </w:pP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101.DEF</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101.PRE</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104</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1912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26"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1" w:name="page132"/>
    <w:bookmarkEnd w:id="131"/>
    <w:p>
      <w:pPr>
        <w:ind w:left="500" w:right="80" w:hanging="492"/>
        <w:spacing w:after="0" w:line="282"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agreement (indicated by asterisks) have been omitted because the registrant has determined they are not material and would likely cause competitive harm to the registrant if publicly disclosed.</w:t>
      </w:r>
    </w:p>
    <w:p>
      <w:pPr>
        <w:spacing w:after="0" w:line="54" w:lineRule="exact"/>
        <w:rPr>
          <w:sz w:val="20"/>
          <w:szCs w:val="20"/>
          <w:color w:val="auto"/>
        </w:rPr>
      </w:pPr>
    </w:p>
    <w:p>
      <w:pPr>
        <w:ind w:left="50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601(b)(2) of Regulation S-K. A copy of any omitted schedules will be furnished supplementally to the SEC upon request.</w:t>
      </w:r>
    </w:p>
    <w:p>
      <w:pPr>
        <w:spacing w:after="0" w:line="54"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17" w:lineRule="exact"/>
        <w:rPr>
          <w:sz w:val="20"/>
          <w:szCs w:val="20"/>
          <w:color w:val="auto"/>
        </w:rPr>
      </w:pPr>
    </w:p>
    <w:p>
      <w:pPr>
        <w:ind w:left="500" w:right="360" w:hanging="492"/>
        <w:spacing w:after="0" w:line="266"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61" w:right="499" w:bottom="1440" w:gutter="0" w:footer="0" w:header="0"/>
        </w:sectPr>
      </w:pPr>
    </w:p>
    <w:bookmarkStart w:id="132" w:name="page133"/>
    <w:bookmarkEnd w:id="1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10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37" w:lineRule="exact"/>
        <w:rPr>
          <w:sz w:val="20"/>
          <w:szCs w:val="20"/>
          <w:color w:val="auto"/>
        </w:rPr>
      </w:pPr>
    </w:p>
    <w:p>
      <w:pPr>
        <w:ind w:left="280"/>
        <w:spacing w:after="0"/>
        <w:tabs>
          <w:tab w:leader="none" w:pos="5800" w:val="left"/>
          <w:tab w:leader="none" w:pos="654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51435</wp:posOffset>
            </wp:positionV>
            <wp:extent cx="28632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9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RA Session II</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RA Session II and Kamran Alam, jointly and severally, as his or her true and lawful attorneys-in-fact and agents, with full power of substitution and resubstitution, for him or her and in his or her name, place and stead, in any and all capacities, to sign this Annual Report on Form 10-K of Taysha Gene Therapies,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9"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225"/>
        </w:trPr>
        <w:tc>
          <w:tcPr>
            <w:tcW w:w="34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20" w:type="dxa"/>
            <w:vAlign w:val="bottom"/>
          </w:tcPr>
          <w:p>
            <w:pPr>
              <w:spacing w:after="0"/>
              <w:rPr>
                <w:sz w:val="19"/>
                <w:szCs w:val="19"/>
                <w:color w:val="auto"/>
              </w:rPr>
            </w:pPr>
          </w:p>
        </w:tc>
        <w:tc>
          <w:tcPr>
            <w:tcW w:w="47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40" w:type="dxa"/>
            <w:vAlign w:val="bottom"/>
          </w:tcPr>
          <w:p>
            <w:pPr>
              <w:spacing w:after="0"/>
              <w:rPr>
                <w:sz w:val="19"/>
                <w:szCs w:val="19"/>
                <w:color w:val="auto"/>
              </w:rPr>
            </w:pPr>
          </w:p>
        </w:tc>
        <w:tc>
          <w:tcPr>
            <w:tcW w:w="2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80"/>
        </w:trPr>
        <w:tc>
          <w:tcPr>
            <w:tcW w:w="3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RA Session II</w:t>
            </w:r>
          </w:p>
        </w:tc>
        <w:tc>
          <w:tcPr>
            <w:tcW w:w="320" w:type="dxa"/>
            <w:vAlign w:val="bottom"/>
          </w:tcPr>
          <w:p>
            <w:pPr>
              <w:spacing w:after="0"/>
              <w:rPr>
                <w:sz w:val="24"/>
                <w:szCs w:val="24"/>
                <w:color w:val="auto"/>
              </w:rPr>
            </w:pPr>
          </w:p>
        </w:tc>
        <w:tc>
          <w:tcPr>
            <w:tcW w:w="4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March 31, 2022</w:t>
            </w:r>
          </w:p>
        </w:tc>
        <w:tc>
          <w:tcPr>
            <w:tcW w:w="0" w:type="dxa"/>
            <w:vAlign w:val="bottom"/>
          </w:tcPr>
          <w:p>
            <w:pPr>
              <w:spacing w:after="0"/>
              <w:rPr>
                <w:sz w:val="1"/>
                <w:szCs w:val="1"/>
                <w:color w:val="auto"/>
              </w:rPr>
            </w:pPr>
          </w:p>
        </w:tc>
      </w:tr>
      <w:tr>
        <w:trPr>
          <w:trHeight w:val="92"/>
        </w:trPr>
        <w:tc>
          <w:tcPr>
            <w:tcW w:w="34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RA Session II</w:t>
            </w:r>
          </w:p>
        </w:tc>
        <w:tc>
          <w:tcPr>
            <w:tcW w:w="320" w:type="dxa"/>
            <w:vAlign w:val="bottom"/>
          </w:tcPr>
          <w:p>
            <w:pPr>
              <w:spacing w:after="0"/>
              <w:rPr>
                <w:sz w:val="8"/>
                <w:szCs w:val="8"/>
                <w:color w:val="auto"/>
              </w:rPr>
            </w:pPr>
          </w:p>
        </w:tc>
        <w:tc>
          <w:tcPr>
            <w:tcW w:w="498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98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6"/>
        </w:trPr>
        <w:tc>
          <w:tcPr>
            <w:tcW w:w="3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 Kamran Alam</w:t>
            </w:r>
          </w:p>
        </w:tc>
        <w:tc>
          <w:tcPr>
            <w:tcW w:w="320" w:type="dxa"/>
            <w:vAlign w:val="bottom"/>
          </w:tcPr>
          <w:p>
            <w:pPr>
              <w:spacing w:after="0"/>
              <w:rPr>
                <w:sz w:val="24"/>
                <w:szCs w:val="24"/>
                <w:color w:val="auto"/>
              </w:rPr>
            </w:pPr>
          </w:p>
        </w:tc>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c>
          <w:tcPr>
            <w:tcW w:w="2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31, 2022</w:t>
            </w:r>
          </w:p>
        </w:tc>
        <w:tc>
          <w:tcPr>
            <w:tcW w:w="0" w:type="dxa"/>
            <w:vAlign w:val="bottom"/>
          </w:tcPr>
          <w:p>
            <w:pPr>
              <w:spacing w:after="0"/>
              <w:rPr>
                <w:sz w:val="1"/>
                <w:szCs w:val="1"/>
                <w:color w:val="auto"/>
              </w:rPr>
            </w:pPr>
          </w:p>
        </w:tc>
      </w:tr>
      <w:tr>
        <w:trPr>
          <w:trHeight w:val="29"/>
        </w:trPr>
        <w:tc>
          <w:tcPr>
            <w:tcW w:w="348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4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w:t>
            </w: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4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Kamran Alam</w:t>
            </w:r>
          </w:p>
        </w:tc>
        <w:tc>
          <w:tcPr>
            <w:tcW w:w="320" w:type="dxa"/>
            <w:vAlign w:val="bottom"/>
            <w:vMerge w:val="continue"/>
          </w:tcPr>
          <w:p>
            <w:pPr>
              <w:spacing w:after="0"/>
              <w:rPr>
                <w:sz w:val="14"/>
                <w:szCs w:val="14"/>
                <w:color w:val="auto"/>
              </w:rPr>
            </w:pPr>
          </w:p>
        </w:tc>
        <w:tc>
          <w:tcPr>
            <w:tcW w:w="498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Accounting Officer)</w:t>
            </w: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6"/>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Phillip B. Donenberg</w:t>
            </w:r>
          </w:p>
        </w:tc>
        <w:tc>
          <w:tcPr>
            <w:tcW w:w="320" w:type="dxa"/>
            <w:vAlign w:val="bottom"/>
          </w:tcPr>
          <w:p>
            <w:pPr>
              <w:spacing w:after="0"/>
              <w:rPr>
                <w:sz w:val="24"/>
                <w:szCs w:val="24"/>
                <w:color w:val="auto"/>
              </w:rPr>
            </w:pPr>
          </w:p>
        </w:tc>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March 31, 2022</w:t>
            </w:r>
          </w:p>
        </w:tc>
        <w:tc>
          <w:tcPr>
            <w:tcW w:w="0" w:type="dxa"/>
            <w:vAlign w:val="bottom"/>
          </w:tcPr>
          <w:p>
            <w:pPr>
              <w:spacing w:after="0"/>
              <w:rPr>
                <w:sz w:val="1"/>
                <w:szCs w:val="1"/>
                <w:color w:val="auto"/>
              </w:rPr>
            </w:pPr>
          </w:p>
        </w:tc>
      </w:tr>
      <w:tr>
        <w:trPr>
          <w:trHeight w:val="223"/>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Phillip B. Donenberg</w:t>
            </w:r>
          </w:p>
        </w:tc>
        <w:tc>
          <w:tcPr>
            <w:tcW w:w="3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Sean P. Nolan</w:t>
            </w:r>
          </w:p>
        </w:tc>
        <w:tc>
          <w:tcPr>
            <w:tcW w:w="320" w:type="dxa"/>
            <w:vAlign w:val="bottom"/>
          </w:tcPr>
          <w:p>
            <w:pPr>
              <w:spacing w:after="0"/>
              <w:rPr>
                <w:sz w:val="24"/>
                <w:szCs w:val="24"/>
                <w:color w:val="auto"/>
              </w:rPr>
            </w:pPr>
          </w:p>
        </w:tc>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March 31, 2022</w:t>
            </w:r>
          </w:p>
        </w:tc>
        <w:tc>
          <w:tcPr>
            <w:tcW w:w="0" w:type="dxa"/>
            <w:vAlign w:val="bottom"/>
          </w:tcPr>
          <w:p>
            <w:pPr>
              <w:spacing w:after="0"/>
              <w:rPr>
                <w:sz w:val="1"/>
                <w:szCs w:val="1"/>
                <w:color w:val="auto"/>
              </w:rPr>
            </w:pPr>
          </w:p>
        </w:tc>
      </w:tr>
      <w:tr>
        <w:trPr>
          <w:trHeight w:val="223"/>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Sean P. Nolan</w:t>
            </w:r>
          </w:p>
        </w:tc>
        <w:tc>
          <w:tcPr>
            <w:tcW w:w="3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Paul B. Manning</w:t>
            </w:r>
          </w:p>
        </w:tc>
        <w:tc>
          <w:tcPr>
            <w:tcW w:w="320" w:type="dxa"/>
            <w:vAlign w:val="bottom"/>
          </w:tcPr>
          <w:p>
            <w:pPr>
              <w:spacing w:after="0"/>
              <w:rPr>
                <w:sz w:val="24"/>
                <w:szCs w:val="24"/>
                <w:color w:val="auto"/>
              </w:rPr>
            </w:pPr>
          </w:p>
        </w:tc>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March 31, 2022</w:t>
            </w:r>
          </w:p>
        </w:tc>
        <w:tc>
          <w:tcPr>
            <w:tcW w:w="0" w:type="dxa"/>
            <w:vAlign w:val="bottom"/>
          </w:tcPr>
          <w:p>
            <w:pPr>
              <w:spacing w:after="0"/>
              <w:rPr>
                <w:sz w:val="1"/>
                <w:szCs w:val="1"/>
                <w:color w:val="auto"/>
              </w:rPr>
            </w:pPr>
          </w:p>
        </w:tc>
      </w:tr>
      <w:tr>
        <w:trPr>
          <w:trHeight w:val="223"/>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Paul B. Manning</w:t>
            </w:r>
          </w:p>
        </w:tc>
        <w:tc>
          <w:tcPr>
            <w:tcW w:w="3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Sukumar Nagendran, M.D.</w:t>
            </w:r>
          </w:p>
        </w:tc>
        <w:tc>
          <w:tcPr>
            <w:tcW w:w="320" w:type="dxa"/>
            <w:vAlign w:val="bottom"/>
          </w:tcPr>
          <w:p>
            <w:pPr>
              <w:spacing w:after="0"/>
              <w:rPr>
                <w:sz w:val="24"/>
                <w:szCs w:val="24"/>
                <w:color w:val="auto"/>
              </w:rPr>
            </w:pPr>
          </w:p>
        </w:tc>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March 31, 2022</w:t>
            </w:r>
          </w:p>
        </w:tc>
        <w:tc>
          <w:tcPr>
            <w:tcW w:w="0" w:type="dxa"/>
            <w:vAlign w:val="bottom"/>
          </w:tcPr>
          <w:p>
            <w:pPr>
              <w:spacing w:after="0"/>
              <w:rPr>
                <w:sz w:val="1"/>
                <w:szCs w:val="1"/>
                <w:color w:val="auto"/>
              </w:rPr>
            </w:pPr>
          </w:p>
        </w:tc>
      </w:tr>
      <w:tr>
        <w:trPr>
          <w:trHeight w:val="223"/>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Sukumar Nagendran, M.D.</w:t>
            </w:r>
          </w:p>
        </w:tc>
        <w:tc>
          <w:tcPr>
            <w:tcW w:w="3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Kathleen Reape, M.D.</w:t>
            </w:r>
          </w:p>
        </w:tc>
        <w:tc>
          <w:tcPr>
            <w:tcW w:w="320" w:type="dxa"/>
            <w:vAlign w:val="bottom"/>
          </w:tcPr>
          <w:p>
            <w:pPr>
              <w:spacing w:after="0"/>
              <w:rPr>
                <w:sz w:val="24"/>
                <w:szCs w:val="24"/>
                <w:color w:val="auto"/>
              </w:rPr>
            </w:pPr>
          </w:p>
        </w:tc>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March 31, 2022</w:t>
            </w:r>
          </w:p>
        </w:tc>
        <w:tc>
          <w:tcPr>
            <w:tcW w:w="0" w:type="dxa"/>
            <w:vAlign w:val="bottom"/>
          </w:tcPr>
          <w:p>
            <w:pPr>
              <w:spacing w:after="0"/>
              <w:rPr>
                <w:sz w:val="1"/>
                <w:szCs w:val="1"/>
                <w:color w:val="auto"/>
              </w:rPr>
            </w:pPr>
          </w:p>
        </w:tc>
      </w:tr>
      <w:tr>
        <w:trPr>
          <w:trHeight w:val="223"/>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Kathleen Reape, M.D.</w:t>
            </w:r>
          </w:p>
        </w:tc>
        <w:tc>
          <w:tcPr>
            <w:tcW w:w="3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Laura Sepp-Lorenzino, Ph.D.</w:t>
            </w:r>
          </w:p>
        </w:tc>
        <w:tc>
          <w:tcPr>
            <w:tcW w:w="320" w:type="dxa"/>
            <w:vAlign w:val="bottom"/>
          </w:tcPr>
          <w:p>
            <w:pPr>
              <w:spacing w:after="0"/>
              <w:rPr>
                <w:sz w:val="24"/>
                <w:szCs w:val="24"/>
                <w:color w:val="auto"/>
              </w:rPr>
            </w:pPr>
          </w:p>
        </w:tc>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March 31, 2022</w:t>
            </w:r>
          </w:p>
        </w:tc>
        <w:tc>
          <w:tcPr>
            <w:tcW w:w="0" w:type="dxa"/>
            <w:vAlign w:val="bottom"/>
          </w:tcPr>
          <w:p>
            <w:pPr>
              <w:spacing w:after="0"/>
              <w:rPr>
                <w:sz w:val="1"/>
                <w:szCs w:val="1"/>
                <w:color w:val="auto"/>
              </w:rPr>
            </w:pPr>
          </w:p>
        </w:tc>
      </w:tr>
      <w:tr>
        <w:trPr>
          <w:trHeight w:val="223"/>
        </w:trPr>
        <w:tc>
          <w:tcPr>
            <w:tcW w:w="3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Laura Sepp-Lorenzino, Ph.D.</w:t>
            </w:r>
          </w:p>
        </w:tc>
        <w:tc>
          <w:tcPr>
            <w:tcW w:w="3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80"/>
          </w:cols>
          <w:pgMar w:left="320" w:top="333" w:right="3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404040"/>
        </w:rPr>
        <w:t>Exhibit 10.18</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404040"/>
        </w:rPr>
        <w:t>FIRST AMENDMENT TO LEASE AGREEMENT</w:t>
      </w:r>
    </w:p>
    <w:p>
      <w:pPr>
        <w:spacing w:after="0" w:line="216" w:lineRule="exact"/>
        <w:rPr>
          <w:sz w:val="20"/>
          <w:szCs w:val="20"/>
          <w:color w:val="auto"/>
        </w:rPr>
      </w:pPr>
    </w:p>
    <w:p>
      <w:pPr>
        <w:jc w:val="both"/>
        <w:ind w:firstLine="794"/>
        <w:spacing w:after="0" w:line="251" w:lineRule="auto"/>
        <w:rPr>
          <w:sz w:val="20"/>
          <w:szCs w:val="20"/>
          <w:color w:val="auto"/>
        </w:rPr>
      </w:pPr>
      <w:r>
        <w:rPr>
          <w:rFonts w:ascii="Times New Roman" w:cs="Times New Roman" w:eastAsia="Times New Roman" w:hAnsi="Times New Roman"/>
          <w:sz w:val="21"/>
          <w:szCs w:val="21"/>
          <w:color w:val="3E3E3E"/>
        </w:rPr>
        <w:t xml:space="preserve">This First Amendment to Lease Agreement (this </w:t>
      </w:r>
      <w:r>
        <w:rPr>
          <w:rFonts w:ascii="Times New Roman" w:cs="Times New Roman" w:eastAsia="Times New Roman" w:hAnsi="Times New Roman"/>
          <w:sz w:val="21"/>
          <w:szCs w:val="21"/>
          <w:b w:val="1"/>
          <w:bCs w:val="1"/>
          <w:u w:val="single" w:color="auto"/>
          <w:color w:val="3E3E3E"/>
        </w:rPr>
        <w:t>"Amendment")</w:t>
      </w:r>
      <w:r>
        <w:rPr>
          <w:rFonts w:ascii="Times New Roman" w:cs="Times New Roman" w:eastAsia="Times New Roman" w:hAnsi="Times New Roman"/>
          <w:sz w:val="21"/>
          <w:szCs w:val="21"/>
          <w:color w:val="3E3E3E"/>
        </w:rPr>
        <w:t xml:space="preserve"> is executed as of December 14, 2021, between </w:t>
      </w:r>
      <w:r>
        <w:rPr>
          <w:rFonts w:ascii="Times New Roman" w:cs="Times New Roman" w:eastAsia="Times New Roman" w:hAnsi="Times New Roman"/>
          <w:sz w:val="21"/>
          <w:szCs w:val="21"/>
          <w:b w:val="1"/>
          <w:bCs w:val="1"/>
          <w:color w:val="3E3E3E"/>
        </w:rPr>
        <w:t>PEGASUS</w:t>
      </w:r>
      <w:r>
        <w:rPr>
          <w:rFonts w:ascii="Times New Roman" w:cs="Times New Roman" w:eastAsia="Times New Roman" w:hAnsi="Times New Roman"/>
          <w:sz w:val="21"/>
          <w:szCs w:val="21"/>
          <w:color w:val="3E3E3E"/>
        </w:rPr>
        <w:t xml:space="preserve"> </w:t>
      </w:r>
      <w:r>
        <w:rPr>
          <w:rFonts w:ascii="Times New Roman" w:cs="Times New Roman" w:eastAsia="Times New Roman" w:hAnsi="Times New Roman"/>
          <w:sz w:val="21"/>
          <w:szCs w:val="21"/>
          <w:b w:val="1"/>
          <w:bCs w:val="1"/>
          <w:color w:val="3E3E3E"/>
        </w:rPr>
        <w:t xml:space="preserve">PARK, LLC, </w:t>
      </w:r>
      <w:r>
        <w:rPr>
          <w:rFonts w:ascii="Times New Roman" w:cs="Times New Roman" w:eastAsia="Times New Roman" w:hAnsi="Times New Roman"/>
          <w:sz w:val="21"/>
          <w:szCs w:val="21"/>
          <w:color w:val="3E3E3E"/>
        </w:rPr>
        <w:t>a Delaware limited liability company</w:t>
      </w:r>
      <w:r>
        <w:rPr>
          <w:rFonts w:ascii="Times New Roman" w:cs="Times New Roman" w:eastAsia="Times New Roman" w:hAnsi="Times New Roman"/>
          <w:sz w:val="21"/>
          <w:szCs w:val="21"/>
          <w:b w:val="1"/>
          <w:bCs w:val="1"/>
          <w:color w:val="3E3E3E"/>
        </w:rPr>
        <w:t xml:space="preserve"> </w:t>
      </w:r>
      <w:r>
        <w:rPr>
          <w:rFonts w:ascii="Times New Roman" w:cs="Times New Roman" w:eastAsia="Times New Roman" w:hAnsi="Times New Roman"/>
          <w:sz w:val="21"/>
          <w:szCs w:val="21"/>
          <w:b w:val="1"/>
          <w:bCs w:val="1"/>
          <w:u w:val="single" w:color="auto"/>
          <w:color w:val="3E3E3E"/>
        </w:rPr>
        <w:t>("Landlord"),</w:t>
      </w:r>
      <w:r>
        <w:rPr>
          <w:rFonts w:ascii="Times New Roman" w:cs="Times New Roman" w:eastAsia="Times New Roman" w:hAnsi="Times New Roman"/>
          <w:sz w:val="21"/>
          <w:szCs w:val="21"/>
          <w:b w:val="1"/>
          <w:bCs w:val="1"/>
          <w:color w:val="3E3E3E"/>
        </w:rPr>
        <w:t xml:space="preserve"> </w:t>
      </w:r>
      <w:r>
        <w:rPr>
          <w:rFonts w:ascii="Times New Roman" w:cs="Times New Roman" w:eastAsia="Times New Roman" w:hAnsi="Times New Roman"/>
          <w:sz w:val="21"/>
          <w:szCs w:val="21"/>
          <w:color w:val="3E3E3E"/>
        </w:rPr>
        <w:t>f/k/a Pegasus Place, LLC, and</w:t>
      </w:r>
      <w:r>
        <w:rPr>
          <w:rFonts w:ascii="Times New Roman" w:cs="Times New Roman" w:eastAsia="Times New Roman" w:hAnsi="Times New Roman"/>
          <w:sz w:val="21"/>
          <w:szCs w:val="21"/>
          <w:b w:val="1"/>
          <w:bCs w:val="1"/>
          <w:color w:val="3E3E3E"/>
        </w:rPr>
        <w:t xml:space="preserve"> TAYSHA GENE THERAPIES, INC., </w:t>
      </w:r>
      <w:r>
        <w:rPr>
          <w:rFonts w:ascii="Times New Roman" w:cs="Times New Roman" w:eastAsia="Times New Roman" w:hAnsi="Times New Roman"/>
          <w:sz w:val="21"/>
          <w:szCs w:val="21"/>
          <w:color w:val="3E3E3E"/>
        </w:rPr>
        <w:t>a Delaware corporation</w:t>
      </w:r>
      <w:r>
        <w:rPr>
          <w:rFonts w:ascii="Times New Roman" w:cs="Times New Roman" w:eastAsia="Times New Roman" w:hAnsi="Times New Roman"/>
          <w:sz w:val="21"/>
          <w:szCs w:val="21"/>
          <w:b w:val="1"/>
          <w:bCs w:val="1"/>
          <w:color w:val="3E3E3E"/>
        </w:rPr>
        <w:t xml:space="preserve"> </w:t>
      </w:r>
      <w:r>
        <w:rPr>
          <w:rFonts w:ascii="Times New Roman" w:cs="Times New Roman" w:eastAsia="Times New Roman" w:hAnsi="Times New Roman"/>
          <w:sz w:val="21"/>
          <w:szCs w:val="21"/>
          <w:b w:val="1"/>
          <w:bCs w:val="1"/>
          <w:u w:val="single" w:color="auto"/>
          <w:color w:val="3E3E3E"/>
        </w:rPr>
        <w:t>("Tenant"),</w:t>
      </w:r>
      <w:r>
        <w:rPr>
          <w:rFonts w:ascii="Times New Roman" w:cs="Times New Roman" w:eastAsia="Times New Roman" w:hAnsi="Times New Roman"/>
          <w:sz w:val="21"/>
          <w:szCs w:val="21"/>
          <w:b w:val="1"/>
          <w:bCs w:val="1"/>
          <w:color w:val="3E3E3E"/>
        </w:rPr>
        <w:t xml:space="preserve"> </w:t>
      </w:r>
      <w:r>
        <w:rPr>
          <w:rFonts w:ascii="Times New Roman" w:cs="Times New Roman" w:eastAsia="Times New Roman" w:hAnsi="Times New Roman"/>
          <w:sz w:val="21"/>
          <w:szCs w:val="21"/>
          <w:color w:val="3E3E3E"/>
        </w:rPr>
        <w:t>for the purpose of amending the Lease (defined below). Capitalized terms used but not</w:t>
      </w:r>
      <w:r>
        <w:rPr>
          <w:rFonts w:ascii="Times New Roman" w:cs="Times New Roman" w:eastAsia="Times New Roman" w:hAnsi="Times New Roman"/>
          <w:sz w:val="21"/>
          <w:szCs w:val="21"/>
          <w:b w:val="1"/>
          <w:bCs w:val="1"/>
          <w:color w:val="3E3E3E"/>
        </w:rPr>
        <w:t xml:space="preserve"> </w:t>
      </w:r>
      <w:r>
        <w:rPr>
          <w:rFonts w:ascii="Times New Roman" w:cs="Times New Roman" w:eastAsia="Times New Roman" w:hAnsi="Times New Roman"/>
          <w:sz w:val="21"/>
          <w:szCs w:val="21"/>
          <w:color w:val="3E3E3E"/>
        </w:rPr>
        <w:t>defined herein shall have the meanings assigned to them in the Lease (defined below).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04040"/>
        </w:rPr>
        <w:t>RECITALS:</w:t>
      </w:r>
    </w:p>
    <w:p>
      <w:pPr>
        <w:spacing w:after="0" w:line="216" w:lineRule="exact"/>
        <w:rPr>
          <w:sz w:val="20"/>
          <w:szCs w:val="20"/>
          <w:color w:val="auto"/>
        </w:rPr>
      </w:pPr>
    </w:p>
    <w:p>
      <w:pPr>
        <w:jc w:val="both"/>
        <w:ind w:firstLine="802"/>
        <w:spacing w:after="0" w:line="256" w:lineRule="auto"/>
        <w:tabs>
          <w:tab w:leader="none" w:pos="1643" w:val="left"/>
        </w:tabs>
        <w:numPr>
          <w:ilvl w:val="0"/>
          <w:numId w:val="60"/>
        </w:numPr>
        <w:rPr>
          <w:rFonts w:ascii="Times New Roman" w:cs="Times New Roman" w:eastAsia="Times New Roman" w:hAnsi="Times New Roman"/>
          <w:sz w:val="21"/>
          <w:szCs w:val="21"/>
          <w:color w:val="404040"/>
        </w:rPr>
      </w:pPr>
      <w:r>
        <w:rPr>
          <w:rFonts w:ascii="Times New Roman" w:cs="Times New Roman" w:eastAsia="Times New Roman" w:hAnsi="Times New Roman"/>
          <w:sz w:val="21"/>
          <w:szCs w:val="21"/>
          <w:color w:val="404040"/>
        </w:rPr>
        <w:t xml:space="preserve">Landlord and Tenant entered into that certain Lease Agreement dated effective January 8, 2021 (the </w:t>
      </w:r>
      <w:r>
        <w:rPr>
          <w:rFonts w:ascii="Times New Roman" w:cs="Times New Roman" w:eastAsia="Times New Roman" w:hAnsi="Times New Roman"/>
          <w:sz w:val="21"/>
          <w:szCs w:val="21"/>
          <w:b w:val="1"/>
          <w:bCs w:val="1"/>
          <w:u w:val="single" w:color="auto"/>
          <w:color w:val="404040"/>
        </w:rPr>
        <w:t>"Lease"),</w:t>
      </w:r>
      <w:r>
        <w:rPr>
          <w:rFonts w:ascii="Times New Roman" w:cs="Times New Roman" w:eastAsia="Times New Roman" w:hAnsi="Times New Roman"/>
          <w:sz w:val="21"/>
          <w:szCs w:val="21"/>
          <w:color w:val="404040"/>
        </w:rPr>
        <w:t xml:space="preserve"> with respect to certain premises located at in the mixed-use project commonly referred to as Pegasus Park in Dallas, Texas, as more particularly described therein.</w:t>
      </w:r>
    </w:p>
    <w:p>
      <w:pPr>
        <w:spacing w:after="0" w:line="172" w:lineRule="exact"/>
        <w:rPr>
          <w:rFonts w:ascii="Times New Roman" w:cs="Times New Roman" w:eastAsia="Times New Roman" w:hAnsi="Times New Roman"/>
          <w:sz w:val="21"/>
          <w:szCs w:val="21"/>
          <w:color w:val="404040"/>
        </w:rPr>
      </w:pPr>
    </w:p>
    <w:p>
      <w:pPr>
        <w:ind w:left="1640" w:hanging="838"/>
        <w:spacing w:after="0"/>
        <w:tabs>
          <w:tab w:leader="none" w:pos="1640" w:val="left"/>
        </w:tabs>
        <w:numPr>
          <w:ilvl w:val="0"/>
          <w:numId w:val="60"/>
        </w:numPr>
        <w:rPr>
          <w:rFonts w:ascii="Times New Roman" w:cs="Times New Roman" w:eastAsia="Times New Roman" w:hAnsi="Times New Roman"/>
          <w:sz w:val="21"/>
          <w:szCs w:val="21"/>
          <w:color w:val="404040"/>
        </w:rPr>
      </w:pPr>
      <w:r>
        <w:rPr>
          <w:rFonts w:ascii="Times New Roman" w:cs="Times New Roman" w:eastAsia="Times New Roman" w:hAnsi="Times New Roman"/>
          <w:sz w:val="21"/>
          <w:szCs w:val="21"/>
          <w:color w:val="404040"/>
        </w:rPr>
        <w:t xml:space="preserve">The initial Premises currently consists of 15,173 rentable square feet in Suite 1430 (the </w:t>
      </w:r>
      <w:r>
        <w:rPr>
          <w:rFonts w:ascii="Times New Roman" w:cs="Times New Roman" w:eastAsia="Times New Roman" w:hAnsi="Times New Roman"/>
          <w:sz w:val="21"/>
          <w:szCs w:val="21"/>
          <w:b w:val="1"/>
          <w:bCs w:val="1"/>
          <w:u w:val="single" w:color="auto"/>
          <w:color w:val="404040"/>
        </w:rPr>
        <w:t>"Initial Premise")</w:t>
      </w:r>
      <w:r>
        <w:rPr>
          <w:rFonts w:ascii="Times New Roman" w:cs="Times New Roman" w:eastAsia="Times New Roman" w:hAnsi="Times New Roman"/>
          <w:sz w:val="21"/>
          <w:szCs w:val="21"/>
          <w:b w:val="1"/>
          <w:bCs w:val="1"/>
          <w:color w:val="404040"/>
        </w:rPr>
        <w:t>.</w:t>
      </w:r>
    </w:p>
    <w:p>
      <w:pPr>
        <w:spacing w:after="0" w:line="219" w:lineRule="exact"/>
        <w:rPr>
          <w:rFonts w:ascii="Times New Roman" w:cs="Times New Roman" w:eastAsia="Times New Roman" w:hAnsi="Times New Roman"/>
          <w:sz w:val="21"/>
          <w:szCs w:val="21"/>
          <w:color w:val="404040"/>
        </w:rPr>
      </w:pPr>
    </w:p>
    <w:p>
      <w:pPr>
        <w:ind w:left="1640" w:hanging="838"/>
        <w:spacing w:after="0"/>
        <w:tabs>
          <w:tab w:leader="none" w:pos="1640" w:val="left"/>
        </w:tabs>
        <w:numPr>
          <w:ilvl w:val="0"/>
          <w:numId w:val="60"/>
        </w:numPr>
        <w:rPr>
          <w:rFonts w:ascii="Times New Roman" w:cs="Times New Roman" w:eastAsia="Times New Roman" w:hAnsi="Times New Roman"/>
          <w:sz w:val="21"/>
          <w:szCs w:val="21"/>
          <w:color w:val="3E3E3E"/>
        </w:rPr>
      </w:pPr>
      <w:r>
        <w:rPr>
          <w:rFonts w:ascii="Times New Roman" w:cs="Times New Roman" w:eastAsia="Times New Roman" w:hAnsi="Times New Roman"/>
          <w:sz w:val="21"/>
          <w:szCs w:val="21"/>
          <w:color w:val="3E3E3E"/>
        </w:rPr>
        <w:t xml:space="preserve">Tenant desires to expand the Premises to encompass the remainder of the 14th floor </w:t>
      </w:r>
      <w:r>
        <w:rPr>
          <w:rFonts w:ascii="Times New Roman" w:cs="Times New Roman" w:eastAsia="Times New Roman" w:hAnsi="Times New Roman"/>
          <w:sz w:val="21"/>
          <w:szCs w:val="21"/>
          <w:color w:val="404040"/>
        </w:rPr>
        <w:t>of the Building.</w:t>
      </w:r>
    </w:p>
    <w:p>
      <w:pPr>
        <w:spacing w:after="0" w:line="217" w:lineRule="exact"/>
        <w:rPr>
          <w:rFonts w:ascii="Times New Roman" w:cs="Times New Roman" w:eastAsia="Times New Roman" w:hAnsi="Times New Roman"/>
          <w:sz w:val="21"/>
          <w:szCs w:val="21"/>
          <w:color w:val="3E3E3E"/>
        </w:rPr>
      </w:pPr>
    </w:p>
    <w:p>
      <w:pPr>
        <w:ind w:left="1660" w:hanging="858"/>
        <w:spacing w:after="0"/>
        <w:tabs>
          <w:tab w:leader="none" w:pos="1660" w:val="left"/>
        </w:tabs>
        <w:numPr>
          <w:ilvl w:val="0"/>
          <w:numId w:val="60"/>
        </w:numPr>
        <w:rPr>
          <w:rFonts w:ascii="Times New Roman" w:cs="Times New Roman" w:eastAsia="Times New Roman" w:hAnsi="Times New Roman"/>
          <w:sz w:val="21"/>
          <w:szCs w:val="21"/>
          <w:color w:val="3E3E3E"/>
        </w:rPr>
      </w:pPr>
      <w:r>
        <w:rPr>
          <w:rFonts w:ascii="Times New Roman" w:cs="Times New Roman" w:eastAsia="Times New Roman" w:hAnsi="Times New Roman"/>
          <w:sz w:val="21"/>
          <w:szCs w:val="21"/>
          <w:color w:val="3E3E3E"/>
        </w:rPr>
        <w:t>Landlord and Tenant desire to amend the Lease as hereinafter set forth.</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04040"/>
        </w:rPr>
        <w:t>AGREEMENTS:</w:t>
      </w:r>
    </w:p>
    <w:p>
      <w:pPr>
        <w:spacing w:after="0" w:line="218" w:lineRule="exact"/>
        <w:rPr>
          <w:sz w:val="20"/>
          <w:szCs w:val="20"/>
          <w:color w:val="auto"/>
        </w:rPr>
      </w:pPr>
    </w:p>
    <w:p>
      <w:pPr>
        <w:ind w:firstLine="794"/>
        <w:spacing w:after="0" w:line="295" w:lineRule="auto"/>
        <w:rPr>
          <w:sz w:val="20"/>
          <w:szCs w:val="20"/>
          <w:color w:val="auto"/>
        </w:rPr>
      </w:pPr>
      <w:r>
        <w:rPr>
          <w:rFonts w:ascii="Times New Roman" w:cs="Times New Roman" w:eastAsia="Times New Roman" w:hAnsi="Times New Roman"/>
          <w:sz w:val="20"/>
          <w:szCs w:val="20"/>
          <w:color w:val="404040"/>
        </w:rPr>
        <w:t>NOW, THEREFORE, in consideration of the mutual covenants contained herein and other valuable consideration, the receipt and sufficiency of which are hereby acknowledged, and intending to be legally bound, Landlord and Tenant hereby agree as follows:</w:t>
      </w:r>
    </w:p>
    <w:p>
      <w:pPr>
        <w:spacing w:after="0" w:line="135" w:lineRule="exact"/>
        <w:rPr>
          <w:sz w:val="20"/>
          <w:szCs w:val="20"/>
          <w:color w:val="auto"/>
        </w:rPr>
      </w:pPr>
    </w:p>
    <w:p>
      <w:pPr>
        <w:jc w:val="both"/>
        <w:ind w:firstLine="802"/>
        <w:spacing w:after="0" w:line="256" w:lineRule="auto"/>
        <w:tabs>
          <w:tab w:leader="none" w:pos="1597" w:val="left"/>
        </w:tabs>
        <w:numPr>
          <w:ilvl w:val="0"/>
          <w:numId w:val="61"/>
        </w:numPr>
        <w:rPr>
          <w:rFonts w:ascii="Times New Roman" w:cs="Times New Roman" w:eastAsia="Times New Roman" w:hAnsi="Times New Roman"/>
          <w:sz w:val="21"/>
          <w:szCs w:val="21"/>
          <w:color w:val="404040"/>
        </w:rPr>
      </w:pPr>
      <w:r>
        <w:rPr>
          <w:rFonts w:ascii="Times New Roman" w:cs="Times New Roman" w:eastAsia="Times New Roman" w:hAnsi="Times New Roman"/>
          <w:sz w:val="21"/>
          <w:szCs w:val="21"/>
          <w:b w:val="1"/>
          <w:bCs w:val="1"/>
          <w:u w:val="single" w:color="auto"/>
          <w:color w:val="404040"/>
        </w:rPr>
        <w:t>Expansion of the Premises.</w:t>
      </w:r>
      <w:r>
        <w:rPr>
          <w:rFonts w:ascii="Times New Roman" w:cs="Times New Roman" w:eastAsia="Times New Roman" w:hAnsi="Times New Roman"/>
          <w:sz w:val="21"/>
          <w:szCs w:val="21"/>
          <w:b w:val="1"/>
          <w:bCs w:val="1"/>
          <w:color w:val="404040"/>
        </w:rPr>
        <w:t xml:space="preserve"> </w:t>
      </w:r>
      <w:r>
        <w:rPr>
          <w:rFonts w:ascii="Times New Roman" w:cs="Times New Roman" w:eastAsia="Times New Roman" w:hAnsi="Times New Roman"/>
          <w:sz w:val="21"/>
          <w:szCs w:val="21"/>
          <w:color w:val="404040"/>
        </w:rPr>
        <w:t>On the Expansion Premises Commencement Date (defined below), the Premises shall</w:t>
      </w:r>
      <w:r>
        <w:rPr>
          <w:rFonts w:ascii="Times New Roman" w:cs="Times New Roman" w:eastAsia="Times New Roman" w:hAnsi="Times New Roman"/>
          <w:sz w:val="21"/>
          <w:szCs w:val="21"/>
          <w:b w:val="1"/>
          <w:bCs w:val="1"/>
          <w:color w:val="404040"/>
        </w:rPr>
        <w:t xml:space="preserve"> </w:t>
      </w:r>
      <w:r>
        <w:rPr>
          <w:rFonts w:ascii="Times New Roman" w:cs="Times New Roman" w:eastAsia="Times New Roman" w:hAnsi="Times New Roman"/>
          <w:sz w:val="21"/>
          <w:szCs w:val="21"/>
          <w:color w:val="404040"/>
        </w:rPr>
        <w:t xml:space="preserve">be expanded to contain an additional 18,421 rentable square feet (the </w:t>
      </w:r>
      <w:r>
        <w:rPr>
          <w:rFonts w:ascii="Times New Roman" w:cs="Times New Roman" w:eastAsia="Times New Roman" w:hAnsi="Times New Roman"/>
          <w:sz w:val="21"/>
          <w:szCs w:val="21"/>
          <w:b w:val="1"/>
          <w:bCs w:val="1"/>
          <w:u w:val="single" w:color="auto"/>
          <w:color w:val="404040"/>
        </w:rPr>
        <w:t>"Expansion Premises")</w:t>
      </w:r>
      <w:r>
        <w:rPr>
          <w:rFonts w:ascii="Times New Roman" w:cs="Times New Roman" w:eastAsia="Times New Roman" w:hAnsi="Times New Roman"/>
          <w:sz w:val="21"/>
          <w:szCs w:val="21"/>
          <w:color w:val="404040"/>
        </w:rPr>
        <w:t xml:space="preserve"> shown on Exhibit A hereto, such that the Premises shall contain a total of 33,594 rentable square feet.</w:t>
      </w:r>
    </w:p>
    <w:p>
      <w:pPr>
        <w:spacing w:after="0" w:line="172" w:lineRule="exact"/>
        <w:rPr>
          <w:rFonts w:ascii="Times New Roman" w:cs="Times New Roman" w:eastAsia="Times New Roman" w:hAnsi="Times New Roman"/>
          <w:sz w:val="21"/>
          <w:szCs w:val="21"/>
          <w:color w:val="404040"/>
        </w:rPr>
      </w:pPr>
    </w:p>
    <w:p>
      <w:pPr>
        <w:jc w:val="both"/>
        <w:ind w:firstLine="802"/>
        <w:spacing w:after="0" w:line="251" w:lineRule="auto"/>
        <w:tabs>
          <w:tab w:leader="none" w:pos="1597" w:val="left"/>
        </w:tabs>
        <w:numPr>
          <w:ilvl w:val="0"/>
          <w:numId w:val="61"/>
        </w:numPr>
        <w:rPr>
          <w:rFonts w:ascii="Times New Roman" w:cs="Times New Roman" w:eastAsia="Times New Roman" w:hAnsi="Times New Roman"/>
          <w:sz w:val="21"/>
          <w:szCs w:val="21"/>
          <w:color w:val="3E3E3E"/>
        </w:rPr>
      </w:pPr>
      <w:r>
        <w:rPr>
          <w:rFonts w:ascii="Times New Roman" w:cs="Times New Roman" w:eastAsia="Times New Roman" w:hAnsi="Times New Roman"/>
          <w:sz w:val="21"/>
          <w:szCs w:val="21"/>
          <w:b w:val="1"/>
          <w:bCs w:val="1"/>
          <w:u w:val="single" w:color="auto"/>
          <w:color w:val="3E3E3E"/>
        </w:rPr>
        <w:t>Expansion Premises Commencement Date</w:t>
      </w:r>
      <w:r>
        <w:rPr>
          <w:rFonts w:ascii="Times New Roman" w:cs="Times New Roman" w:eastAsia="Times New Roman" w:hAnsi="Times New Roman"/>
          <w:sz w:val="21"/>
          <w:szCs w:val="21"/>
          <w:b w:val="1"/>
          <w:bCs w:val="1"/>
          <w:color w:val="3E3E3E"/>
        </w:rPr>
        <w:t xml:space="preserve">. </w:t>
      </w:r>
      <w:r>
        <w:rPr>
          <w:rFonts w:ascii="Times New Roman" w:cs="Times New Roman" w:eastAsia="Times New Roman" w:hAnsi="Times New Roman"/>
          <w:sz w:val="21"/>
          <w:szCs w:val="21"/>
          <w:color w:val="3E3E3E"/>
        </w:rPr>
        <w:t>The Commencement Date for the</w:t>
      </w:r>
      <w:r>
        <w:rPr>
          <w:rFonts w:ascii="Times New Roman" w:cs="Times New Roman" w:eastAsia="Times New Roman" w:hAnsi="Times New Roman"/>
          <w:sz w:val="21"/>
          <w:szCs w:val="21"/>
          <w:b w:val="1"/>
          <w:bCs w:val="1"/>
          <w:color w:val="3E3E3E"/>
        </w:rPr>
        <w:t xml:space="preserve"> </w:t>
      </w:r>
      <w:r>
        <w:rPr>
          <w:rFonts w:ascii="Times New Roman" w:cs="Times New Roman" w:eastAsia="Times New Roman" w:hAnsi="Times New Roman"/>
          <w:sz w:val="21"/>
          <w:szCs w:val="21"/>
          <w:color w:val="404040"/>
        </w:rPr>
        <w:t>Expansion Premises shall be first</w:t>
      </w:r>
      <w:r>
        <w:rPr>
          <w:rFonts w:ascii="Times New Roman" w:cs="Times New Roman" w:eastAsia="Times New Roman" w:hAnsi="Times New Roman"/>
          <w:sz w:val="21"/>
          <w:szCs w:val="21"/>
          <w:b w:val="1"/>
          <w:bCs w:val="1"/>
          <w:color w:val="3E3E3E"/>
        </w:rPr>
        <w:t xml:space="preserve"> </w:t>
      </w:r>
      <w:r>
        <w:rPr>
          <w:rFonts w:ascii="Times New Roman" w:cs="Times New Roman" w:eastAsia="Times New Roman" w:hAnsi="Times New Roman"/>
          <w:sz w:val="21"/>
          <w:szCs w:val="21"/>
          <w:color w:val="404040"/>
        </w:rPr>
        <w:t xml:space="preserve">day of the first calendar month following Substantial Completion of the Work in the Expansion Premises (the </w:t>
      </w:r>
      <w:r>
        <w:rPr>
          <w:rFonts w:ascii="Times New Roman" w:cs="Times New Roman" w:eastAsia="Times New Roman" w:hAnsi="Times New Roman"/>
          <w:sz w:val="21"/>
          <w:szCs w:val="21"/>
          <w:b w:val="1"/>
          <w:bCs w:val="1"/>
          <w:u w:val="single" w:color="auto"/>
          <w:color w:val="404040"/>
        </w:rPr>
        <w:t>"Expansion Premises</w:t>
      </w:r>
      <w:r>
        <w:rPr>
          <w:rFonts w:ascii="Times New Roman" w:cs="Times New Roman" w:eastAsia="Times New Roman" w:hAnsi="Times New Roman"/>
          <w:sz w:val="21"/>
          <w:szCs w:val="21"/>
          <w:color w:val="404040"/>
        </w:rPr>
        <w:t xml:space="preserve"> </w:t>
      </w:r>
      <w:r>
        <w:rPr>
          <w:rFonts w:ascii="Times New Roman" w:cs="Times New Roman" w:eastAsia="Times New Roman" w:hAnsi="Times New Roman"/>
          <w:sz w:val="21"/>
          <w:szCs w:val="21"/>
          <w:b w:val="1"/>
          <w:bCs w:val="1"/>
          <w:u w:val="single" w:color="auto"/>
          <w:color w:val="404040"/>
        </w:rPr>
        <w:t>Commencement Date").</w:t>
      </w:r>
      <w:r>
        <w:rPr>
          <w:rFonts w:ascii="Times New Roman" w:cs="Times New Roman" w:eastAsia="Times New Roman" w:hAnsi="Times New Roman"/>
          <w:sz w:val="21"/>
          <w:szCs w:val="21"/>
          <w:b w:val="1"/>
          <w:bCs w:val="1"/>
          <w:color w:val="404040"/>
        </w:rPr>
        <w:t xml:space="preserve"> </w:t>
      </w:r>
      <w:r>
        <w:rPr>
          <w:rFonts w:ascii="Times New Roman" w:cs="Times New Roman" w:eastAsia="Times New Roman" w:hAnsi="Times New Roman"/>
          <w:sz w:val="21"/>
          <w:szCs w:val="21"/>
          <w:color w:val="404040"/>
        </w:rPr>
        <w:t>All deadlines and timeframes related to the Expansion Premises shall run from the Expansion Premises</w:t>
      </w:r>
      <w:r>
        <w:rPr>
          <w:rFonts w:ascii="Times New Roman" w:cs="Times New Roman" w:eastAsia="Times New Roman" w:hAnsi="Times New Roman"/>
          <w:sz w:val="21"/>
          <w:szCs w:val="21"/>
          <w:b w:val="1"/>
          <w:bCs w:val="1"/>
          <w:color w:val="404040"/>
        </w:rPr>
        <w:t xml:space="preserve"> </w:t>
      </w:r>
      <w:r>
        <w:rPr>
          <w:rFonts w:ascii="Times New Roman" w:cs="Times New Roman" w:eastAsia="Times New Roman" w:hAnsi="Times New Roman"/>
          <w:sz w:val="21"/>
          <w:szCs w:val="21"/>
          <w:color w:val="404040"/>
        </w:rPr>
        <w:t>Commencement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04040"/>
        </w:rPr>
        <w:t>TAYSHA GENE THERAPIES</w:t>
      </w:r>
      <w:r>
        <w:rPr>
          <w:rFonts w:ascii="Times New Roman" w:cs="Times New Roman" w:eastAsia="Times New Roman" w:hAnsi="Times New Roman"/>
          <w:sz w:val="18"/>
          <w:szCs w:val="18"/>
          <w:color w:val="404040"/>
        </w:rPr>
        <w:t xml:space="preserve"> -FIRST AMENDMENT-Page </w:t>
      </w:r>
      <w:r>
        <w:rPr>
          <w:rFonts w:ascii="Times New Roman" w:cs="Times New Roman" w:eastAsia="Times New Roman" w:hAnsi="Times New Roman"/>
          <w:sz w:val="18"/>
          <w:szCs w:val="18"/>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4" w:name="page135"/>
    <w:bookmarkEnd w:id="134"/>
    <w:p>
      <w:pPr>
        <w:ind w:right="20" w:firstLine="802"/>
        <w:spacing w:after="0" w:line="272" w:lineRule="auto"/>
        <w:tabs>
          <w:tab w:leader="none" w:pos="1597" w:val="left"/>
        </w:tabs>
        <w:numPr>
          <w:ilvl w:val="0"/>
          <w:numId w:val="62"/>
        </w:numPr>
        <w:rPr>
          <w:rFonts w:ascii="Times New Roman" w:cs="Times New Roman" w:eastAsia="Times New Roman" w:hAnsi="Times New Roman"/>
          <w:sz w:val="21"/>
          <w:szCs w:val="21"/>
          <w:color w:val="404040"/>
        </w:rPr>
      </w:pPr>
      <w:r>
        <w:rPr>
          <w:rFonts w:ascii="Times New Roman" w:cs="Times New Roman" w:eastAsia="Times New Roman" w:hAnsi="Times New Roman"/>
          <w:sz w:val="21"/>
          <w:szCs w:val="21"/>
          <w:b w:val="1"/>
          <w:bCs w:val="1"/>
          <w:u w:val="single" w:color="auto"/>
          <w:color w:val="404040"/>
        </w:rPr>
        <w:t>Basic Rent</w:t>
      </w:r>
      <w:r>
        <w:rPr>
          <w:rFonts w:ascii="Times New Roman" w:cs="Times New Roman" w:eastAsia="Times New Roman" w:hAnsi="Times New Roman"/>
          <w:sz w:val="21"/>
          <w:szCs w:val="21"/>
          <w:b w:val="1"/>
          <w:bCs w:val="1"/>
          <w:color w:val="404040"/>
        </w:rPr>
        <w:t xml:space="preserve">. </w:t>
      </w:r>
      <w:r>
        <w:rPr>
          <w:rFonts w:ascii="Times New Roman" w:cs="Times New Roman" w:eastAsia="Times New Roman" w:hAnsi="Times New Roman"/>
          <w:sz w:val="21"/>
          <w:szCs w:val="21"/>
          <w:color w:val="404040"/>
        </w:rPr>
        <w:t>Beginning on the Expansion Premises Commencement Date, Basic Rent for the Expansion Premises</w:t>
      </w:r>
      <w:r>
        <w:rPr>
          <w:rFonts w:ascii="Times New Roman" w:cs="Times New Roman" w:eastAsia="Times New Roman" w:hAnsi="Times New Roman"/>
          <w:sz w:val="21"/>
          <w:szCs w:val="21"/>
          <w:b w:val="1"/>
          <w:bCs w:val="1"/>
          <w:color w:val="404040"/>
        </w:rPr>
        <w:t xml:space="preserve"> </w:t>
      </w:r>
      <w:r>
        <w:rPr>
          <w:rFonts w:ascii="Times New Roman" w:cs="Times New Roman" w:eastAsia="Times New Roman" w:hAnsi="Times New Roman"/>
          <w:sz w:val="21"/>
          <w:szCs w:val="21"/>
          <w:color w:val="404040"/>
        </w:rPr>
        <w:t>shall be the following amounts for the following periods of time:</w:t>
      </w:r>
    </w:p>
    <w:p>
      <w:pPr>
        <w:spacing w:after="0" w:line="166" w:lineRule="exact"/>
        <w:rPr>
          <w:sz w:val="20"/>
          <w:szCs w:val="20"/>
          <w:color w:val="auto"/>
        </w:rPr>
      </w:pPr>
    </w:p>
    <w:tbl>
      <w:tblPr>
        <w:tblLayout w:type="fixed"/>
        <w:tblInd w:w="1670" w:type="dxa"/>
        <w:tblCellMar>
          <w:top w:w="0" w:type="dxa"/>
          <w:left w:w="0" w:type="dxa"/>
          <w:bottom w:w="0" w:type="dxa"/>
          <w:right w:w="0" w:type="dxa"/>
        </w:tblCellMar>
      </w:tblPr>
      <w:tr>
        <w:trPr>
          <w:trHeight w:val="192"/>
        </w:trPr>
        <w:tc>
          <w:tcPr>
            <w:tcW w:w="2800" w:type="dxa"/>
            <w:vAlign w:val="bottom"/>
            <w:tcBorders>
              <w:top w:val="single" w:sz="8" w:color="auto"/>
              <w:left w:val="single" w:sz="8" w:color="auto"/>
              <w:right w:val="single" w:sz="8" w:color="auto"/>
            </w:tcBorders>
          </w:tcPr>
          <w:p>
            <w:pPr>
              <w:spacing w:after="0"/>
              <w:rPr>
                <w:sz w:val="16"/>
                <w:szCs w:val="16"/>
                <w:color w:val="auto"/>
              </w:rPr>
            </w:pPr>
          </w:p>
        </w:tc>
        <w:tc>
          <w:tcPr>
            <w:tcW w:w="2620" w:type="dxa"/>
            <w:vAlign w:val="bottom"/>
            <w:tcBorders>
              <w:top w:val="single" w:sz="8" w:color="auto"/>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22"/>
                <w:szCs w:val="22"/>
                <w:b w:val="1"/>
                <w:bCs w:val="1"/>
                <w:color w:val="404040"/>
              </w:rPr>
              <w:t>Annual Basic Rent Rate</w:t>
            </w:r>
          </w:p>
        </w:tc>
        <w:tc>
          <w:tcPr>
            <w:tcW w:w="2540" w:type="dxa"/>
            <w:vAlign w:val="bottom"/>
            <w:tcBorders>
              <w:top w:val="single" w:sz="8" w:color="auto"/>
              <w:right w:val="single" w:sz="8" w:color="auto"/>
            </w:tcBorders>
          </w:tcPr>
          <w:p>
            <w:pPr>
              <w:spacing w:after="0"/>
              <w:rPr>
                <w:sz w:val="16"/>
                <w:szCs w:val="16"/>
                <w:color w:val="auto"/>
              </w:rPr>
            </w:pPr>
          </w:p>
        </w:tc>
      </w:tr>
      <w:tr>
        <w:trPr>
          <w:trHeight w:val="216"/>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22"/>
                <w:szCs w:val="22"/>
                <w:b w:val="1"/>
                <w:bCs w:val="1"/>
                <w:color w:val="404040"/>
              </w:rPr>
              <w:t>Per</w:t>
            </w:r>
          </w:p>
        </w:tc>
        <w:tc>
          <w:tcPr>
            <w:tcW w:w="2540" w:type="dxa"/>
            <w:vAlign w:val="bottom"/>
            <w:tcBorders>
              <w:bottom w:val="single" w:sz="8" w:color="auto"/>
              <w:right w:val="single" w:sz="8" w:color="auto"/>
            </w:tcBorders>
          </w:tcPr>
          <w:p>
            <w:pPr>
              <w:spacing w:after="0"/>
              <w:rPr>
                <w:sz w:val="18"/>
                <w:szCs w:val="18"/>
                <w:color w:val="auto"/>
              </w:rPr>
            </w:pP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b w:val="1"/>
                <w:bCs w:val="1"/>
                <w:color w:val="404040"/>
              </w:rPr>
              <w:t>Lease Month</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b w:val="1"/>
                <w:bCs w:val="1"/>
                <w:color w:val="404040"/>
              </w:rPr>
              <w:t>Rentable Square Foot</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b w:val="1"/>
                <w:bCs w:val="1"/>
                <w:color w:val="404040"/>
              </w:rPr>
              <w:t>Monthly Basic Rent</w:t>
            </w: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04040"/>
              </w:rPr>
              <w:t>1 - 12</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1"/>
                <w:szCs w:val="21"/>
                <w:color w:val="404040"/>
              </w:rPr>
              <w:t>$26.00</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04040"/>
              </w:rPr>
              <w:t>$39,912.17</w:t>
            </w: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04040"/>
              </w:rPr>
              <w:t>13-24</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1"/>
                <w:szCs w:val="21"/>
                <w:color w:val="404040"/>
              </w:rPr>
              <w:t>$27.30</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04040"/>
              </w:rPr>
              <w:t>$41,907.78</w:t>
            </w: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04040"/>
              </w:rPr>
              <w:t>25-36</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1"/>
                <w:szCs w:val="21"/>
                <w:color w:val="404040"/>
              </w:rPr>
              <w:t>$28.67</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04040"/>
              </w:rPr>
              <w:t>$44,010.84</w:t>
            </w: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94949"/>
              </w:rPr>
              <w:t>37-48</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1"/>
                <w:szCs w:val="21"/>
                <w:color w:val="333333"/>
              </w:rPr>
              <w:t>$30.10</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333333"/>
              </w:rPr>
              <w:t>$46,206.01</w:t>
            </w: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94949"/>
              </w:rPr>
              <w:t>49-60</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1"/>
                <w:szCs w:val="21"/>
                <w:color w:val="333333"/>
              </w:rPr>
              <w:t>$31.60</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333333"/>
              </w:rPr>
              <w:t>$48,508.63</w:t>
            </w:r>
          </w:p>
        </w:tc>
      </w:tr>
      <w:tr>
        <w:trPr>
          <w:trHeight w:val="210"/>
        </w:trPr>
        <w:tc>
          <w:tcPr>
            <w:tcW w:w="2800" w:type="dxa"/>
            <w:vAlign w:val="bottom"/>
            <w:tcBorders>
              <w:left w:val="single" w:sz="8" w:color="auto"/>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21"/>
                <w:szCs w:val="21"/>
                <w:color w:val="494949"/>
              </w:rPr>
              <w:t>61-72</w:t>
            </w:r>
          </w:p>
        </w:tc>
        <w:tc>
          <w:tcPr>
            <w:tcW w:w="2620" w:type="dxa"/>
            <w:vAlign w:val="bottom"/>
            <w:tcBorders>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21"/>
                <w:szCs w:val="21"/>
                <w:color w:val="494949"/>
              </w:rPr>
              <w:t>$33.18</w:t>
            </w:r>
          </w:p>
        </w:tc>
        <w:tc>
          <w:tcPr>
            <w:tcW w:w="254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21"/>
                <w:szCs w:val="21"/>
                <w:color w:val="333333"/>
              </w:rPr>
              <w:t>$50,934.07</w:t>
            </w: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94949"/>
              </w:rPr>
              <w:t>73-84</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1"/>
                <w:szCs w:val="21"/>
                <w:color w:val="333333"/>
              </w:rPr>
              <w:t>$34.84</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333333"/>
              </w:rPr>
              <w:t>$53,482</w:t>
            </w:r>
            <w:r>
              <w:rPr>
                <w:rFonts w:ascii="Times New Roman" w:cs="Times New Roman" w:eastAsia="Times New Roman" w:hAnsi="Times New Roman"/>
                <w:sz w:val="21"/>
                <w:szCs w:val="21"/>
                <w:color w:val="5D5D5D"/>
              </w:rPr>
              <w:t>.</w:t>
            </w:r>
            <w:r>
              <w:rPr>
                <w:rFonts w:ascii="Times New Roman" w:cs="Times New Roman" w:eastAsia="Times New Roman" w:hAnsi="Times New Roman"/>
                <w:sz w:val="21"/>
                <w:szCs w:val="21"/>
                <w:color w:val="333333"/>
              </w:rPr>
              <w:t>30</w:t>
            </w: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94949"/>
              </w:rPr>
              <w:t>85-96</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1"/>
                <w:szCs w:val="21"/>
                <w:color w:val="333333"/>
              </w:rPr>
              <w:t>$36.58</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333333"/>
              </w:rPr>
              <w:t>$56,153.35</w:t>
            </w: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94949"/>
              </w:rPr>
              <w:t>97-1</w:t>
            </w:r>
            <w:r>
              <w:rPr>
                <w:rFonts w:ascii="Times New Roman" w:cs="Times New Roman" w:eastAsia="Times New Roman" w:hAnsi="Times New Roman"/>
                <w:sz w:val="21"/>
                <w:szCs w:val="21"/>
                <w:color w:val="181818"/>
              </w:rPr>
              <w:t>08</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1"/>
                <w:szCs w:val="21"/>
                <w:color w:val="333333"/>
              </w:rPr>
              <w:t>$38.41</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333333"/>
              </w:rPr>
              <w:t>$58,962.55</w:t>
            </w:r>
          </w:p>
        </w:tc>
      </w:tr>
      <w:tr>
        <w:trPr>
          <w:trHeight w:val="223"/>
        </w:trPr>
        <w:tc>
          <w:tcPr>
            <w:tcW w:w="2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494949"/>
              </w:rPr>
              <w:t>109-1</w:t>
            </w:r>
            <w:r>
              <w:rPr>
                <w:rFonts w:ascii="Times New Roman" w:cs="Times New Roman" w:eastAsia="Times New Roman" w:hAnsi="Times New Roman"/>
                <w:sz w:val="21"/>
                <w:szCs w:val="21"/>
                <w:color w:val="181818"/>
              </w:rPr>
              <w:t>20</w:t>
            </w:r>
          </w:p>
        </w:tc>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1"/>
                <w:szCs w:val="21"/>
                <w:color w:val="333333"/>
              </w:rPr>
              <w:t>$40.33</w:t>
            </w:r>
          </w:p>
        </w:tc>
        <w:tc>
          <w:tcPr>
            <w:tcW w:w="254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1"/>
                <w:szCs w:val="21"/>
                <w:color w:val="333333"/>
              </w:rPr>
              <w:t>$61,909.91</w:t>
            </w:r>
          </w:p>
        </w:tc>
      </w:tr>
    </w:tbl>
    <w:p>
      <w:pPr>
        <w:spacing w:after="0" w:line="222" w:lineRule="exact"/>
        <w:rPr>
          <w:sz w:val="20"/>
          <w:szCs w:val="20"/>
          <w:color w:val="auto"/>
        </w:rPr>
      </w:pPr>
    </w:p>
    <w:p>
      <w:pPr>
        <w:jc w:val="both"/>
        <w:ind w:firstLine="802"/>
        <w:spacing w:after="0" w:line="256" w:lineRule="auto"/>
        <w:tabs>
          <w:tab w:leader="none" w:pos="1597" w:val="left"/>
        </w:tabs>
        <w:numPr>
          <w:ilvl w:val="1"/>
          <w:numId w:val="63"/>
        </w:numPr>
        <w:rPr>
          <w:rFonts w:ascii="Times New Roman" w:cs="Times New Roman" w:eastAsia="Times New Roman" w:hAnsi="Times New Roman"/>
          <w:sz w:val="21"/>
          <w:szCs w:val="21"/>
          <w:color w:val="494949"/>
        </w:rPr>
      </w:pPr>
      <w:r>
        <w:rPr>
          <w:rFonts w:ascii="Times New Roman" w:cs="Times New Roman" w:eastAsia="Times New Roman" w:hAnsi="Times New Roman"/>
          <w:sz w:val="21"/>
          <w:szCs w:val="21"/>
          <w:b w:val="1"/>
          <w:bCs w:val="1"/>
          <w:u w:val="single" w:color="auto"/>
          <w:color w:val="494949"/>
        </w:rPr>
        <w:t>Tenant Improvements; Construction Allowance.</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The construction of the Work in the Expansion Premises shall</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be conducted consistent with Exhibit D of the Lease; provided, however, that the Construction Allowance, equal to $40 per rentable square foot, shall apply to the Expansion Premises only.</w:t>
      </w:r>
    </w:p>
    <w:p>
      <w:pPr>
        <w:spacing w:after="0" w:line="172" w:lineRule="exact"/>
        <w:rPr>
          <w:rFonts w:ascii="Times New Roman" w:cs="Times New Roman" w:eastAsia="Times New Roman" w:hAnsi="Times New Roman"/>
          <w:sz w:val="21"/>
          <w:szCs w:val="21"/>
          <w:color w:val="494949"/>
        </w:rPr>
      </w:pPr>
    </w:p>
    <w:p>
      <w:pPr>
        <w:ind w:right="20" w:firstLine="802"/>
        <w:spacing w:after="0" w:line="272" w:lineRule="auto"/>
        <w:tabs>
          <w:tab w:leader="none" w:pos="1597" w:val="left"/>
        </w:tabs>
        <w:numPr>
          <w:ilvl w:val="1"/>
          <w:numId w:val="63"/>
        </w:numPr>
        <w:rPr>
          <w:rFonts w:ascii="Times New Roman" w:cs="Times New Roman" w:eastAsia="Times New Roman" w:hAnsi="Times New Roman"/>
          <w:sz w:val="21"/>
          <w:szCs w:val="21"/>
          <w:color w:val="494949"/>
        </w:rPr>
      </w:pPr>
      <w:r>
        <w:rPr>
          <w:rFonts w:ascii="Times New Roman" w:cs="Times New Roman" w:eastAsia="Times New Roman" w:hAnsi="Times New Roman"/>
          <w:sz w:val="21"/>
          <w:szCs w:val="21"/>
          <w:b w:val="1"/>
          <w:bCs w:val="1"/>
          <w:u w:val="single" w:color="auto"/>
          <w:color w:val="494949"/>
        </w:rPr>
        <w:t>Right of First Refusal.</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Tenant shall have a right of first refusal with respect to space on the 15</w:t>
      </w:r>
      <w:r>
        <w:rPr>
          <w:rFonts w:ascii="Times New Roman" w:cs="Times New Roman" w:eastAsia="Times New Roman" w:hAnsi="Times New Roman"/>
          <w:sz w:val="17"/>
          <w:szCs w:val="17"/>
          <w:color w:val="494949"/>
        </w:rPr>
        <w:t>th</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floor of the</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Building, as provided in Exhibit B, attached hereto and made a part hereof for all purposes.</w:t>
      </w:r>
    </w:p>
    <w:p>
      <w:pPr>
        <w:spacing w:after="0" w:line="154" w:lineRule="exact"/>
        <w:rPr>
          <w:rFonts w:ascii="Times New Roman" w:cs="Times New Roman" w:eastAsia="Times New Roman" w:hAnsi="Times New Roman"/>
          <w:sz w:val="21"/>
          <w:szCs w:val="21"/>
          <w:color w:val="494949"/>
        </w:rPr>
      </w:pPr>
    </w:p>
    <w:p>
      <w:pPr>
        <w:jc w:val="both"/>
        <w:ind w:firstLine="802"/>
        <w:spacing w:after="0" w:line="254" w:lineRule="auto"/>
        <w:tabs>
          <w:tab w:leader="none" w:pos="1597" w:val="left"/>
        </w:tabs>
        <w:numPr>
          <w:ilvl w:val="1"/>
          <w:numId w:val="63"/>
        </w:numPr>
        <w:rPr>
          <w:rFonts w:ascii="Times New Roman" w:cs="Times New Roman" w:eastAsia="Times New Roman" w:hAnsi="Times New Roman"/>
          <w:sz w:val="21"/>
          <w:szCs w:val="21"/>
          <w:color w:val="494949"/>
        </w:rPr>
      </w:pPr>
      <w:r>
        <w:rPr>
          <w:rFonts w:ascii="Times New Roman" w:cs="Times New Roman" w:eastAsia="Times New Roman" w:hAnsi="Times New Roman"/>
          <w:sz w:val="21"/>
          <w:szCs w:val="21"/>
          <w:b w:val="1"/>
          <w:bCs w:val="1"/>
          <w:u w:val="single" w:color="auto"/>
          <w:color w:val="494949"/>
        </w:rPr>
        <w:t>Ratification; Governing Law.</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Tenant hereby ratifies and confirms its obligations under the Lease, and represents</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and wan-ants to Landlord that it has no defenses thereto. Additionally, Tenant further confirms and ratifies that, as of the date hereof,</w:t>
      </w:r>
    </w:p>
    <w:p>
      <w:pPr>
        <w:jc w:val="both"/>
        <w:ind w:firstLine="8"/>
        <w:spacing w:after="0" w:line="242" w:lineRule="auto"/>
        <w:tabs>
          <w:tab w:leader="none" w:pos="279" w:val="left"/>
        </w:tabs>
        <w:numPr>
          <w:ilvl w:val="0"/>
          <w:numId w:val="64"/>
        </w:numPr>
        <w:rPr>
          <w:rFonts w:ascii="Times New Roman" w:cs="Times New Roman" w:eastAsia="Times New Roman" w:hAnsi="Times New Roman"/>
          <w:sz w:val="21"/>
          <w:szCs w:val="21"/>
          <w:color w:val="494949"/>
        </w:rPr>
      </w:pPr>
      <w:r>
        <w:rPr>
          <w:rFonts w:ascii="Times New Roman" w:cs="Times New Roman" w:eastAsia="Times New Roman" w:hAnsi="Times New Roman"/>
          <w:sz w:val="21"/>
          <w:szCs w:val="21"/>
          <w:color w:val="494949"/>
        </w:rPr>
        <w:t>the Lease is and remains in good standing and in full force and effect, (b) Tenant has no claims, counterclaims, set offs or defenses against Landlord arising out of the Lease or in any way relating thereto or arising out of any other transaction between Landlord and Tenant, and (c) except as expressly provided for in this Amendment, all tenant finish-work allowances provided to Tenant under the Lease or otherwise, if any, have been paid in full by Landlord to Tenant, and Landlord has no further obligations with respect thereto. Except as modified hereby, the Lease shall remain in full effect and this Amendment shall be binding upon Landlord and Tenant and their respective successors and assigns. If any inconsistency exists or arises between the terms of the Lease and the terms of this Amendment, the terms of this Amendment shall prevail. This Amendment shall be governed by the laws of the State in which the Premises is located.</w:t>
      </w:r>
    </w:p>
    <w:p>
      <w:pPr>
        <w:spacing w:after="0" w:line="186" w:lineRule="exact"/>
        <w:rPr>
          <w:rFonts w:ascii="Times New Roman" w:cs="Times New Roman" w:eastAsia="Times New Roman" w:hAnsi="Times New Roman"/>
          <w:sz w:val="21"/>
          <w:szCs w:val="21"/>
          <w:color w:val="494949"/>
        </w:rPr>
      </w:pPr>
    </w:p>
    <w:p>
      <w:pPr>
        <w:ind w:firstLine="802"/>
        <w:spacing w:after="0" w:line="272" w:lineRule="auto"/>
        <w:tabs>
          <w:tab w:leader="none" w:pos="1597" w:val="left"/>
        </w:tabs>
        <w:numPr>
          <w:ilvl w:val="1"/>
          <w:numId w:val="64"/>
        </w:numPr>
        <w:rPr>
          <w:rFonts w:ascii="Times New Roman" w:cs="Times New Roman" w:eastAsia="Times New Roman" w:hAnsi="Times New Roman"/>
          <w:sz w:val="21"/>
          <w:szCs w:val="21"/>
          <w:color w:val="494949"/>
        </w:rPr>
      </w:pPr>
      <w:r>
        <w:rPr>
          <w:rFonts w:ascii="Times New Roman" w:cs="Times New Roman" w:eastAsia="Times New Roman" w:hAnsi="Times New Roman"/>
          <w:sz w:val="21"/>
          <w:szCs w:val="21"/>
          <w:b w:val="1"/>
          <w:bCs w:val="1"/>
          <w:u w:val="single" w:color="auto"/>
          <w:color w:val="494949"/>
        </w:rPr>
        <w:t>Counterparts.</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This Amendment may be executed in multiple counterparts, each of which</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333333"/>
        </w:rPr>
        <w:t>shall</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constitute an</w:t>
      </w:r>
      <w:r>
        <w:rPr>
          <w:rFonts w:ascii="Times New Roman" w:cs="Times New Roman" w:eastAsia="Times New Roman" w:hAnsi="Times New Roman"/>
          <w:sz w:val="21"/>
          <w:szCs w:val="21"/>
          <w:b w:val="1"/>
          <w:bCs w:val="1"/>
          <w:color w:val="494949"/>
        </w:rPr>
        <w:t xml:space="preserve"> </w:t>
      </w:r>
      <w:r>
        <w:rPr>
          <w:rFonts w:ascii="Times New Roman" w:cs="Times New Roman" w:eastAsia="Times New Roman" w:hAnsi="Times New Roman"/>
          <w:sz w:val="21"/>
          <w:szCs w:val="21"/>
          <w:color w:val="494949"/>
        </w:rPr>
        <w:t>original, but all of which shall constitute one document.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5D5D5D"/>
        </w:rPr>
        <w:t>[Sign</w:t>
      </w:r>
      <w:r>
        <w:rPr>
          <w:rFonts w:ascii="Times New Roman" w:cs="Times New Roman" w:eastAsia="Times New Roman" w:hAnsi="Times New Roman"/>
          <w:sz w:val="21"/>
          <w:szCs w:val="21"/>
          <w:b w:val="1"/>
          <w:bCs w:val="1"/>
          <w:i w:val="1"/>
          <w:iCs w:val="1"/>
          <w:color w:val="333333"/>
        </w:rPr>
        <w:t>ature</w:t>
      </w:r>
      <w:r>
        <w:rPr>
          <w:rFonts w:ascii="Times New Roman" w:cs="Times New Roman" w:eastAsia="Times New Roman" w:hAnsi="Times New Roman"/>
          <w:sz w:val="21"/>
          <w:szCs w:val="21"/>
          <w:b w:val="1"/>
          <w:bCs w:val="1"/>
          <w:i w:val="1"/>
          <w:iCs w:val="1"/>
          <w:color w:val="5D5D5D"/>
        </w:rPr>
        <w:t xml:space="preserve"> </w:t>
      </w:r>
      <w:r>
        <w:rPr>
          <w:rFonts w:ascii="Times New Roman" w:cs="Times New Roman" w:eastAsia="Times New Roman" w:hAnsi="Times New Roman"/>
          <w:sz w:val="21"/>
          <w:szCs w:val="21"/>
          <w:b w:val="1"/>
          <w:bCs w:val="1"/>
          <w:i w:val="1"/>
          <w:iCs w:val="1"/>
          <w:color w:val="494949"/>
        </w:rPr>
        <w:t>Page Follows]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04040"/>
        </w:rPr>
        <w:t>TAYSHA GENE THERAPIES</w:t>
      </w:r>
      <w:r>
        <w:rPr>
          <w:rFonts w:ascii="Times New Roman" w:cs="Times New Roman" w:eastAsia="Times New Roman" w:hAnsi="Times New Roman"/>
          <w:sz w:val="18"/>
          <w:szCs w:val="18"/>
          <w:color w:val="404040"/>
        </w:rPr>
        <w:t xml:space="preserve"> -FIRST AMENDMENT-Page </w:t>
      </w:r>
      <w:r>
        <w:rPr>
          <w:rFonts w:ascii="Times New Roman" w:cs="Times New Roman" w:eastAsia="Times New Roman" w:hAnsi="Times New Roman"/>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ind w:left="800"/>
        <w:spacing w:after="0"/>
        <w:rPr>
          <w:sz w:val="20"/>
          <w:szCs w:val="20"/>
          <w:color w:val="auto"/>
        </w:rPr>
      </w:pPr>
      <w:r>
        <w:rPr>
          <w:rFonts w:ascii="Times New Roman" w:cs="Times New Roman" w:eastAsia="Times New Roman" w:hAnsi="Times New Roman"/>
          <w:sz w:val="21"/>
          <w:szCs w:val="21"/>
          <w:color w:val="464848"/>
        </w:rPr>
        <w:t>Executed as of the date first written above.</w:t>
      </w:r>
    </w:p>
    <w:p>
      <w:pPr>
        <w:spacing w:after="0" w:line="24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b w:val="1"/>
          <w:bCs w:val="1"/>
          <w:color w:val="464848"/>
        </w:rPr>
        <w:t>LANDLORD:</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b w:val="1"/>
          <w:bCs w:val="1"/>
          <w:color w:val="464848"/>
        </w:rPr>
        <w:t>PEGASUS PARK, LLC,</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1" w:lineRule="exact"/>
        <w:rPr>
          <w:sz w:val="20"/>
          <w:szCs w:val="20"/>
          <w:color w:val="auto"/>
        </w:rPr>
      </w:pPr>
    </w:p>
    <w:p>
      <w:pPr>
        <w:ind w:left="4900"/>
        <w:spacing w:after="0"/>
        <w:tabs>
          <w:tab w:leader="none" w:pos="5760" w:val="left"/>
        </w:tabs>
        <w:rPr>
          <w:sz w:val="20"/>
          <w:szCs w:val="20"/>
          <w:color w:val="auto"/>
        </w:rPr>
      </w:pPr>
      <w:r>
        <w:rPr>
          <w:rFonts w:ascii="Times New Roman" w:cs="Times New Roman" w:eastAsia="Times New Roman" w:hAnsi="Times New Roman"/>
          <w:sz w:val="21"/>
          <w:szCs w:val="21"/>
          <w:b w:val="1"/>
          <w:bCs w:val="1"/>
          <w:color w:val="auto"/>
        </w:rPr>
        <w:t>Name:</w:t>
      </w:r>
      <w:r>
        <w:rPr>
          <w:sz w:val="20"/>
          <w:szCs w:val="20"/>
          <w:color w:val="auto"/>
        </w:rPr>
        <w:tab/>
      </w:r>
      <w:r>
        <w:rPr>
          <w:rFonts w:ascii="Times New Roman" w:cs="Times New Roman" w:eastAsia="Times New Roman" w:hAnsi="Times New Roman"/>
          <w:sz w:val="21"/>
          <w:szCs w:val="21"/>
          <w:color w:val="auto"/>
        </w:rPr>
        <w:t>Justin A. Small</w:t>
      </w:r>
    </w:p>
    <w:p>
      <w:pPr>
        <w:spacing w:after="0" w:line="12" w:lineRule="exact"/>
        <w:rPr>
          <w:sz w:val="20"/>
          <w:szCs w:val="20"/>
          <w:color w:val="auto"/>
        </w:rPr>
      </w:pPr>
    </w:p>
    <w:p>
      <w:pPr>
        <w:ind w:left="4900"/>
        <w:spacing w:after="0"/>
        <w:tabs>
          <w:tab w:leader="none" w:pos="5760" w:val="left"/>
        </w:tabs>
        <w:rPr>
          <w:sz w:val="20"/>
          <w:szCs w:val="20"/>
          <w:color w:val="auto"/>
        </w:rPr>
      </w:pPr>
      <w:r>
        <w:rPr>
          <w:rFonts w:ascii="Times New Roman" w:cs="Times New Roman" w:eastAsia="Times New Roman" w:hAnsi="Times New Roman"/>
          <w:sz w:val="21"/>
          <w:szCs w:val="21"/>
          <w:b w:val="1"/>
          <w:bCs w:val="1"/>
          <w:color w:val="auto"/>
        </w:rPr>
        <w:t>Title:</w:t>
      </w:r>
      <w:r>
        <w:rPr>
          <w:sz w:val="20"/>
          <w:szCs w:val="20"/>
          <w:color w:val="auto"/>
        </w:rPr>
        <w:tab/>
      </w:r>
      <w:r>
        <w:rPr>
          <w:rFonts w:ascii="Times New Roman" w:cs="Times New Roman" w:eastAsia="Times New Roman" w:hAnsi="Times New Roman"/>
          <w:sz w:val="21"/>
          <w:szCs w:val="21"/>
          <w:color w:val="auto"/>
        </w:rPr>
        <w:t>President</w:t>
      </w:r>
    </w:p>
    <w:p>
      <w:pPr>
        <w:spacing w:after="0" w:line="2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b w:val="1"/>
          <w:bCs w:val="1"/>
          <w:color w:val="464848"/>
        </w:rPr>
        <w:t>TENANT:</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464848"/>
        </w:rPr>
        <w:t>TAYSHA GENE THERAPIES, INC.,</w:t>
      </w:r>
    </w:p>
    <w:p>
      <w:pPr>
        <w:spacing w:after="0" w:line="2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Aa Delaware Corporation</w:t>
      </w:r>
    </w:p>
    <w:p>
      <w:pPr>
        <w:spacing w:after="0" w:line="24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1" w:lineRule="exact"/>
        <w:rPr>
          <w:sz w:val="20"/>
          <w:szCs w:val="20"/>
          <w:color w:val="auto"/>
        </w:rPr>
      </w:pPr>
    </w:p>
    <w:p>
      <w:pPr>
        <w:ind w:left="4900"/>
        <w:spacing w:after="0"/>
        <w:tabs>
          <w:tab w:leader="none" w:pos="5760" w:val="left"/>
        </w:tabs>
        <w:rPr>
          <w:sz w:val="20"/>
          <w:szCs w:val="20"/>
          <w:color w:val="auto"/>
        </w:rPr>
      </w:pPr>
      <w:r>
        <w:rPr>
          <w:rFonts w:ascii="Times New Roman" w:cs="Times New Roman" w:eastAsia="Times New Roman" w:hAnsi="Times New Roman"/>
          <w:sz w:val="21"/>
          <w:szCs w:val="21"/>
          <w:b w:val="1"/>
          <w:bCs w:val="1"/>
          <w:color w:val="auto"/>
        </w:rPr>
        <w:t>Name:</w:t>
      </w:r>
      <w:r>
        <w:rPr>
          <w:sz w:val="20"/>
          <w:szCs w:val="20"/>
          <w:color w:val="auto"/>
        </w:rPr>
        <w:tab/>
      </w:r>
      <w:r>
        <w:rPr>
          <w:rFonts w:ascii="Times New Roman" w:cs="Times New Roman" w:eastAsia="Times New Roman" w:hAnsi="Times New Roman"/>
          <w:sz w:val="21"/>
          <w:szCs w:val="21"/>
          <w:color w:val="auto"/>
        </w:rPr>
        <w:t>Kamran Alam</w:t>
      </w:r>
    </w:p>
    <w:p>
      <w:pPr>
        <w:spacing w:after="0" w:line="12" w:lineRule="exact"/>
        <w:rPr>
          <w:sz w:val="20"/>
          <w:szCs w:val="20"/>
          <w:color w:val="auto"/>
        </w:rPr>
      </w:pPr>
    </w:p>
    <w:p>
      <w:pPr>
        <w:ind w:left="4900"/>
        <w:spacing w:after="0"/>
        <w:tabs>
          <w:tab w:leader="none" w:pos="5760" w:val="left"/>
        </w:tabs>
        <w:rPr>
          <w:sz w:val="20"/>
          <w:szCs w:val="20"/>
          <w:color w:val="auto"/>
        </w:rPr>
      </w:pPr>
      <w:r>
        <w:rPr>
          <w:rFonts w:ascii="Times New Roman" w:cs="Times New Roman" w:eastAsia="Times New Roman" w:hAnsi="Times New Roman"/>
          <w:sz w:val="21"/>
          <w:szCs w:val="21"/>
          <w:b w:val="1"/>
          <w:bCs w:val="1"/>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04040"/>
        </w:rPr>
        <w:t>TAYSHA GENE THERAPIES</w:t>
      </w:r>
      <w:r>
        <w:rPr>
          <w:rFonts w:ascii="Times New Roman" w:cs="Times New Roman" w:eastAsia="Times New Roman" w:hAnsi="Times New Roman"/>
          <w:sz w:val="18"/>
          <w:szCs w:val="18"/>
          <w:color w:val="404040"/>
        </w:rPr>
        <w:t xml:space="preserve"> -FIRST AMENDMENT-Page </w:t>
      </w:r>
      <w:r>
        <w:rPr>
          <w:rFonts w:ascii="Times New Roman" w:cs="Times New Roman" w:eastAsia="Times New Roman" w:hAnsi="Times New Roman"/>
          <w:sz w:val="18"/>
          <w:szCs w:val="18"/>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50" w:right="1440" w:bottom="1440" w:gutter="0" w:footer="0" w:header="0"/>
        </w:sectPr>
      </w:pPr>
    </w:p>
    <w:bookmarkStart w:id="136" w:name="page137"/>
    <w:bookmarkEnd w:id="136"/>
    <w:p>
      <w:pPr>
        <w:jc w:val="center"/>
        <w:ind w:right="-1120"/>
        <w:spacing w:after="0"/>
        <w:rPr>
          <w:sz w:val="20"/>
          <w:szCs w:val="20"/>
          <w:color w:val="auto"/>
        </w:rPr>
      </w:pPr>
      <w:r>
        <w:rPr>
          <w:rFonts w:ascii="Times New Roman" w:cs="Times New Roman" w:eastAsia="Times New Roman" w:hAnsi="Times New Roman"/>
          <w:sz w:val="21"/>
          <w:szCs w:val="21"/>
          <w:b w:val="1"/>
          <w:bCs w:val="1"/>
          <w:color w:val="464B4B"/>
        </w:rPr>
        <w:t>EXHIBIT A</w:t>
      </w:r>
    </w:p>
    <w:p>
      <w:pPr>
        <w:spacing w:after="0" w:line="245"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21"/>
          <w:szCs w:val="21"/>
          <w:b w:val="1"/>
          <w:bCs w:val="1"/>
          <w:color w:val="464B4B"/>
        </w:rPr>
        <w:t>Depiction of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14605</wp:posOffset>
            </wp:positionV>
            <wp:extent cx="4329430" cy="2211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432943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D69"/>
        </w:rPr>
        <w:t xml:space="preserve">TAYSHA </w:t>
      </w:r>
      <w:r>
        <w:rPr>
          <w:rFonts w:ascii="Times New Roman" w:cs="Times New Roman" w:eastAsia="Times New Roman" w:hAnsi="Times New Roman"/>
          <w:sz w:val="18"/>
          <w:szCs w:val="18"/>
          <w:color w:val="696B7B"/>
        </w:rPr>
        <w:t>• L</w:t>
      </w:r>
      <w:r>
        <w:rPr>
          <w:rFonts w:ascii="Times New Roman" w:cs="Times New Roman" w:eastAsia="Times New Roman" w:hAnsi="Times New Roman"/>
          <w:sz w:val="18"/>
          <w:szCs w:val="18"/>
          <w:color w:val="464B4B"/>
        </w:rPr>
        <w:t>E</w:t>
      </w:r>
      <w:r>
        <w:rPr>
          <w:rFonts w:ascii="Times New Roman" w:cs="Times New Roman" w:eastAsia="Times New Roman" w:hAnsi="Times New Roman"/>
          <w:sz w:val="18"/>
          <w:szCs w:val="18"/>
          <w:color w:val="696B7B"/>
        </w:rPr>
        <w:t>V</w:t>
      </w:r>
      <w:r>
        <w:rPr>
          <w:rFonts w:ascii="Times New Roman" w:cs="Times New Roman" w:eastAsia="Times New Roman" w:hAnsi="Times New Roman"/>
          <w:sz w:val="18"/>
          <w:szCs w:val="18"/>
          <w:color w:val="464B4B"/>
        </w:rPr>
        <w:t>E</w:t>
      </w:r>
      <w:r>
        <w:rPr>
          <w:rFonts w:ascii="Times New Roman" w:cs="Times New Roman" w:eastAsia="Times New Roman" w:hAnsi="Times New Roman"/>
          <w:sz w:val="18"/>
          <w:szCs w:val="18"/>
          <w:color w:val="4D648C"/>
        </w:rPr>
        <w:t>L</w:t>
      </w:r>
      <w:r>
        <w:rPr>
          <w:rFonts w:ascii="Times New Roman" w:cs="Times New Roman" w:eastAsia="Times New Roman" w:hAnsi="Times New Roman"/>
          <w:sz w:val="18"/>
          <w:szCs w:val="18"/>
          <w:color w:val="595D69"/>
        </w:rPr>
        <w:t xml:space="preserve"> 14 </w:t>
      </w:r>
      <w:r>
        <w:rPr>
          <w:rFonts w:ascii="Times New Roman" w:cs="Times New Roman" w:eastAsia="Times New Roman" w:hAnsi="Times New Roman"/>
          <w:sz w:val="18"/>
          <w:szCs w:val="18"/>
          <w:color w:val="464B4B"/>
        </w:rPr>
        <w:t>TE</w:t>
      </w:r>
      <w:r>
        <w:rPr>
          <w:rFonts w:ascii="Times New Roman" w:cs="Times New Roman" w:eastAsia="Times New Roman" w:hAnsi="Times New Roman"/>
          <w:sz w:val="18"/>
          <w:szCs w:val="18"/>
          <w:color w:val="595D69"/>
        </w:rPr>
        <w:t>ST F</w:t>
      </w:r>
      <w:r>
        <w:rPr>
          <w:rFonts w:ascii="Times New Roman" w:cs="Times New Roman" w:eastAsia="Times New Roman" w:hAnsi="Times New Roman"/>
          <w:sz w:val="18"/>
          <w:szCs w:val="18"/>
          <w:color w:val="7E90B1"/>
        </w:rPr>
        <w:t>I</w:t>
      </w:r>
      <w:r>
        <w:rPr>
          <w:rFonts w:ascii="Times New Roman" w:cs="Times New Roman" w:eastAsia="Times New Roman" w:hAnsi="Times New Roman"/>
          <w:sz w:val="18"/>
          <w:szCs w:val="18"/>
          <w:color w:val="464B4B"/>
        </w:rPr>
        <w: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5657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464B4B"/>
        </w:rPr>
        <w:t>TAYSHA GEN</w:t>
      </w:r>
      <w:r>
        <w:rPr>
          <w:rFonts w:ascii="Times New Roman" w:cs="Times New Roman" w:eastAsia="Times New Roman" w:hAnsi="Times New Roman"/>
          <w:sz w:val="16"/>
          <w:szCs w:val="16"/>
          <w:u w:val="single" w:color="auto"/>
          <w:color w:val="595D69"/>
        </w:rPr>
        <w:t>E</w:t>
      </w:r>
      <w:r>
        <w:rPr>
          <w:rFonts w:ascii="Times New Roman" w:cs="Times New Roman" w:eastAsia="Times New Roman" w:hAnsi="Times New Roman"/>
          <w:sz w:val="16"/>
          <w:szCs w:val="16"/>
          <w:color w:val="464B4B"/>
        </w:rPr>
        <w:t xml:space="preserve"> </w:t>
      </w:r>
      <w:r>
        <w:rPr>
          <w:rFonts w:ascii="Times New Roman" w:cs="Times New Roman" w:eastAsia="Times New Roman" w:hAnsi="Times New Roman"/>
          <w:sz w:val="16"/>
          <w:szCs w:val="16"/>
          <w:u w:val="single" w:color="auto"/>
          <w:color w:val="464B4B"/>
        </w:rPr>
        <w:t>THERAPIES</w:t>
      </w:r>
      <w:r>
        <w:rPr>
          <w:rFonts w:ascii="Times New Roman" w:cs="Times New Roman" w:eastAsia="Times New Roman" w:hAnsi="Times New Roman"/>
          <w:sz w:val="16"/>
          <w:szCs w:val="16"/>
          <w:color w:val="464B4B"/>
        </w:rPr>
        <w:t xml:space="preserve"> </w:t>
      </w:r>
      <w:r>
        <w:rPr>
          <w:rFonts w:ascii="Times New Roman" w:cs="Times New Roman" w:eastAsia="Times New Roman" w:hAnsi="Times New Roman"/>
          <w:sz w:val="16"/>
          <w:szCs w:val="16"/>
          <w:color w:val="1A1A1A"/>
        </w:rPr>
        <w:t>-</w:t>
      </w:r>
      <w:r>
        <w:rPr>
          <w:rFonts w:ascii="Times New Roman" w:cs="Times New Roman" w:eastAsia="Times New Roman" w:hAnsi="Times New Roman"/>
          <w:sz w:val="16"/>
          <w:szCs w:val="16"/>
          <w:color w:val="464B4B"/>
        </w:rPr>
        <w:t xml:space="preserve"> FIRST AMENDMENT </w:t>
      </w:r>
      <w:r>
        <w:rPr>
          <w:rFonts w:ascii="Times New Roman" w:cs="Times New Roman" w:eastAsia="Times New Roman" w:hAnsi="Times New Roman"/>
          <w:sz w:val="16"/>
          <w:szCs w:val="16"/>
          <w:color w:val="080808"/>
        </w:rPr>
        <w:t>-</w:t>
      </w:r>
      <w:r>
        <w:rPr>
          <w:rFonts w:ascii="Times New Roman" w:cs="Times New Roman" w:eastAsia="Times New Roman" w:hAnsi="Times New Roman"/>
          <w:sz w:val="16"/>
          <w:szCs w:val="16"/>
          <w:color w:val="464B4B"/>
        </w:rPr>
        <w:t xml:space="preserve"> Exhibit A </w:t>
      </w:r>
      <w:r>
        <w:rPr>
          <w:rFonts w:ascii="Times New Roman" w:cs="Times New Roman" w:eastAsia="Times New Roman" w:hAnsi="Times New Roman"/>
          <w:sz w:val="16"/>
          <w:szCs w:val="16"/>
          <w:color w:val="080808"/>
        </w:rPr>
        <w:t>-</w:t>
      </w:r>
      <w:r>
        <w:rPr>
          <w:rFonts w:ascii="Times New Roman" w:cs="Times New Roman" w:eastAsia="Times New Roman" w:hAnsi="Times New Roman"/>
          <w:sz w:val="16"/>
          <w:szCs w:val="16"/>
          <w:color w:val="464B4B"/>
        </w:rPr>
        <w:t xml:space="preserve"> Pag</w:t>
      </w:r>
      <w:r>
        <w:rPr>
          <w:rFonts w:ascii="Times New Roman" w:cs="Times New Roman" w:eastAsia="Times New Roman" w:hAnsi="Times New Roman"/>
          <w:sz w:val="16"/>
          <w:szCs w:val="16"/>
          <w:color w:val="2A2A2A"/>
        </w:rPr>
        <w:t>e</w:t>
      </w:r>
      <w:r>
        <w:rPr>
          <w:rFonts w:ascii="Times New Roman" w:cs="Times New Roman" w:eastAsia="Times New Roman" w:hAnsi="Times New Roman"/>
          <w:sz w:val="16"/>
          <w:szCs w:val="16"/>
          <w:color w:val="464B4B"/>
        </w:rPr>
        <w:t xml:space="preserve"> </w:t>
      </w:r>
      <w:r>
        <w:rPr>
          <w:rFonts w:ascii="Times New Roman" w:cs="Times New Roman" w:eastAsia="Times New Roman" w:hAnsi="Times New Roman"/>
          <w:sz w:val="16"/>
          <w:szCs w:val="16"/>
          <w:color w:val="595D69"/>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48"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1"/>
          <w:szCs w:val="21"/>
          <w:b w:val="1"/>
          <w:bCs w:val="1"/>
          <w:color w:val="4B4B4B"/>
        </w:rPr>
        <w:t>EXHIBITB</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4B4B4B"/>
        </w:rPr>
        <w:t>RIGHT OF FIRST REFUSAL</w:t>
      </w:r>
    </w:p>
    <w:p>
      <w:pPr>
        <w:spacing w:after="0" w:line="247" w:lineRule="exact"/>
        <w:rPr>
          <w:sz w:val="20"/>
          <w:szCs w:val="20"/>
          <w:color w:val="auto"/>
        </w:rPr>
      </w:pPr>
    </w:p>
    <w:p>
      <w:pPr>
        <w:jc w:val="both"/>
        <w:ind w:firstLine="794"/>
        <w:spacing w:after="0" w:line="266" w:lineRule="auto"/>
        <w:rPr>
          <w:sz w:val="20"/>
          <w:szCs w:val="20"/>
          <w:color w:val="auto"/>
        </w:rPr>
      </w:pPr>
      <w:r>
        <w:rPr>
          <w:rFonts w:ascii="Times New Roman" w:cs="Times New Roman" w:eastAsia="Times New Roman" w:hAnsi="Times New Roman"/>
          <w:sz w:val="20"/>
          <w:szCs w:val="20"/>
          <w:color w:val="4B4B4B"/>
        </w:rPr>
        <w:t>Provided no Event of Default exists and Tenant is occupying the entire Premises, before Landlord accepts any offer for space on the 15</w:t>
      </w:r>
      <w:r>
        <w:rPr>
          <w:rFonts w:ascii="Times New Roman" w:cs="Times New Roman" w:eastAsia="Times New Roman" w:hAnsi="Times New Roman"/>
          <w:sz w:val="16"/>
          <w:szCs w:val="16"/>
          <w:color w:val="4B4B4B"/>
        </w:rPr>
        <w:t>th</w:t>
      </w:r>
      <w:r>
        <w:rPr>
          <w:rFonts w:ascii="Times New Roman" w:cs="Times New Roman" w:eastAsia="Times New Roman" w:hAnsi="Times New Roman"/>
          <w:sz w:val="20"/>
          <w:szCs w:val="20"/>
          <w:color w:val="4B4B4B"/>
        </w:rPr>
        <w:t xml:space="preserve"> floor of the Building (the </w:t>
      </w:r>
      <w:r>
        <w:rPr>
          <w:rFonts w:ascii="Times New Roman" w:cs="Times New Roman" w:eastAsia="Times New Roman" w:hAnsi="Times New Roman"/>
          <w:sz w:val="20"/>
          <w:szCs w:val="20"/>
          <w:b w:val="1"/>
          <w:bCs w:val="1"/>
          <w:u w:val="single" w:color="auto"/>
          <w:color w:val="606060"/>
        </w:rPr>
        <w:t>"ROFR</w:t>
      </w:r>
      <w:r>
        <w:rPr>
          <w:rFonts w:ascii="Times New Roman" w:cs="Times New Roman" w:eastAsia="Times New Roman" w:hAnsi="Times New Roman"/>
          <w:sz w:val="20"/>
          <w:szCs w:val="20"/>
          <w:color w:val="4B4B4B"/>
        </w:rPr>
        <w:t xml:space="preserve"> </w:t>
      </w:r>
      <w:r>
        <w:rPr>
          <w:rFonts w:ascii="Times New Roman" w:cs="Times New Roman" w:eastAsia="Times New Roman" w:hAnsi="Times New Roman"/>
          <w:sz w:val="20"/>
          <w:szCs w:val="20"/>
          <w:b w:val="1"/>
          <w:bCs w:val="1"/>
          <w:u w:val="single" w:color="auto"/>
          <w:color w:val="4B4B4B"/>
        </w:rPr>
        <w:t>Space")</w:t>
      </w:r>
      <w:r>
        <w:rPr>
          <w:rFonts w:ascii="Times New Roman" w:cs="Times New Roman" w:eastAsia="Times New Roman" w:hAnsi="Times New Roman"/>
          <w:sz w:val="20"/>
          <w:szCs w:val="20"/>
          <w:color w:val="4B4B4B"/>
        </w:rPr>
        <w:t xml:space="preserve"> from any third party, Landlord shall provide Tenant with notice, in writing of</w:t>
      </w:r>
    </w:p>
    <w:p>
      <w:pPr>
        <w:jc w:val="both"/>
        <w:spacing w:after="0" w:line="254" w:lineRule="auto"/>
        <w:rPr>
          <w:sz w:val="20"/>
          <w:szCs w:val="20"/>
          <w:color w:val="auto"/>
        </w:rPr>
      </w:pPr>
      <w:r>
        <w:rPr>
          <w:rFonts w:ascii="Times New Roman" w:cs="Times New Roman" w:eastAsia="Times New Roman" w:hAnsi="Times New Roman"/>
          <w:sz w:val="20"/>
          <w:szCs w:val="20"/>
          <w:color w:val="4B4B4B"/>
        </w:rPr>
        <w:t xml:space="preserve">the terms and conditions of such offer (the </w:t>
      </w:r>
      <w:r>
        <w:rPr>
          <w:rFonts w:ascii="Times New Roman" w:cs="Times New Roman" w:eastAsia="Times New Roman" w:hAnsi="Times New Roman"/>
          <w:sz w:val="20"/>
          <w:szCs w:val="20"/>
          <w:b w:val="1"/>
          <w:bCs w:val="1"/>
          <w:u w:val="single" w:color="auto"/>
          <w:color w:val="4B4B4B"/>
        </w:rPr>
        <w:t>"ROFR Notice").</w:t>
      </w:r>
      <w:r>
        <w:rPr>
          <w:rFonts w:ascii="Times New Roman" w:cs="Times New Roman" w:eastAsia="Times New Roman" w:hAnsi="Times New Roman"/>
          <w:sz w:val="20"/>
          <w:szCs w:val="20"/>
          <w:color w:val="4B4B4B"/>
        </w:rPr>
        <w:t xml:space="preserve"> The ROFR Notice must include all material terms and conditions of the offer. The Basic Rent and other terms and conditions related to the subject space shall be as contained in the ROFR Notice. Tenant shall notify Landlord in writing within ten (10) days after receipt of the ROFR Notice </w:t>
      </w:r>
      <w:r>
        <w:rPr>
          <w:rFonts w:ascii="Times New Roman" w:cs="Times New Roman" w:eastAsia="Times New Roman" w:hAnsi="Times New Roman"/>
          <w:sz w:val="20"/>
          <w:szCs w:val="20"/>
          <w:b w:val="1"/>
          <w:bCs w:val="1"/>
          <w:u w:val="single" w:color="auto"/>
          <w:color w:val="4B4B4B"/>
        </w:rPr>
        <w:t>("ROFR Deadline")</w:t>
      </w:r>
      <w:r>
        <w:rPr>
          <w:rFonts w:ascii="Times New Roman" w:cs="Times New Roman" w:eastAsia="Times New Roman" w:hAnsi="Times New Roman"/>
          <w:sz w:val="20"/>
          <w:szCs w:val="20"/>
          <w:color w:val="4B4B4B"/>
        </w:rPr>
        <w:t xml:space="preserve"> whether Tenant elects to exercise its right to lease the ROFR Space pursuant to the terms and conditions of the offer, as set forth in the ROFR Notice. If Tenant fails to notify Landlord of its election on or prior to the ROFR Deadline, Tenant's right of first refusal shall be deemed to have automatically and without further notice expired as to the offer that is the subject of the ROFR Notice and Landlord shall thereafter have the right to lease the ROFR Space to a third party on substantially the same terms and conditions stated in the ROFR Notice (or on terms which are better, but not materially worse, for Landlord in the aggregate considering all economic and non-economic terms of same). If Tenant timely elects to exercise the right of first refusal then Tenant and Landlord shall (within ten [10] business days thereafter) enter into an amendment to this Lease adding the ROFR Space to the Premises and incorporating the terms in the accepted ROFR Notice. If Tenant fails to timely exercise its rights prior to the ROFR Deadline, the right of first refusal shall be deemed to have automatically and without further notice expired and Landlord shall thereafter have the right to lease the ROFR Space to a third party on substantially the same terms and conditions stated in the ROFR Notice (or on tenns which are better, but not materially worse, for Landlord in the aggregate considering all economic and non-economic terms of same). If Tenant does not exercise its right hereunder and Landlord does not consummate the lease of the ROFR Space in accordance with the terms of the ROFR Notice within one hundred twenty (120) calendar days after the ROFR Deadline, this right of first refusal shall revive. Notwithstanding anything to the contrary contained herein, Landlord may reduce the Basic Rental rate for the ROFR Space by no more than ten percent (10%) of the Base Rental Rate set forth in the ROFR Notice without reviving the Tenant's right of first refusal hereunder. If Landlord consummates the lease of all or a portion of the ROFR Space to a third party within said 120-day period in compliance with this </w:t>
      </w:r>
      <w:r>
        <w:rPr>
          <w:rFonts w:ascii="Times New Roman" w:cs="Times New Roman" w:eastAsia="Times New Roman" w:hAnsi="Times New Roman"/>
          <w:sz w:val="20"/>
          <w:szCs w:val="20"/>
          <w:u w:val="single" w:color="auto"/>
          <w:color w:val="4B4B4B"/>
        </w:rPr>
        <w:t>Exhibit I</w:t>
      </w:r>
      <w:r>
        <w:rPr>
          <w:rFonts w:ascii="Times New Roman" w:cs="Times New Roman" w:eastAsia="Times New Roman" w:hAnsi="Times New Roman"/>
          <w:sz w:val="20"/>
          <w:szCs w:val="20"/>
          <w:color w:val="4B4B4B"/>
        </w:rPr>
        <w:t>, this right of first refusal shall automatically terminate as to that portion of the ROFR Space without fmther notice.</w:t>
      </w:r>
    </w:p>
    <w:p>
      <w:pPr>
        <w:spacing w:after="0" w:line="211" w:lineRule="exact"/>
        <w:rPr>
          <w:sz w:val="20"/>
          <w:szCs w:val="20"/>
          <w:color w:val="auto"/>
        </w:rPr>
      </w:pPr>
    </w:p>
    <w:p>
      <w:pPr>
        <w:jc w:val="both"/>
        <w:ind w:firstLine="794"/>
        <w:spacing w:after="0" w:line="246" w:lineRule="auto"/>
        <w:rPr>
          <w:sz w:val="20"/>
          <w:szCs w:val="20"/>
          <w:color w:val="auto"/>
        </w:rPr>
      </w:pPr>
      <w:r>
        <w:rPr>
          <w:rFonts w:ascii="Times New Roman" w:cs="Times New Roman" w:eastAsia="Times New Roman" w:hAnsi="Times New Roman"/>
          <w:sz w:val="21"/>
          <w:szCs w:val="21"/>
          <w:color w:val="4B4B4B"/>
        </w:rPr>
        <w:t xml:space="preserve">In no event shall Landlord be obligated to pay a commission for any representation of Tenant with respect to the lease of the ROFR Space pursuant to this Exhibit, and Tenant and Landlord shall each indemnify the other against all costs, expenses attorneys' fees, and other liability for commissions or other compensation claimed by any broker or agent claiming the same. Tenant's rights under this Exhibit shall terminate if (a) this Lease or Tenant's right to possession of any of the Premises is terminated, (b) Tenant assigns any of its interest in this Lease or sublets any portion of the Premises which was not otherwise approved or deemed approved by Landlord, or (c) less than thirty-six (36) full calendar months remain in the then-current Term of this Lease (unless during the initial Term </w:t>
      </w:r>
      <w:r>
        <w:rPr>
          <w:rFonts w:ascii="Times New Roman" w:cs="Times New Roman" w:eastAsia="Times New Roman" w:hAnsi="Times New Roman"/>
          <w:sz w:val="21"/>
          <w:szCs w:val="21"/>
          <w:color w:val="383838"/>
        </w:rPr>
        <w:t>and</w:t>
      </w:r>
      <w:r>
        <w:rPr>
          <w:rFonts w:ascii="Times New Roman" w:cs="Times New Roman" w:eastAsia="Times New Roman" w:hAnsi="Times New Roman"/>
          <w:sz w:val="21"/>
          <w:szCs w:val="21"/>
          <w:color w:val="4B4B4B"/>
        </w:rPr>
        <w:t xml:space="preserve"> Tenant has exercised its renewal right).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464B4B"/>
        </w:rPr>
        <w:t>TAYSHA GEN</w:t>
      </w:r>
      <w:r>
        <w:rPr>
          <w:rFonts w:ascii="Times New Roman" w:cs="Times New Roman" w:eastAsia="Times New Roman" w:hAnsi="Times New Roman"/>
          <w:sz w:val="16"/>
          <w:szCs w:val="16"/>
          <w:u w:val="single" w:color="auto"/>
          <w:color w:val="595D69"/>
        </w:rPr>
        <w:t>E</w:t>
      </w:r>
      <w:r>
        <w:rPr>
          <w:rFonts w:ascii="Times New Roman" w:cs="Times New Roman" w:eastAsia="Times New Roman" w:hAnsi="Times New Roman"/>
          <w:sz w:val="16"/>
          <w:szCs w:val="16"/>
          <w:color w:val="464B4B"/>
        </w:rPr>
        <w:t xml:space="preserve"> </w:t>
      </w:r>
      <w:r>
        <w:rPr>
          <w:rFonts w:ascii="Times New Roman" w:cs="Times New Roman" w:eastAsia="Times New Roman" w:hAnsi="Times New Roman"/>
          <w:sz w:val="16"/>
          <w:szCs w:val="16"/>
          <w:u w:val="single" w:color="auto"/>
          <w:color w:val="464B4B"/>
        </w:rPr>
        <w:t>THERAPIES</w:t>
      </w:r>
      <w:r>
        <w:rPr>
          <w:rFonts w:ascii="Times New Roman" w:cs="Times New Roman" w:eastAsia="Times New Roman" w:hAnsi="Times New Roman"/>
          <w:sz w:val="16"/>
          <w:szCs w:val="16"/>
          <w:color w:val="464B4B"/>
        </w:rPr>
        <w:t xml:space="preserve"> </w:t>
      </w:r>
      <w:r>
        <w:rPr>
          <w:rFonts w:ascii="Times New Roman" w:cs="Times New Roman" w:eastAsia="Times New Roman" w:hAnsi="Times New Roman"/>
          <w:sz w:val="16"/>
          <w:szCs w:val="16"/>
          <w:color w:val="1A1A1A"/>
        </w:rPr>
        <w:t>-</w:t>
      </w:r>
      <w:r>
        <w:rPr>
          <w:rFonts w:ascii="Times New Roman" w:cs="Times New Roman" w:eastAsia="Times New Roman" w:hAnsi="Times New Roman"/>
          <w:sz w:val="16"/>
          <w:szCs w:val="16"/>
          <w:color w:val="464B4B"/>
        </w:rPr>
        <w:t xml:space="preserve"> FIRST AMENDMENT </w:t>
      </w:r>
      <w:r>
        <w:rPr>
          <w:rFonts w:ascii="Times New Roman" w:cs="Times New Roman" w:eastAsia="Times New Roman" w:hAnsi="Times New Roman"/>
          <w:sz w:val="16"/>
          <w:szCs w:val="16"/>
          <w:color w:val="080808"/>
        </w:rPr>
        <w:t>-</w:t>
      </w:r>
      <w:r>
        <w:rPr>
          <w:rFonts w:ascii="Times New Roman" w:cs="Times New Roman" w:eastAsia="Times New Roman" w:hAnsi="Times New Roman"/>
          <w:sz w:val="16"/>
          <w:szCs w:val="16"/>
          <w:color w:val="464B4B"/>
        </w:rPr>
        <w:t xml:space="preserve"> Exhibit B </w:t>
      </w:r>
      <w:r>
        <w:rPr>
          <w:rFonts w:ascii="Times New Roman" w:cs="Times New Roman" w:eastAsia="Times New Roman" w:hAnsi="Times New Roman"/>
          <w:sz w:val="16"/>
          <w:szCs w:val="16"/>
          <w:color w:val="080808"/>
        </w:rPr>
        <w:t>-</w:t>
      </w:r>
      <w:r>
        <w:rPr>
          <w:rFonts w:ascii="Times New Roman" w:cs="Times New Roman" w:eastAsia="Times New Roman" w:hAnsi="Times New Roman"/>
          <w:sz w:val="16"/>
          <w:szCs w:val="16"/>
          <w:color w:val="464B4B"/>
        </w:rPr>
        <w:t xml:space="preserve"> Pag</w:t>
      </w:r>
      <w:r>
        <w:rPr>
          <w:rFonts w:ascii="Times New Roman" w:cs="Times New Roman" w:eastAsia="Times New Roman" w:hAnsi="Times New Roman"/>
          <w:sz w:val="16"/>
          <w:szCs w:val="16"/>
          <w:color w:val="2A2A2A"/>
        </w:rPr>
        <w:t>e</w:t>
      </w:r>
      <w:r>
        <w:rPr>
          <w:rFonts w:ascii="Times New Roman" w:cs="Times New Roman" w:eastAsia="Times New Roman" w:hAnsi="Times New Roman"/>
          <w:sz w:val="16"/>
          <w:szCs w:val="16"/>
          <w:color w:val="464B4B"/>
        </w:rPr>
        <w:t xml:space="preserve"> </w:t>
      </w:r>
      <w:r>
        <w:rPr>
          <w:rFonts w:ascii="Times New Roman" w:cs="Times New Roman" w:eastAsia="Times New Roman" w:hAnsi="Times New Roman"/>
          <w:sz w:val="16"/>
          <w:szCs w:val="16"/>
          <w:color w:val="595D69"/>
        </w:rPr>
        <w:t>1</w:t>
      </w:r>
    </w:p>
    <w:p>
      <w:pPr>
        <w:sectPr>
          <w:pgSz w:w="11900" w:h="16838" w:orient="portrait"/>
          <w:cols w:equalWidth="0" w:num="1">
            <w:col w:w="11240"/>
          </w:cols>
          <w:pgMar w:left="320" w:top="348" w:right="339" w:bottom="1440" w:gutter="0" w:footer="0" w:header="0"/>
        </w:sectPr>
      </w:pPr>
    </w:p>
    <w:bookmarkStart w:id="138" w:name="page139"/>
    <w:bookmarkEnd w:id="138"/>
    <w:p>
      <w:pPr>
        <w:ind w:left="10020"/>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Avenue of the Americas,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8"/>
          <w:szCs w:val="18"/>
          <w:color w:val="auto"/>
        </w:rPr>
        <w:t xml:space="preserve">Reference is made to the Sales Agreement, dated October 5, 2021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and among Taysha Gene Therapies, Inc., a Delaware corporation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SVB Securities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SVB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formerly known as SVB Leerink LLC) and Wells Fargo Securities,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Wells Fargo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together with SVB Securities,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Existing Agents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pursuant to which the Company agreed, in its sole discretion, to issue and sell, from time to time, through the Existing Agents, as agent and/or principal, up to $150,000,000 of shares of common stock, par value $0.0001 per share, of the Company. All capitalized terms used in this Amendment No. 1 to Sales Agreement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not otherwise defined herein shall have the respective meanings assigned to such terms in the Sales Agreement. The Company and the Existing Agents hereby agree as follows:</w:t>
      </w:r>
    </w:p>
    <w:p>
      <w:pPr>
        <w:spacing w:after="0" w:line="186" w:lineRule="exact"/>
        <w:rPr>
          <w:sz w:val="20"/>
          <w:szCs w:val="20"/>
          <w:color w:val="auto"/>
        </w:rPr>
      </w:pPr>
    </w:p>
    <w:p>
      <w:pPr>
        <w:ind w:left="1740" w:hanging="868"/>
        <w:spacing w:after="0"/>
        <w:tabs>
          <w:tab w:leader="none" w:pos="1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Sales Agreement</w:t>
      </w:r>
      <w:r>
        <w:rPr>
          <w:rFonts w:ascii="Times New Roman" w:cs="Times New Roman" w:eastAsia="Times New Roman" w:hAnsi="Times New Roman"/>
          <w:sz w:val="18"/>
          <w:szCs w:val="18"/>
          <w:color w:val="auto"/>
        </w:rPr>
        <w:t>. The Sales Agreement is amended as follows: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1960" w:hanging="186"/>
        <w:spacing w:after="0" w:line="266" w:lineRule="auto"/>
        <w:tabs>
          <w:tab w:leader="none" w:pos="197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the terms “Agent” and “Agents” in the first sentence of the Sales Agreement are hereby amended to read as follows: “Goldman Sachs &amp; Co. LLC, Wells Fargo Securities, LLC and SVB Securities LLC (each an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80" w:hanging="184"/>
        <w:spacing w:after="0"/>
        <w:tabs>
          <w:tab w:leader="none" w:pos="198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of the Sales Agreement is hereby amended and restated as follows:</w:t>
      </w:r>
    </w:p>
    <w:p>
      <w:pPr>
        <w:spacing w:after="0" w:line="225" w:lineRule="exact"/>
        <w:rPr>
          <w:rFonts w:ascii="Times New Roman" w:cs="Times New Roman" w:eastAsia="Times New Roman" w:hAnsi="Times New Roman"/>
          <w:sz w:val="18"/>
          <w:szCs w:val="18"/>
          <w:color w:val="auto"/>
        </w:rPr>
      </w:pPr>
    </w:p>
    <w:p>
      <w:pPr>
        <w:ind w:left="2060" w:firstLine="481"/>
        <w:spacing w:after="0" w:line="252" w:lineRule="auto"/>
        <w:tabs>
          <w:tab w:leader="none" w:pos="2721"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Designated Agent</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including Section 5(c), upon a Designated Agent’s acceptance of the terms of a Placement Notice as provided in Section 2,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number or amount specified in, and otherwise in accordance with the terms of, such Placement Notice. Each Designated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The Designated Agent may make sales pursuant to each order by any method deemed to be an “at the market offering” as defined in Rule 415(a)(4) of the Securities Act, including without limitation (i) by means of ordinary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9" w:name="page140"/>
    <w:bookmarkEnd w:id="139"/>
    <w:p>
      <w:pPr>
        <w:ind w:left="1188"/>
        <w:spacing w:after="0" w:line="267" w:lineRule="auto"/>
        <w:rPr>
          <w:sz w:val="20"/>
          <w:szCs w:val="20"/>
          <w:color w:val="auto"/>
        </w:rPr>
      </w:pPr>
      <w:r>
        <w:rPr>
          <w:rFonts w:ascii="Times New Roman" w:cs="Times New Roman" w:eastAsia="Times New Roman" w:hAnsi="Times New Roman"/>
          <w:sz w:val="17"/>
          <w:szCs w:val="17"/>
          <w:color w:val="auto"/>
        </w:rPr>
        <w:t>transactions (whether or not solicited), (ii) directly on or through any national securities exchange or facility thereof, a trading facility of a national securities association, an alternative trading system, or any other market venue, including in the over-the-counter market, (vii) in negotiated transactions with the Company’s prior written consent or (iv) through a combination of any such methods. If expressly authorized by the Company (including in a Placement Notice), the Designated Agent may also sell Placement Shares in negotiated transactions. Notwithstanding the provisions of Section 6(tt), except as may be otherwise agreed by the Company and the Designated Agent, the Designated Agent shall not purchase Placement Shares on a principal basis pursuant to this Agreement unless the Company and the Designated Agent enter into a separate written agreement setting forth the terms of such sale.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state and federal laws, rules and regulations and the rules of Nasdaq to sell such Placement Shares as required under this Agreement and</w:t>
      </w:r>
    </w:p>
    <w:p>
      <w:pPr>
        <w:spacing w:after="0" w:line="1" w:lineRule="exact"/>
        <w:rPr>
          <w:sz w:val="20"/>
          <w:szCs w:val="20"/>
          <w:color w:val="auto"/>
        </w:rPr>
      </w:pPr>
    </w:p>
    <w:p>
      <w:pPr>
        <w:ind w:left="1188" w:right="300"/>
        <w:spacing w:after="0" w:line="253" w:lineRule="auto"/>
        <w:rPr>
          <w:sz w:val="20"/>
          <w:szCs w:val="20"/>
          <w:color w:val="auto"/>
        </w:rPr>
      </w:pPr>
      <w:r>
        <w:rPr>
          <w:rFonts w:ascii="Times New Roman" w:cs="Times New Roman" w:eastAsia="Times New Roman" w:hAnsi="Times New Roman"/>
          <w:sz w:val="18"/>
          <w:szCs w:val="18"/>
          <w:color w:val="auto"/>
        </w:rPr>
        <w:t>(iii) the Designated Agent shall be under no obligation to purchase Placement Shares on a principal basis pursuant to this Agreement unless the Company and the Designated Agent enter into a separate written agreement setting forth the terms of such sale.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Common Stock is purchased and sold on Nasdaq.</w:t>
      </w:r>
    </w:p>
    <w:p>
      <w:pPr>
        <w:spacing w:after="0" w:line="188" w:lineRule="exact"/>
        <w:rPr>
          <w:sz w:val="20"/>
          <w:szCs w:val="20"/>
          <w:color w:val="auto"/>
        </w:rPr>
      </w:pPr>
    </w:p>
    <w:p>
      <w:pPr>
        <w:ind w:left="1188" w:right="20" w:hanging="264"/>
        <w:spacing w:after="0" w:line="282" w:lineRule="auto"/>
        <w:tabs>
          <w:tab w:leader="none" w:pos="11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of the Sales Agreement is hereby amended to include the following subsection following Wells Fargo’s relevant information in such section:</w:t>
      </w:r>
    </w:p>
    <w:p>
      <w:pPr>
        <w:spacing w:after="0" w:line="162"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Phone No.: 866-471-2526</w:t>
      </w:r>
    </w:p>
    <w:p>
      <w:pPr>
        <w:spacing w:after="0" w:line="9"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Attention: Registration Department”</w:t>
      </w:r>
    </w:p>
    <w:p>
      <w:pPr>
        <w:spacing w:after="0" w:line="207" w:lineRule="exact"/>
        <w:rPr>
          <w:sz w:val="20"/>
          <w:szCs w:val="20"/>
          <w:color w:val="auto"/>
        </w:rPr>
      </w:pPr>
    </w:p>
    <w:p>
      <w:pPr>
        <w:ind w:left="1188" w:hanging="264"/>
        <w:spacing w:after="0" w:line="282" w:lineRule="auto"/>
        <w:tabs>
          <w:tab w:leader="none" w:pos="1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 of the Sales Agreement is hereby amended to include the following subsections following Wells Fargo’s relevant information in such section:</w:t>
      </w:r>
    </w:p>
    <w:p>
      <w:pPr>
        <w:spacing w:after="0" w:line="160"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Goldman Sachs</w:t>
      </w:r>
    </w:p>
    <w:p>
      <w:pPr>
        <w:spacing w:after="0" w:line="227"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Lyla Bibi</w:t>
      </w:r>
    </w:p>
    <w:p>
      <w:pPr>
        <w:spacing w:after="0" w:line="27"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lyla.bibi@ny.ibd.email.gs.com</w:t>
      </w:r>
    </w:p>
    <w:p>
      <w:pPr>
        <w:spacing w:after="0" w:line="207"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Ashley Kaplowitz</w:t>
      </w:r>
    </w:p>
    <w:p>
      <w:pPr>
        <w:spacing w:after="0" w:line="27"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ashley.kaplowitz@ny.ibd.email.gs.com</w:t>
      </w:r>
    </w:p>
    <w:p>
      <w:pPr>
        <w:spacing w:after="0" w:line="207"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Brock Ghelfi</w:t>
      </w:r>
    </w:p>
    <w:p>
      <w:pPr>
        <w:spacing w:after="0" w:line="27"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Brock.Ghelfi@ny.ibd.email.gs.com</w:t>
      </w:r>
    </w:p>
    <w:p>
      <w:pPr>
        <w:spacing w:after="0" w:line="207"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Deryk Delahanty</w:t>
      </w:r>
    </w:p>
    <w:p>
      <w:pPr>
        <w:spacing w:after="0" w:line="27" w:lineRule="exact"/>
        <w:rPr>
          <w:sz w:val="20"/>
          <w:szCs w:val="20"/>
          <w:color w:val="auto"/>
        </w:rPr>
      </w:pPr>
    </w:p>
    <w:p>
      <w:pPr>
        <w:ind w:left="1188"/>
        <w:spacing w:after="0"/>
        <w:rPr>
          <w:sz w:val="20"/>
          <w:szCs w:val="20"/>
          <w:color w:val="auto"/>
        </w:rPr>
      </w:pPr>
      <w:r>
        <w:rPr>
          <w:rFonts w:ascii="Times New Roman" w:cs="Times New Roman" w:eastAsia="Times New Roman" w:hAnsi="Times New Roman"/>
          <w:sz w:val="18"/>
          <w:szCs w:val="18"/>
          <w:color w:val="auto"/>
        </w:rPr>
        <w:t>Deryk.A.Delahanty@ny.ibd.email.gs.com”</w:t>
      </w:r>
    </w:p>
    <w:p>
      <w:pPr>
        <w:spacing w:after="0" w:line="207" w:lineRule="exact"/>
        <w:rPr>
          <w:sz w:val="20"/>
          <w:szCs w:val="20"/>
          <w:color w:val="auto"/>
        </w:rPr>
      </w:pPr>
    </w:p>
    <w:p>
      <w:pPr>
        <w:jc w:val="both"/>
        <w:ind w:left="868" w:hanging="868"/>
        <w:spacing w:after="0" w:line="266" w:lineRule="auto"/>
        <w:tabs>
          <w:tab w:leader="none" w:pos="8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Binding upon Goldman Sachs &amp; Co. LLC.</w:t>
      </w:r>
      <w:r>
        <w:rPr>
          <w:rFonts w:ascii="Times New Roman" w:cs="Times New Roman" w:eastAsia="Times New Roman" w:hAnsi="Times New Roman"/>
          <w:sz w:val="18"/>
          <w:szCs w:val="18"/>
          <w:color w:val="auto"/>
        </w:rPr>
        <w:t xml:space="preserve"> Goldman Sachs &amp; Co. LLC hereby agrees to be bound by the terms of the Sales Agreement. Goldman Sachs &amp; Co. LLC shall be considered to be an Agent under the Sales Agreement to the same extent as if it were a party to the Sales Agreement on the date of the execution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727710</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53" w:right="339" w:bottom="1440" w:gutter="0" w:footer="0" w:header="0"/>
        </w:sectPr>
      </w:pPr>
    </w:p>
    <w:bookmarkStart w:id="140" w:name="page141"/>
    <w:bookmarkEnd w:id="140"/>
    <w:p>
      <w:pPr>
        <w:ind w:left="868" w:hanging="868"/>
        <w:spacing w:after="0" w:line="282" w:lineRule="auto"/>
        <w:tabs>
          <w:tab w:leader="none" w:pos="8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Company shall file a Prospectus Supplement pursuant to Rule 424(b) of the Securities Act reflecting the terms of this Amendment within two business days of the date hereof.</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jc w:val="both"/>
        <w:ind w:left="868" w:hanging="868"/>
        <w:spacing w:after="0" w:line="261" w:lineRule="auto"/>
        <w:tabs>
          <w:tab w:leader="none" w:pos="8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Amendments; References to Agreement</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Part A</w:t>
      </w:r>
      <w:r>
        <w:rPr>
          <w:rFonts w:ascii="Times New Roman" w:cs="Times New Roman" w:eastAsia="Times New Roman" w:hAnsi="Times New Roman"/>
          <w:sz w:val="18"/>
          <w:szCs w:val="18"/>
          <w:color w:val="auto"/>
        </w:rPr>
        <w:t xml:space="preserve"> above, all the terms and provisions of the Sales Agreement shall continue in full force and effect. All references to the Sales Agreement in the Sales Agreement or in any other document executed or delivered in connection therewith shall, from the date hereof, be deemed a reference to the Sales Agreement as amended by this Amendment.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jc w:val="both"/>
        <w:ind w:left="868" w:hanging="868"/>
        <w:spacing w:after="0" w:line="266" w:lineRule="auto"/>
        <w:tabs>
          <w:tab w:leader="none" w:pos="8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two or more counterparts, each of which shall be deemed an original, but all of which together shall constitute one and the same instrument. Delivery of an executed counterpart by one party to the other may be made by facsimile or email transmission.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868" w:hanging="868"/>
        <w:spacing w:after="0" w:line="282" w:lineRule="auto"/>
        <w:tabs>
          <w:tab w:leader="none" w:pos="8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internal laws of the State of New York without regard to the principles of conflicts of laws.</w:t>
      </w:r>
    </w:p>
    <w:p>
      <w:pPr>
        <w:spacing w:after="0" w:line="158" w:lineRule="exact"/>
        <w:rPr>
          <w:sz w:val="20"/>
          <w:szCs w:val="20"/>
          <w:color w:val="auto"/>
        </w:rPr>
      </w:pPr>
    </w:p>
    <w:p>
      <w:pPr>
        <w:ind w:left="3048"/>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624205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5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00" w:lineRule="exact"/>
        <w:rPr>
          <w:sz w:val="20"/>
          <w:szCs w:val="20"/>
          <w:color w:val="auto"/>
        </w:rPr>
      </w:pPr>
    </w:p>
    <w:p>
      <w:pPr>
        <w:spacing w:after="0" w:line="236"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If the foregoing correctly sets forth the understanding among the Company and each of the Agents, please so indicate in the space provided below for that purpose, whereupon this Amendment No. 1 to Sales Agreement and your acceptance shall constitute a binding agreement among the Company and each of the Agents.</w:t>
      </w:r>
    </w:p>
    <w:p>
      <w:pPr>
        <w:spacing w:after="0" w:line="3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00" w:lineRule="exact"/>
        <w:rPr>
          <w:sz w:val="20"/>
          <w:szCs w:val="20"/>
          <w:color w:val="auto"/>
        </w:rPr>
      </w:pPr>
    </w:p>
    <w:p>
      <w:pPr>
        <w:spacing w:after="0" w:line="245" w:lineRule="exact"/>
        <w:rPr>
          <w:sz w:val="20"/>
          <w:szCs w:val="20"/>
          <w:color w:val="auto"/>
        </w:rPr>
      </w:pPr>
    </w:p>
    <w:p>
      <w:pPr>
        <w:ind w:left="552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19030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Name:Kamran Alam</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Amendment No. 1 to Sales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 to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Lyla (Bibi) Maduri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17145</wp:posOffset>
            </wp:positionV>
            <wp:extent cx="18942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Name:Lyla (Bibi) Maduri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David Bohn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17145</wp:posOffset>
            </wp:positionV>
            <wp:extent cx="18942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Name:David Bohn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SVB SECURITIES LLC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17145</wp:posOffset>
            </wp:positionV>
            <wp:extent cx="18942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Name:Peter M. Fry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Head of Alternative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Amendment No. 1 to Sales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40" w:top="108" w:right="339" w:bottom="1440" w:gutter="0" w:footer="0" w:header="0"/>
        </w:sectPr>
      </w:pPr>
    </w:p>
    <w:bookmarkStart w:id="143" w:name="page144"/>
    <w:bookmarkEnd w:id="143"/>
    <w:p>
      <w:pPr>
        <w:jc w:val="right"/>
        <w:spacing w:after="0"/>
        <w:rPr>
          <w:sz w:val="20"/>
          <w:szCs w:val="20"/>
          <w:color w:val="auto"/>
        </w:rPr>
      </w:pPr>
      <w:r>
        <w:rPr>
          <w:rFonts w:ascii="Verdana" w:cs="Verdana" w:eastAsia="Verdana" w:hAnsi="Verdana"/>
          <w:sz w:val="16"/>
          <w:szCs w:val="16"/>
          <w:b w:val="1"/>
          <w:bCs w:val="1"/>
          <w:color w:val="666666"/>
        </w:rPr>
        <w:t>Exhibit 23.1</w:t>
      </w:r>
    </w:p>
    <w:p>
      <w:pPr>
        <w:spacing w:after="0" w:line="360"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color w:val="666666"/>
        </w:rPr>
        <w:t>CONSENT OF INDEPENDENT REGISTERED PUBLIC ACCOUNTING FIRM</w:t>
      </w:r>
    </w:p>
    <w:p>
      <w:pPr>
        <w:spacing w:after="0" w:line="143" w:lineRule="exact"/>
        <w:rPr>
          <w:sz w:val="20"/>
          <w:szCs w:val="20"/>
          <w:color w:val="auto"/>
        </w:rPr>
      </w:pPr>
    </w:p>
    <w:p>
      <w:pPr>
        <w:jc w:val="both"/>
        <w:spacing w:after="0" w:line="260" w:lineRule="auto"/>
        <w:rPr>
          <w:sz w:val="20"/>
          <w:szCs w:val="20"/>
          <w:color w:val="auto"/>
        </w:rPr>
      </w:pPr>
      <w:r>
        <w:rPr>
          <w:rFonts w:ascii="Verdana" w:cs="Verdana" w:eastAsia="Verdana" w:hAnsi="Verdana"/>
          <w:sz w:val="16"/>
          <w:szCs w:val="16"/>
          <w:color w:val="auto"/>
        </w:rPr>
        <w:t>We consent to the incorporation by reference in Registration Statement No. 333-260069 on Form S-3 and Registration Statement Nos. 333-249130 and 333-256013 on Form S-8 of our report dated March 31, 2022, relating to the financial statements of Taysha Gene Therapies, Inc. appearing in this Annual Report on Form 10-K for the year ended December 31, 2021.</w:t>
      </w:r>
    </w:p>
    <w:p>
      <w:pPr>
        <w:spacing w:after="0" w:line="124"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/s/ DELOITTE &amp; TOUCHE LLP</w:t>
      </w:r>
    </w:p>
    <w:p>
      <w:pPr>
        <w:spacing w:after="0" w:line="157" w:lineRule="exact"/>
        <w:rPr>
          <w:sz w:val="20"/>
          <w:szCs w:val="20"/>
          <w:color w:val="auto"/>
        </w:rPr>
      </w:pPr>
    </w:p>
    <w:p>
      <w:pPr>
        <w:spacing w:after="0"/>
        <w:rPr>
          <w:sz w:val="20"/>
          <w:szCs w:val="20"/>
          <w:color w:val="auto"/>
        </w:rPr>
      </w:pPr>
      <w:r>
        <w:rPr>
          <w:rFonts w:ascii="Verdana" w:cs="Verdana" w:eastAsia="Verdana" w:hAnsi="Verdana"/>
          <w:sz w:val="16"/>
          <w:szCs w:val="16"/>
          <w:color w:val="auto"/>
        </w:rPr>
        <w:t>Dallas, Texas</w:t>
      </w:r>
    </w:p>
    <w:p>
      <w:pPr>
        <w:spacing w:after="0" w:line="8" w:lineRule="exact"/>
        <w:rPr>
          <w:sz w:val="20"/>
          <w:szCs w:val="20"/>
          <w:color w:val="auto"/>
        </w:rPr>
      </w:pPr>
    </w:p>
    <w:p>
      <w:pPr>
        <w:spacing w:after="0"/>
        <w:rPr>
          <w:sz w:val="20"/>
          <w:szCs w:val="20"/>
          <w:color w:val="auto"/>
        </w:rPr>
      </w:pPr>
      <w:r>
        <w:rPr>
          <w:rFonts w:ascii="Verdana" w:cs="Verdana" w:eastAsia="Verdana" w:hAnsi="Verdana"/>
          <w:sz w:val="16"/>
          <w:szCs w:val="16"/>
          <w:color w:val="auto"/>
        </w:rPr>
        <w:t>March 31, 2022</w:t>
      </w:r>
    </w:p>
    <w:p>
      <w:pPr>
        <w:sectPr>
          <w:pgSz w:w="11900" w:h="16838" w:orient="portrait"/>
          <w:cols w:equalWidth="0" w:num="1">
            <w:col w:w="11240"/>
          </w:cols>
          <w:pgMar w:left="320" w:top="138"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 Session II, certify that:</w:t>
      </w:r>
    </w:p>
    <w:p>
      <w:pPr>
        <w:spacing w:after="0" w:line="225" w:lineRule="exact"/>
        <w:rPr>
          <w:sz w:val="20"/>
          <w:szCs w:val="20"/>
          <w:color w:val="auto"/>
        </w:rPr>
      </w:pPr>
    </w:p>
    <w:p>
      <w:pPr>
        <w:ind w:left="580" w:hanging="572"/>
        <w:spacing w:after="0"/>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Taysha Gene Therapies,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280" w:hanging="572"/>
        <w:spacing w:after="0" w:line="282" w:lineRule="auto"/>
        <w:tabs>
          <w:tab w:leader="none" w:pos="11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720" w:val="left"/>
          <w:tab w:leader="none" w:pos="802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225" w:lineRule="exact"/>
        <w:rPr>
          <w:sz w:val="20"/>
          <w:szCs w:val="20"/>
          <w:color w:val="auto"/>
        </w:rPr>
      </w:pPr>
    </w:p>
    <w:p>
      <w:pPr>
        <w:ind w:left="580" w:hanging="572"/>
        <w:spacing w:after="0"/>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Taysha Gene Therapies,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280" w:hanging="572"/>
        <w:spacing w:after="0" w:line="282" w:lineRule="auto"/>
        <w:tabs>
          <w:tab w:leader="none" w:pos="11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720" w:val="left"/>
          <w:tab w:leader="none" w:pos="802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Taysha Gene Therapies,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60" w:hanging="572"/>
        <w:spacing w:after="0"/>
        <w:tabs>
          <w:tab w:leader="none" w:pos="11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80" w:hanging="572"/>
        <w:spacing w:after="0" w:line="282" w:lineRule="auto"/>
        <w:tabs>
          <w:tab w:leader="none" w:pos="11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740" w:val="left"/>
          <w:tab w:leader="none" w:pos="802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4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Taysha Gene Therapies,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60" w:hanging="572"/>
        <w:spacing w:after="0"/>
        <w:tabs>
          <w:tab w:leader="none" w:pos="1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80" w:hanging="572"/>
        <w:spacing w:after="0" w:line="282" w:lineRule="auto"/>
        <w:tabs>
          <w:tab w:leader="none" w:pos="1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740" w:val="left"/>
          <w:tab w:leader="none" w:pos="802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lowerRoman"/>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upperLetter"/>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3"/>
    </w:lvl>
  </w:abstractNum>
  <w:abstractNum w:abstractNumId="62">
    <w:nsid w:val="5DB70AE5"/>
    <w:multiLevelType w:val="hybridMultilevel"/>
    <w:lvl w:ilvl="0">
      <w:lvlJc w:val="left"/>
      <w:lvlText w:val="%1"/>
      <w:numFmt w:val="lowerLetter"/>
      <w:start w:val="1"/>
    </w:lvl>
    <w:lvl w:ilvl="1">
      <w:lvlJc w:val="left"/>
      <w:lvlText w:val="%2."/>
      <w:numFmt w:val="decimal"/>
      <w:start w:val="4"/>
    </w:lvl>
  </w:abstractNum>
  <w:abstractNum w:abstractNumId="63">
    <w:nsid w:val="100F8FCA"/>
    <w:multiLevelType w:val="hybridMultilevel"/>
    <w:lvl w:ilvl="0">
      <w:lvlJc w:val="left"/>
      <w:lvlText w:val="(%1)"/>
      <w:numFmt w:val="lowerLetter"/>
      <w:start w:val="1"/>
    </w:lvl>
    <w:lvl w:ilvl="1">
      <w:lvlJc w:val="left"/>
      <w:lvlText w:val="%2."/>
      <w:numFmt w:val="decimal"/>
      <w:start w:val="7"/>
    </w:lvl>
  </w:abstractNum>
  <w:abstractNum w:abstractNumId="64">
    <w:nsid w:val="6590700B"/>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lvl w:ilvl="3">
      <w:lvlJc w:val="left"/>
      <w:lvlText w:val="%4."/>
      <w:numFmt w:val="decimal"/>
      <w:start w:val="3"/>
    </w:lvl>
  </w:abstractNum>
  <w:abstractNum w:abstractNumId="65">
    <w:nsid w:val="15014ACB"/>
    <w:multiLevelType w:val="hybridMultilevel"/>
    <w:lvl w:ilvl="0">
      <w:lvlJc w:val="left"/>
      <w:lvlText w:val="%1."/>
      <w:numFmt w:val="decimal"/>
      <w:start w:val="3"/>
    </w:lvl>
  </w:abstractNum>
  <w:abstractNum w:abstractNumId="66">
    <w:nsid w:val="5F5E7FD0"/>
    <w:multiLevelType w:val="hybridMultilevel"/>
    <w:lvl w:ilvl="0">
      <w:lvlJc w:val="left"/>
      <w:lvlText w:val="%1."/>
      <w:numFmt w:val="decimal"/>
      <w:start w:val="4"/>
    </w:lvl>
  </w:abstractNum>
  <w:abstractNum w:abstractNumId="67">
    <w:nsid w:val="98A3148"/>
    <w:multiLevelType w:val="hybridMultilevel"/>
    <w:lvl w:ilvl="0">
      <w:lvlJc w:val="left"/>
      <w:lvlText w:val="%1."/>
      <w:numFmt w:val="upperLetter"/>
      <w:start w:val="2"/>
    </w:lvl>
  </w:abstractNum>
  <w:abstractNum w:abstractNumId="68">
    <w:nsid w:val="799D0247"/>
    <w:multiLevelType w:val="hybridMultilevel"/>
    <w:lvl w:ilvl="0">
      <w:lvlJc w:val="left"/>
      <w:lvlText w:val="%1."/>
      <w:numFmt w:val="upperLetter"/>
      <w:start w:val="3"/>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jpe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177" Type="http://schemas.openxmlformats.org/officeDocument/2006/relationships/hyperlink" Target="http://www.sec.gov/Archives/edgar/data/1806310/000119312520257858/d78879dex31.htm" TargetMode="External"/><Relationship Id="rId178" Type="http://schemas.openxmlformats.org/officeDocument/2006/relationships/hyperlink" Target="http://www.sec.gov/Archives/edgar/data/1806310/000119312520247565/d938924dex34.htm" TargetMode="External"/><Relationship Id="rId179" Type="http://schemas.openxmlformats.org/officeDocument/2006/relationships/hyperlink" Target="http://www.sec.gov/Archives/edgar/data/1806310/000119312520238197/d938924dex41.htm" TargetMode="External"/><Relationship Id="rId180" Type="http://schemas.openxmlformats.org/officeDocument/2006/relationships/hyperlink" Target="http://www.sec.gov/Archives/edgar/data/0001806310/000156459021010433/tsha-ex42_791.htm" TargetMode="External"/><Relationship Id="rId181" Type="http://schemas.openxmlformats.org/officeDocument/2006/relationships/hyperlink" Target="http://www.sec.gov/Archives/edgar/data/1806310/000119312520238197/d938924dex101.htm" TargetMode="External"/><Relationship Id="rId182" Type="http://schemas.openxmlformats.org/officeDocument/2006/relationships/hyperlink" Target="http://www.sec.gov/Archives/edgar/data/1806310/000119312520238197/d938924dex102.htm" TargetMode="External"/><Relationship Id="rId183" Type="http://schemas.openxmlformats.org/officeDocument/2006/relationships/hyperlink" Target="http://www.sec.gov/Archives/edgar/data/1806310/000119312520238197/d938924dex103.htm" TargetMode="External"/><Relationship Id="rId184" Type="http://schemas.openxmlformats.org/officeDocument/2006/relationships/hyperlink" Target="http://www.sec.gov/Archives/edgar/data/1806310/000119312520238197/d938924dex104.htm" TargetMode="External"/><Relationship Id="rId185" Type="http://schemas.openxmlformats.org/officeDocument/2006/relationships/hyperlink" Target="http://www.sec.gov/Archives/edgar/data/0001806310/000156459021010433/tsha-ex105_792.htm" TargetMode="External"/><Relationship Id="rId186" Type="http://schemas.openxmlformats.org/officeDocument/2006/relationships/hyperlink" Target="http://www.sec.gov/Archives/edgar/data/1806310/000119312520247565/d938924dex105.htm" TargetMode="External"/><Relationship Id="rId189" Type="http://schemas.openxmlformats.org/officeDocument/2006/relationships/hyperlink" Target="http://www.sec.gov/Archives/edgar/data/1806310/000119312520247565/d938924dex106.htm" TargetMode="External"/><Relationship Id="rId190" Type="http://schemas.openxmlformats.org/officeDocument/2006/relationships/hyperlink" Target="http://www.sec.gov/Archives/edgar/data/1806310/000119312520247565/d938924dex107.htm" TargetMode="External"/><Relationship Id="rId191" Type="http://schemas.openxmlformats.org/officeDocument/2006/relationships/hyperlink" Target="http://www.sec.gov/Archives/edgar/data/1806310/000119312520247565/d938924dex108.htm" TargetMode="External"/><Relationship Id="rId192" Type="http://schemas.openxmlformats.org/officeDocument/2006/relationships/hyperlink" Target="http://www.sec.gov/Archives/edgar/data/1806310/000119312520247565/d938924dex1010.htm" TargetMode="External"/><Relationship Id="rId193" Type="http://schemas.openxmlformats.org/officeDocument/2006/relationships/hyperlink" Target="http://www.sec.gov/Archives/edgar/data/1806310/000119312520247565/d938924dex1011.htm" TargetMode="External"/><Relationship Id="rId194" Type="http://schemas.openxmlformats.org/officeDocument/2006/relationships/hyperlink" Target="http://www.sec.gov/Archives/edgar/data/1806310/000156459020053602/tsha-ex107_186.htm" TargetMode="External"/><Relationship Id="rId195" Type="http://schemas.openxmlformats.org/officeDocument/2006/relationships/hyperlink" Target="http://www.sec.gov/Archives/edgar/data/0001806310/000156459021010433/tsha-ex1013_851.htm" TargetMode="External"/><Relationship Id="rId196" Type="http://schemas.openxmlformats.org/officeDocument/2006/relationships/hyperlink" Target="http://www.sec.gov/Archives/edgar/data/0001806310/000156459021010433/tsha-ex1014_852.htm" TargetMode="External"/><Relationship Id="rId197" Type="http://schemas.openxmlformats.org/officeDocument/2006/relationships/hyperlink" Target="http://www.sec.gov/Archives/edgar/data/0001806310/000156459021010433/tsha-ex1015_1051.htm" TargetMode="External"/><Relationship Id="rId198" Type="http://schemas.openxmlformats.org/officeDocument/2006/relationships/hyperlink" Target="http://www.sec.gov/Archives/edgar/data/0001806310/000156459021044462/tsha-ex102_932.htm" TargetMode="External"/><Relationship Id="rId199" Type="http://schemas.openxmlformats.org/officeDocument/2006/relationships/hyperlink" Target="http://www.sec.gov/Archives/edgar/data/0001806310/000156459021044462/tsha-ex101_2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2022-03-31T08:12:55Z</dcterms:created>
  <dcterms:modified xsi:type="dcterms:W3CDTF">2022-03-31T08:12:55Z</dcterms:modified>
</cp:coreProperties>
</file>