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654685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113665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30" w:lineRule="exact"/>
        <w:rPr>
          <w:sz w:val="24"/>
          <w:szCs w:val="24"/>
          <w:color w:val="auto"/>
        </w:rPr>
      </w:pPr>
    </w:p>
    <w:p>
      <w:pPr>
        <w:ind w:left="3820" w:right="1600" w:hanging="3812"/>
        <w:spacing w:after="0" w:line="238" w:lineRule="auto"/>
        <w:tabs>
          <w:tab w:leader="none" w:pos="477" w:val="left"/>
        </w:tabs>
        <w:numPr>
          <w:ilvl w:val="0"/>
          <w:numId w:val="1"/>
        </w:numPr>
        <w:rPr>
          <w:rFonts w:ascii="MS PGothic" w:cs="MS PGothic" w:eastAsia="MS PGothic" w:hAnsi="MS PGothic"/>
          <w:sz w:val="36"/>
          <w:szCs w:val="36"/>
          <w:color w:val="auto"/>
          <w:highlight w:val="black"/>
          <w:vertAlign w:val="superscript"/>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2026</w:t>
      </w:r>
    </w:p>
    <w:p>
      <w:pPr>
        <w:spacing w:after="0" w:line="200" w:lineRule="exact"/>
        <w:rPr>
          <w:sz w:val="24"/>
          <w:szCs w:val="24"/>
          <w:color w:val="auto"/>
        </w:rPr>
      </w:pPr>
    </w:p>
    <w:p>
      <w:pPr>
        <w:spacing w:after="0" w:line="250" w:lineRule="exact"/>
        <w:rPr>
          <w:sz w:val="24"/>
          <w:szCs w:val="24"/>
          <w:color w:val="auto"/>
        </w:rPr>
      </w:pPr>
    </w:p>
    <w:p>
      <w:pPr>
        <w:ind w:left="3320" w:right="1600" w:hanging="3312"/>
        <w:spacing w:after="0" w:line="238" w:lineRule="auto"/>
        <w:tabs>
          <w:tab w:leader="none" w:pos="459" w:val="left"/>
        </w:tabs>
        <w:numPr>
          <w:ilvl w:val="0"/>
          <w:numId w:val="2"/>
        </w:numPr>
        <w:rPr>
          <w:rFonts w:ascii="MS PGothic" w:cs="MS PGothic" w:eastAsia="MS PGothic" w:hAnsi="MS PGothic"/>
          <w:sz w:val="36"/>
          <w:szCs w:val="36"/>
          <w:color w:val="auto"/>
          <w:highlight w:val="black"/>
          <w:vertAlign w:val="superscript"/>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 to ___________</w:t>
      </w:r>
    </w:p>
    <w:p>
      <w:pPr>
        <w:spacing w:after="0" w:line="85" w:lineRule="exact"/>
        <w:rPr>
          <w:rFonts w:ascii="MS PGothic" w:cs="MS PGothic" w:eastAsia="MS PGothic" w:hAnsi="MS PGothic"/>
          <w:sz w:val="36"/>
          <w:szCs w:val="36"/>
          <w:color w:val="auto"/>
          <w:highlight w:val="black"/>
          <w:vertAlign w:val="superscript"/>
        </w:rPr>
      </w:pPr>
    </w:p>
    <w:p>
      <w:pPr>
        <w:ind w:left="4200"/>
        <w:spacing w:after="0"/>
        <w:rPr>
          <w:rFonts w:ascii="MS PGothic" w:cs="MS PGothic" w:eastAsia="MS PGothic" w:hAnsi="MS PGothic"/>
          <w:sz w:val="36"/>
          <w:szCs w:val="36"/>
          <w:color w:val="auto"/>
          <w:highlight w:val="black"/>
          <w:vertAlign w:val="superscript"/>
        </w:rPr>
      </w:pPr>
      <w:r>
        <w:rPr>
          <w:rFonts w:ascii="Times New Roman" w:cs="Times New Roman" w:eastAsia="Times New Roman" w:hAnsi="Times New Roman"/>
          <w:sz w:val="18"/>
          <w:szCs w:val="18"/>
          <w:b w:val="1"/>
          <w:bCs w:val="1"/>
          <w:color w:val="auto"/>
        </w:rPr>
        <w:t>Commission File Number: 001-39536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Taysha Gene Therapies,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9" w:lineRule="exact"/>
        <w:rPr>
          <w:sz w:val="24"/>
          <w:szCs w:val="24"/>
          <w:color w:val="auto"/>
        </w:rPr>
      </w:pPr>
    </w:p>
    <w:tbl>
      <w:tblPr>
        <w:tblLayout w:type="fixed"/>
        <w:tblInd w:w="1520" w:type="dxa"/>
        <w:tblCellMar>
          <w:top w:w="0" w:type="dxa"/>
          <w:left w:w="0" w:type="dxa"/>
          <w:bottom w:w="0" w:type="dxa"/>
          <w:right w:w="0" w:type="dxa"/>
        </w:tblCellMar>
      </w:tblPr>
      <w:tr>
        <w:trPr>
          <w:trHeight w:val="218"/>
        </w:trPr>
        <w:tc>
          <w:tcPr>
            <w:tcW w:w="4500" w:type="dxa"/>
            <w:vAlign w:val="bottom"/>
          </w:tcPr>
          <w:p>
            <w:pPr>
              <w:jc w:val="center"/>
              <w:ind w:right="1824"/>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84-3199512</w:t>
            </w:r>
          </w:p>
        </w:tc>
      </w:tr>
      <w:tr>
        <w:trPr>
          <w:trHeight w:val="142"/>
        </w:trPr>
        <w:tc>
          <w:tcPr>
            <w:tcW w:w="4500" w:type="dxa"/>
            <w:vAlign w:val="bottom"/>
          </w:tcPr>
          <w:p>
            <w:pPr>
              <w:jc w:val="center"/>
              <w:ind w:right="1824"/>
              <w:spacing w:after="0" w:line="142" w:lineRule="exact"/>
              <w:rPr>
                <w:sz w:val="20"/>
                <w:szCs w:val="20"/>
                <w:color w:val="auto"/>
              </w:rPr>
            </w:pPr>
            <w:r>
              <w:rPr>
                <w:rFonts w:ascii="Times New Roman" w:cs="Times New Roman" w:eastAsia="Times New Roman" w:hAnsi="Times New Roman"/>
                <w:sz w:val="13"/>
                <w:szCs w:val="13"/>
                <w:b w:val="1"/>
                <w:bCs w:val="1"/>
                <w:color w:val="auto"/>
                <w:w w:val="96"/>
              </w:rPr>
              <w:t>( State or other jurisdiction of</w:t>
            </w:r>
          </w:p>
        </w:tc>
        <w:tc>
          <w:tcPr>
            <w:tcW w:w="2900" w:type="dxa"/>
            <w:vAlign w:val="bottom"/>
          </w:tcPr>
          <w:p>
            <w:pPr>
              <w:jc w:val="center"/>
              <w:ind w:left="1846"/>
              <w:spacing w:after="0" w:line="142" w:lineRule="exact"/>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40"/>
        </w:trPr>
        <w:tc>
          <w:tcPr>
            <w:tcW w:w="4500" w:type="dxa"/>
            <w:vAlign w:val="bottom"/>
          </w:tcPr>
          <w:p>
            <w:pPr>
              <w:jc w:val="center"/>
              <w:ind w:right="1824"/>
              <w:spacing w:after="0" w:line="140" w:lineRule="exact"/>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2900" w:type="dxa"/>
            <w:vAlign w:val="bottom"/>
          </w:tcPr>
          <w:p>
            <w:pPr>
              <w:jc w:val="center"/>
              <w:ind w:left="1846"/>
              <w:spacing w:after="0" w:line="140" w:lineRule="exact"/>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230"/>
        </w:trPr>
        <w:tc>
          <w:tcPr>
            <w:tcW w:w="4500" w:type="dxa"/>
            <w:vAlign w:val="bottom"/>
          </w:tcPr>
          <w:p>
            <w:pPr>
              <w:jc w:val="center"/>
              <w:ind w:right="1824"/>
              <w:spacing w:after="0"/>
              <w:rPr>
                <w:sz w:val="20"/>
                <w:szCs w:val="20"/>
                <w:color w:val="auto"/>
              </w:rPr>
            </w:pPr>
            <w:r>
              <w:rPr>
                <w:rFonts w:ascii="Times New Roman" w:cs="Times New Roman" w:eastAsia="Times New Roman" w:hAnsi="Times New Roman"/>
                <w:sz w:val="18"/>
                <w:szCs w:val="18"/>
                <w:b w:val="1"/>
                <w:bCs w:val="1"/>
                <w:color w:val="auto"/>
                <w:w w:val="99"/>
              </w:rPr>
              <w:t>3000 Pegasus Park Drive Ste 1430</w:t>
            </w:r>
          </w:p>
        </w:tc>
        <w:tc>
          <w:tcPr>
            <w:tcW w:w="2900" w:type="dxa"/>
            <w:vAlign w:val="bottom"/>
          </w:tcPr>
          <w:p>
            <w:pPr>
              <w:spacing w:after="0"/>
              <w:rPr>
                <w:sz w:val="19"/>
                <w:szCs w:val="19"/>
                <w:color w:val="auto"/>
              </w:rPr>
            </w:pPr>
          </w:p>
        </w:tc>
      </w:tr>
      <w:tr>
        <w:trPr>
          <w:trHeight w:val="232"/>
        </w:trPr>
        <w:tc>
          <w:tcPr>
            <w:tcW w:w="450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rPr>
              <w:t>Dallas, Texas</w:t>
            </w:r>
          </w:p>
        </w:tc>
        <w:tc>
          <w:tcPr>
            <w:tcW w:w="2900" w:type="dxa"/>
            <w:vAlign w:val="bottom"/>
          </w:tcPr>
          <w:p>
            <w:pPr>
              <w:jc w:val="right"/>
              <w:ind w:right="186"/>
              <w:spacing w:after="0"/>
              <w:rPr>
                <w:sz w:val="20"/>
                <w:szCs w:val="20"/>
                <w:color w:val="auto"/>
              </w:rPr>
            </w:pPr>
            <w:r>
              <w:rPr>
                <w:rFonts w:ascii="Times New Roman" w:cs="Times New Roman" w:eastAsia="Times New Roman" w:hAnsi="Times New Roman"/>
                <w:sz w:val="18"/>
                <w:szCs w:val="18"/>
                <w:b w:val="1"/>
                <w:bCs w:val="1"/>
                <w:color w:val="auto"/>
              </w:rPr>
              <w:t>75247</w:t>
            </w:r>
          </w:p>
        </w:tc>
      </w:tr>
      <w:tr>
        <w:trPr>
          <w:trHeight w:val="166"/>
        </w:trPr>
        <w:tc>
          <w:tcPr>
            <w:tcW w:w="4500" w:type="dxa"/>
            <w:vAlign w:val="bottom"/>
          </w:tcPr>
          <w:p>
            <w:pPr>
              <w:jc w:val="center"/>
              <w:ind w:right="1824"/>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2900" w:type="dxa"/>
            <w:vAlign w:val="bottom"/>
          </w:tcPr>
          <w:p>
            <w:pPr>
              <w:jc w:val="center"/>
              <w:ind w:left="1846"/>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(214) 612-0000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4"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4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5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5"/>
                <w:szCs w:val="15"/>
                <w:color w:val="auto"/>
              </w:rPr>
            </w:pPr>
          </w:p>
        </w:tc>
        <w:tc>
          <w:tcPr>
            <w:tcW w:w="44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par value $0.00001 per share</w:t>
            </w:r>
          </w:p>
        </w:tc>
        <w:tc>
          <w:tcPr>
            <w:tcW w:w="12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TSHA</w:t>
            </w:r>
          </w:p>
        </w:tc>
        <w:tc>
          <w:tcPr>
            <w:tcW w:w="120" w:type="dxa"/>
            <w:vAlign w:val="bottom"/>
          </w:tcPr>
          <w:p>
            <w:pPr>
              <w:spacing w:after="0"/>
              <w:rPr>
                <w:sz w:val="17"/>
                <w:szCs w:val="17"/>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bl>
    <w:p>
      <w:pPr>
        <w:spacing w:after="0" w:line="86" w:lineRule="exact"/>
        <w:rPr>
          <w:sz w:val="24"/>
          <w:szCs w:val="24"/>
          <w:color w:val="auto"/>
        </w:rPr>
      </w:pPr>
    </w:p>
    <w:p>
      <w:pPr>
        <w:jc w:val="both"/>
        <w:ind w:firstLine="59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6" w:lineRule="exact"/>
        <w:rPr>
          <w:sz w:val="24"/>
          <w:szCs w:val="24"/>
          <w:color w:val="auto"/>
        </w:rPr>
      </w:pPr>
    </w:p>
    <w:p>
      <w:pPr>
        <w:ind w:right="10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jc w:val="both"/>
        <w:ind w:right="220" w:firstLine="59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47" w:lineRule="exact"/>
        <w:rPr>
          <w:sz w:val="24"/>
          <w:szCs w:val="24"/>
          <w:color w:val="auto"/>
        </w:rPr>
      </w:pPr>
    </w:p>
    <w:tbl>
      <w:tblPr>
        <w:tblLayout w:type="fixed"/>
        <w:tblInd w:w="0" w:type="dxa"/>
        <w:tblCellMar>
          <w:top w:w="0" w:type="dxa"/>
          <w:left w:w="0" w:type="dxa"/>
          <w:bottom w:w="0" w:type="dxa"/>
          <w:right w:w="0" w:type="dxa"/>
        </w:tblCellMar>
      </w:tblPr>
      <w:tr>
        <w:trPr>
          <w:trHeight w:val="272"/>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24"/>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24"/>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88" w:lineRule="exact"/>
        <w:rPr>
          <w:sz w:val="24"/>
          <w:szCs w:val="24"/>
          <w:color w:val="auto"/>
        </w:rPr>
      </w:pPr>
    </w:p>
    <w:p>
      <w:pPr>
        <w:ind w:right="48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9" w:lineRule="exact"/>
        <w:rPr>
          <w:sz w:val="24"/>
          <w:szCs w:val="24"/>
          <w:color w:val="auto"/>
        </w:rPr>
      </w:pPr>
    </w:p>
    <w:p>
      <w:pPr>
        <w:ind w:left="600" w:right="2000"/>
        <w:spacing w:after="0" w:line="27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May 6, 2026, the registrant had 287,361,020 shares of common stock, $0.00001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720090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7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69"/>
        </w:trPr>
        <w:tc>
          <w:tcPr>
            <w:tcW w:w="1160" w:type="dxa"/>
            <w:vAlign w:val="bottom"/>
            <w:gridSpan w:val="2"/>
            <w:vMerge w:val="continue"/>
          </w:tcPr>
          <w:p>
            <w:pPr>
              <w:spacing w:after="0"/>
              <w:rPr>
                <w:sz w:val="14"/>
                <w:szCs w:val="14"/>
                <w:color w:val="auto"/>
              </w:rPr>
            </w:pPr>
          </w:p>
        </w:tc>
        <w:tc>
          <w:tcPr>
            <w:tcW w:w="9300" w:type="dxa"/>
            <w:vAlign w:val="bottom"/>
            <w:gridSpan w:val="18"/>
            <w:vMerge w:val="continue"/>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Financial Statements (Unaudited)</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Balance Sheets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Statements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Statements of Other Comprehensive Loss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70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Statements of Stockholders’ (Deficit) Equity</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Statements of Cash Flows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Notes to Financial Statements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3"/>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2120" w:type="dxa"/>
            <w:vAlign w:val="bottom"/>
            <w:tcBorders>
              <w:left w:val="single" w:sz="8" w:color="0000FF"/>
            </w:tcBorders>
            <w:shd w:val="clear" w:color="auto" w:fill="0000FF"/>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3"/>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960" w:type="dxa"/>
            <w:vAlign w:val="bottom"/>
            <w:tcBorders>
              <w:left w:val="single" w:sz="8" w:color="0000FF"/>
            </w:tcBorders>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vMerge w:val="continue"/>
          </w:tcPr>
          <w:p>
            <w:pPr>
              <w:spacing w:after="0"/>
              <w:rPr>
                <w:sz w:val="17"/>
                <w:szCs w:val="17"/>
                <w:color w:val="auto"/>
              </w:rPr>
            </w:pP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gridSpan w:val="4"/>
            <w:shd w:val="clear" w:color="auto" w:fill="0000FF"/>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7"/>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020" w:type="dxa"/>
            <w:vAlign w:val="bottom"/>
            <w:tcBorders>
              <w:left w:val="single" w:sz="8" w:color="0000FF"/>
            </w:tcBorders>
            <w:gridSpan w:val="7"/>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020" w:type="dxa"/>
            <w:vAlign w:val="bottom"/>
            <w:tcBorders>
              <w:left w:val="single" w:sz="8" w:color="0000FF"/>
            </w:tcBorders>
            <w:gridSpan w:val="7"/>
            <w:shd w:val="clear" w:color="auto" w:fill="0000FF"/>
          </w:tcPr>
          <w:p>
            <w:pPr>
              <w:spacing w:after="0" w:line="20" w:lineRule="exact"/>
              <w:rPr>
                <w:sz w:val="1"/>
                <w:szCs w:val="1"/>
                <w:color w:val="auto"/>
              </w:rPr>
            </w:pPr>
          </w:p>
        </w:tc>
        <w:tc>
          <w:tcPr>
            <w:tcW w:w="698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540" w:type="dxa"/>
            <w:vAlign w:val="bottom"/>
            <w:gridSpan w:val="1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8000" w:type="dxa"/>
            <w:vAlign w:val="bottom"/>
            <w:gridSpan w:val="1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20" w:type="dxa"/>
            <w:vAlign w:val="bottom"/>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78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10"/>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276,576</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319,767</w:t>
            </w: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tcPr>
          <w:p>
            <w:pPr>
              <w:spacing w:after="0"/>
              <w:rPr>
                <w:sz w:val="18"/>
                <w:szCs w:val="18"/>
                <w:color w:val="auto"/>
              </w:rPr>
            </w:pPr>
          </w:p>
        </w:tc>
      </w:tr>
      <w:tr>
        <w:trPr>
          <w:trHeight w:val="216"/>
        </w:trPr>
        <w:tc>
          <w:tcPr>
            <w:tcW w:w="75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5,225</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282,250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324,647</w:t>
            </w:r>
          </w:p>
        </w:tc>
        <w:tc>
          <w:tcPr>
            <w:tcW w:w="100" w:type="dxa"/>
            <w:vAlign w:val="bottom"/>
          </w:tcPr>
          <w:p>
            <w:pPr>
              <w:spacing w:after="0"/>
              <w:rPr>
                <w:sz w:val="18"/>
                <w:szCs w:val="18"/>
                <w:color w:val="auto"/>
              </w:rPr>
            </w:pPr>
          </w:p>
        </w:tc>
      </w:tr>
      <w:tr>
        <w:trPr>
          <w:trHeight w:val="209"/>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2,315</w:t>
            </w: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6,736</w:t>
            </w:r>
          </w:p>
        </w:tc>
        <w:tc>
          <w:tcPr>
            <w:tcW w:w="100" w:type="dxa"/>
            <w:vAlign w:val="bottom"/>
          </w:tcPr>
          <w:p>
            <w:pPr>
              <w:spacing w:after="0"/>
              <w:rPr>
                <w:sz w:val="18"/>
                <w:szCs w:val="18"/>
                <w:color w:val="auto"/>
              </w:rPr>
            </w:pPr>
          </w:p>
        </w:tc>
      </w:tr>
      <w:tr>
        <w:trPr>
          <w:trHeight w:val="216"/>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9,155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9,439</w:t>
            </w: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18"/>
                <w:szCs w:val="18"/>
                <w:color w:val="auto"/>
              </w:rPr>
            </w:pPr>
          </w:p>
        </w:tc>
      </w:tr>
      <w:tr>
        <w:trPr>
          <w:trHeight w:val="249"/>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5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300,351</w:t>
            </w:r>
          </w:p>
        </w:tc>
        <w:tc>
          <w:tcPr>
            <w:tcW w:w="16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343,320</w:t>
            </w:r>
          </w:p>
        </w:tc>
        <w:tc>
          <w:tcPr>
            <w:tcW w:w="100" w:type="dxa"/>
            <w:vAlign w:val="bottom"/>
            <w:shd w:val="clear" w:color="auto" w:fill="CFF0FC"/>
          </w:tcPr>
          <w:p>
            <w:pPr>
              <w:spacing w:after="0"/>
              <w:rPr>
                <w:sz w:val="21"/>
                <w:szCs w:val="21"/>
                <w:color w:val="auto"/>
              </w:rPr>
            </w:pPr>
          </w:p>
        </w:tc>
      </w:tr>
      <w:tr>
        <w:trPr>
          <w:trHeight w:val="197"/>
        </w:trPr>
        <w:tc>
          <w:tcPr>
            <w:tcW w:w="752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5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4,564</w:t>
            </w:r>
          </w:p>
        </w:tc>
        <w:tc>
          <w:tcPr>
            <w:tcW w:w="16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6,275</w:t>
            </w:r>
          </w:p>
        </w:tc>
        <w:tc>
          <w:tcPr>
            <w:tcW w:w="100" w:type="dxa"/>
            <w:vAlign w:val="bottom"/>
          </w:tcPr>
          <w:p>
            <w:pPr>
              <w:spacing w:after="0"/>
              <w:rPr>
                <w:sz w:val="18"/>
                <w:szCs w:val="18"/>
                <w:color w:val="auto"/>
              </w:rPr>
            </w:pPr>
          </w:p>
        </w:tc>
      </w:tr>
      <w:tr>
        <w:trPr>
          <w:trHeight w:val="216"/>
        </w:trPr>
        <w:tc>
          <w:tcPr>
            <w:tcW w:w="75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15,534</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20,277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20,098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26,552</w:t>
            </w:r>
          </w:p>
        </w:tc>
        <w:tc>
          <w:tcPr>
            <w:tcW w:w="100" w:type="dxa"/>
            <w:vAlign w:val="bottom"/>
          </w:tcPr>
          <w:p>
            <w:pPr>
              <w:spacing w:after="0"/>
              <w:rPr>
                <w:sz w:val="18"/>
                <w:szCs w:val="18"/>
                <w:color w:val="auto"/>
              </w:rPr>
            </w:pPr>
          </w:p>
        </w:tc>
      </w:tr>
      <w:tr>
        <w:trPr>
          <w:trHeight w:val="209"/>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Term loan, net</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48,961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50,106</w:t>
            </w: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18,172</w:t>
            </w:r>
          </w:p>
        </w:tc>
        <w:tc>
          <w:tcPr>
            <w:tcW w:w="100" w:type="dxa"/>
            <w:vAlign w:val="bottom"/>
          </w:tcPr>
          <w:p>
            <w:pPr>
              <w:spacing w:after="0"/>
              <w:rPr>
                <w:sz w:val="18"/>
                <w:szCs w:val="18"/>
                <w:color w:val="auto"/>
              </w:rPr>
            </w:pPr>
          </w:p>
        </w:tc>
      </w:tr>
      <w:tr>
        <w:trPr>
          <w:trHeight w:val="216"/>
        </w:trPr>
        <w:tc>
          <w:tcPr>
            <w:tcW w:w="7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88,407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96,382</w:t>
            </w:r>
          </w:p>
        </w:tc>
        <w:tc>
          <w:tcPr>
            <w:tcW w:w="100" w:type="dxa"/>
            <w:vAlign w:val="bottom"/>
          </w:tcPr>
          <w:p>
            <w:pPr>
              <w:spacing w:after="0"/>
              <w:rPr>
                <w:sz w:val="18"/>
                <w:szCs w:val="18"/>
                <w:color w:val="auto"/>
              </w:rPr>
            </w:pPr>
          </w:p>
        </w:tc>
      </w:tr>
      <w:tr>
        <w:trPr>
          <w:trHeight w:val="210"/>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 Note 13</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5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$0.00001 par value per share; 10,000,000 shares authorized and no shares issued and</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March 31, 2026 and December 31, 2025</w:t>
            </w: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$0.00001 par value per share; 700,000,000 shares authorized and 287,276,885 and</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285,051,648 issued and outstanding as of March 31, 2026 and December 31, 2025, respectively</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r>
      <w:tr>
        <w:trPr>
          <w:trHeight w:val="216"/>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964,666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958,427</w:t>
            </w: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(192)</w:t>
            </w:r>
          </w:p>
        </w:tc>
      </w:tr>
      <w:tr>
        <w:trPr>
          <w:trHeight w:val="216"/>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(753,710)</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(711,300)</w:t>
            </w:r>
          </w:p>
        </w:tc>
      </w:tr>
      <w:tr>
        <w:trPr>
          <w:trHeight w:val="210"/>
        </w:trPr>
        <w:tc>
          <w:tcPr>
            <w:tcW w:w="7520" w:type="dxa"/>
            <w:vAlign w:val="bottom"/>
            <w:tcBorders>
              <w:top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top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211,944</w:t>
            </w: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246,938</w:t>
            </w:r>
          </w:p>
        </w:tc>
        <w:tc>
          <w:tcPr>
            <w:tcW w:w="100" w:type="dxa"/>
            <w:vAlign w:val="bottom"/>
            <w:tcBorders>
              <w:top w:val="single" w:sz="8" w:color="CFF0FC"/>
            </w:tcBorders>
          </w:tcPr>
          <w:p>
            <w:pPr>
              <w:spacing w:after="0"/>
              <w:rPr>
                <w:sz w:val="18"/>
                <w:szCs w:val="18"/>
                <w:color w:val="auto"/>
              </w:rPr>
            </w:pPr>
          </w:p>
        </w:tc>
      </w:tr>
      <w:tr>
        <w:trPr>
          <w:trHeight w:val="230"/>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300,351</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343,320</w:t>
            </w:r>
          </w:p>
        </w:tc>
        <w:tc>
          <w:tcPr>
            <w:tcW w:w="100" w:type="dxa"/>
            <w:vAlign w:val="bottom"/>
            <w:shd w:val="clear" w:color="auto" w:fill="CFF0FC"/>
          </w:tcPr>
          <w:p>
            <w:pPr>
              <w:spacing w:after="0"/>
              <w:rPr>
                <w:sz w:val="19"/>
                <w:szCs w:val="19"/>
                <w:color w:val="auto"/>
              </w:rPr>
            </w:pPr>
          </w:p>
        </w:tc>
      </w:tr>
      <w:tr>
        <w:trPr>
          <w:trHeight w:val="20"/>
        </w:trPr>
        <w:tc>
          <w:tcPr>
            <w:tcW w:w="75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-3693795</wp:posOffset>
            </wp:positionV>
            <wp:extent cx="685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-3693795</wp:posOffset>
            </wp:positionV>
            <wp:extent cx="685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-2845435</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-2828290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-2845435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-2828290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-2271395</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-2271395</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-1704975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-1704975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-316865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ind w:left="4520"/>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31"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For the Three Months</w:t>
      </w: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Ended March 31,</w:t>
      </w:r>
    </w:p>
    <w:tbl>
      <w:tblPr>
        <w:tblLayout w:type="fixed"/>
        <w:tblInd w:w="0" w:type="dxa"/>
        <w:tblCellMar>
          <w:top w:w="0" w:type="dxa"/>
          <w:left w:w="0" w:type="dxa"/>
          <w:bottom w:w="0" w:type="dxa"/>
          <w:right w:w="0" w:type="dxa"/>
        </w:tblCellMar>
      </w:tblPr>
      <w:tr>
        <w:trPr>
          <w:trHeight w:val="142"/>
        </w:trPr>
        <w:tc>
          <w:tcPr>
            <w:tcW w:w="62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09"/>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90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2,302</w:t>
            </w:r>
          </w:p>
        </w:tc>
        <w:tc>
          <w:tcPr>
            <w:tcW w:w="100" w:type="dxa"/>
            <w:vAlign w:val="bottom"/>
            <w:shd w:val="clear" w:color="auto" w:fill="CFF0FC"/>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5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33,809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15,565</w:t>
            </w:r>
          </w:p>
        </w:tc>
        <w:tc>
          <w:tcPr>
            <w:tcW w:w="100" w:type="dxa"/>
            <w:vAlign w:val="bottom"/>
            <w:shd w:val="clear" w:color="auto" w:fill="CFF0FC"/>
          </w:tcPr>
          <w:p>
            <w:pPr>
              <w:spacing w:after="0"/>
              <w:rPr>
                <w:sz w:val="18"/>
                <w:szCs w:val="18"/>
                <w:color w:val="auto"/>
              </w:rPr>
            </w:pPr>
          </w:p>
        </w:tc>
      </w:tr>
      <w:tr>
        <w:trPr>
          <w:trHeight w:val="216"/>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5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8,158</w:t>
            </w:r>
          </w:p>
        </w:tc>
        <w:tc>
          <w:tcPr>
            <w:tcW w:w="100" w:type="dxa"/>
            <w:vAlign w:val="bottom"/>
          </w:tcPr>
          <w:p>
            <w:pPr>
              <w:spacing w:after="0"/>
              <w:rPr>
                <w:sz w:val="18"/>
                <w:szCs w:val="18"/>
                <w:color w:val="auto"/>
              </w:rPr>
            </w:pPr>
          </w:p>
        </w:tc>
      </w:tr>
      <w:tr>
        <w:trPr>
          <w:trHeight w:val="209"/>
        </w:trPr>
        <w:tc>
          <w:tcPr>
            <w:tcW w:w="62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5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43,486</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23,723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(43,486)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(21,421)</w:t>
            </w:r>
          </w:p>
        </w:tc>
      </w:tr>
      <w:tr>
        <w:trPr>
          <w:trHeight w:val="210"/>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(expense) income:</w:t>
            </w:r>
          </w:p>
        </w:tc>
        <w:tc>
          <w:tcPr>
            <w:tcW w:w="154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8"/>
                <w:szCs w:val="18"/>
                <w:color w:val="auto"/>
              </w:rPr>
            </w:pPr>
          </w:p>
        </w:tc>
      </w:tr>
      <w:tr>
        <w:trPr>
          <w:trHeight w:val="216"/>
        </w:trPr>
        <w:tc>
          <w:tcPr>
            <w:tcW w:w="6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Change in fair value of term loan</w:t>
            </w:r>
          </w:p>
        </w:tc>
        <w:tc>
          <w:tcPr>
            <w:tcW w:w="15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(1,470)</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(1,530)</w:t>
            </w:r>
          </w:p>
        </w:tc>
      </w:tr>
      <w:tr>
        <w:trPr>
          <w:trHeight w:val="216"/>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1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100" w:type="dxa"/>
            <w:vAlign w:val="bottom"/>
          </w:tcPr>
          <w:p>
            <w:pPr>
              <w:spacing w:after="0"/>
              <w:rPr>
                <w:sz w:val="18"/>
                <w:szCs w:val="18"/>
                <w:color w:val="auto"/>
              </w:rPr>
            </w:pPr>
          </w:p>
        </w:tc>
      </w:tr>
      <w:tr>
        <w:trPr>
          <w:trHeight w:val="216"/>
        </w:trPr>
        <w:tc>
          <w:tcPr>
            <w:tcW w:w="6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5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 (expense)</w:t>
            </w:r>
          </w:p>
        </w:tc>
        <w:tc>
          <w:tcPr>
            <w:tcW w:w="1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8"/>
                <w:szCs w:val="18"/>
                <w:color w:val="auto"/>
              </w:rPr>
            </w:pPr>
          </w:p>
        </w:tc>
      </w:tr>
      <w:tr>
        <w:trPr>
          <w:trHeight w:val="20"/>
        </w:trPr>
        <w:tc>
          <w:tcPr>
            <w:tcW w:w="6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5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(108)</w:t>
            </w:r>
          </w:p>
        </w:tc>
      </w:tr>
      <w:tr>
        <w:trPr>
          <w:trHeight w:val="20"/>
        </w:trPr>
        <w:tc>
          <w:tcPr>
            <w:tcW w:w="6200" w:type="dxa"/>
            <w:vAlign w:val="bottom"/>
            <w:shd w:val="clear" w:color="auto" w:fill="CFF0FC"/>
          </w:tcPr>
          <w:p>
            <w:pPr>
              <w:spacing w:after="0" w:line="20" w:lineRule="exact"/>
              <w:rPr>
                <w:sz w:val="1"/>
                <w:szCs w:val="1"/>
                <w:color w:val="auto"/>
              </w:rPr>
            </w:pPr>
          </w:p>
        </w:tc>
        <w:tc>
          <w:tcPr>
            <w:tcW w:w="15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6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54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(42,410)</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(21,529)</w:t>
            </w:r>
          </w:p>
        </w:tc>
      </w:tr>
      <w:tr>
        <w:trPr>
          <w:trHeight w:val="20"/>
        </w:trPr>
        <w:tc>
          <w:tcPr>
            <w:tcW w:w="6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154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(0.12)</w:t>
            </w: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(0.08)</w:t>
            </w:r>
          </w:p>
        </w:tc>
      </w:tr>
      <w:tr>
        <w:trPr>
          <w:trHeight w:val="209"/>
        </w:trPr>
        <w:tc>
          <w:tcPr>
            <w:tcW w:w="62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154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366,632,827</w:t>
            </w: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269,306,331</w:t>
            </w:r>
          </w:p>
        </w:tc>
        <w:tc>
          <w:tcPr>
            <w:tcW w:w="100" w:type="dxa"/>
            <w:vAlign w:val="bottom"/>
            <w:tcBorders>
              <w:top w:val="single" w:sz="8" w:color="CFF0FC"/>
            </w:tcBorders>
          </w:tcPr>
          <w:p>
            <w:pPr>
              <w:spacing w:after="0"/>
              <w:rPr>
                <w:sz w:val="18"/>
                <w:szCs w:val="18"/>
                <w:color w:val="auto"/>
              </w:rPr>
            </w:pPr>
          </w:p>
        </w:tc>
      </w:tr>
      <w:tr>
        <w:trPr>
          <w:trHeight w:val="20"/>
        </w:trPr>
        <w:tc>
          <w:tcPr>
            <w:tcW w:w="6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-1585595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-1585595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-462280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-462280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60" w:type="dxa"/>
            <w:vAlign w:val="bottom"/>
          </w:tcPr>
          <w:p>
            <w:pPr>
              <w:spacing w:after="0"/>
              <w:rPr>
                <w:sz w:val="15"/>
                <w:szCs w:val="15"/>
                <w:color w:val="auto"/>
              </w:rPr>
            </w:pPr>
          </w:p>
        </w:tc>
        <w:tc>
          <w:tcPr>
            <w:tcW w:w="3680" w:type="dxa"/>
            <w:vAlign w:val="bottom"/>
            <w:gridSpan w:val="7"/>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142"/>
        </w:trPr>
        <w:tc>
          <w:tcPr>
            <w:tcW w:w="7560" w:type="dxa"/>
            <w:vAlign w:val="bottom"/>
          </w:tcPr>
          <w:p>
            <w:pPr>
              <w:spacing w:after="0"/>
              <w:rPr>
                <w:sz w:val="12"/>
                <w:szCs w:val="12"/>
                <w:color w:val="auto"/>
              </w:rPr>
            </w:pPr>
          </w:p>
        </w:tc>
        <w:tc>
          <w:tcPr>
            <w:tcW w:w="1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r>
      <w:tr>
        <w:trPr>
          <w:trHeight w:val="210"/>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100" w:type="dxa"/>
            <w:vAlign w:val="bottom"/>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(42,410)</w:t>
            </w: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(21,529)</w:t>
            </w: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w:t>
            </w: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5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Change in fair value of term loan attributable to instrument specific credit risk</w:t>
            </w:r>
          </w:p>
        </w:tc>
        <w:tc>
          <w:tcPr>
            <w:tcW w:w="110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1100" w:type="dxa"/>
            <w:vAlign w:val="bottom"/>
          </w:tcPr>
          <w:p>
            <w:pPr>
              <w:jc w:val="right"/>
              <w:ind w:right="779"/>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(41,233)</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(19,784)</w:t>
            </w:r>
          </w:p>
        </w:tc>
      </w:tr>
      <w:tr>
        <w:trPr>
          <w:trHeight w:val="20"/>
        </w:trPr>
        <w:tc>
          <w:tcPr>
            <w:tcW w:w="75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-170815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2026</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540" w:type="dxa"/>
            <w:vAlign w:val="bottom"/>
          </w:tcPr>
          <w:p>
            <w:pPr>
              <w:spacing w:after="0"/>
              <w:rPr>
                <w:sz w:val="13"/>
                <w:szCs w:val="13"/>
                <w:color w:val="auto"/>
              </w:rPr>
            </w:pPr>
          </w:p>
        </w:tc>
        <w:tc>
          <w:tcPr>
            <w:tcW w:w="1480" w:type="dxa"/>
            <w:vAlign w:val="bottom"/>
            <w:tcBorders>
              <w:bottom w:val="single" w:sz="8" w:color="auto"/>
            </w:tcBorders>
            <w:gridSpan w:val="3"/>
          </w:tcPr>
          <w:p>
            <w:pPr>
              <w:jc w:val="right"/>
              <w:ind w:right="122"/>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3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vMerge w:val="restart"/>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08"/>
        </w:trPr>
        <w:tc>
          <w:tcPr>
            <w:tcW w:w="45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3"/>
              </w:rPr>
              <w:t>Paid-in</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2"/>
          </w:tcPr>
          <w:p>
            <w:pPr>
              <w:jc w:val="right"/>
              <w:ind w:right="3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400" w:type="dxa"/>
            <w:vAlign w:val="bottom"/>
            <w:gridSpan w:val="3"/>
          </w:tcPr>
          <w:p>
            <w:pPr>
              <w:jc w:val="right"/>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8"/>
              </w:rPr>
              <w:t>Accumulated Other</w:t>
            </w:r>
          </w:p>
        </w:tc>
        <w:tc>
          <w:tcPr>
            <w:tcW w:w="100" w:type="dxa"/>
            <w:vAlign w:val="bottom"/>
          </w:tcPr>
          <w:p>
            <w:pPr>
              <w:spacing w:after="0"/>
              <w:rPr>
                <w:sz w:val="11"/>
                <w:szCs w:val="11"/>
                <w:color w:val="auto"/>
              </w:rPr>
            </w:pPr>
          </w:p>
        </w:tc>
        <w:tc>
          <w:tcPr>
            <w:tcW w:w="106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Stockholders'</w:t>
            </w:r>
          </w:p>
        </w:tc>
        <w:tc>
          <w:tcPr>
            <w:tcW w:w="0" w:type="dxa"/>
            <w:vAlign w:val="bottom"/>
          </w:tcPr>
          <w:p>
            <w:pPr>
              <w:spacing w:after="0"/>
              <w:rPr>
                <w:sz w:val="1"/>
                <w:szCs w:val="1"/>
                <w:color w:val="auto"/>
              </w:rPr>
            </w:pPr>
          </w:p>
        </w:tc>
      </w:tr>
      <w:tr>
        <w:trPr>
          <w:trHeight w:val="155"/>
        </w:trPr>
        <w:tc>
          <w:tcPr>
            <w:tcW w:w="4540" w:type="dxa"/>
            <w:vAlign w:val="bottom"/>
          </w:tcPr>
          <w:p>
            <w:pPr>
              <w:spacing w:after="0"/>
              <w:rPr>
                <w:sz w:val="13"/>
                <w:szCs w:val="13"/>
                <w:color w:val="auto"/>
              </w:rPr>
            </w:pPr>
          </w:p>
        </w:tc>
        <w:tc>
          <w:tcPr>
            <w:tcW w:w="102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3"/>
                <w:szCs w:val="13"/>
                <w:color w:val="auto"/>
              </w:rPr>
            </w:pPr>
          </w:p>
        </w:tc>
        <w:tc>
          <w:tcPr>
            <w:tcW w:w="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220" w:type="dxa"/>
            <w:vAlign w:val="bottom"/>
          </w:tcPr>
          <w:p>
            <w:pPr>
              <w:spacing w:after="0"/>
              <w:rPr>
                <w:sz w:val="13"/>
                <w:szCs w:val="13"/>
                <w:color w:val="auto"/>
              </w:rPr>
            </w:pP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Comprehensive Loss</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454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as of December 31, 2025</w:t>
            </w:r>
          </w:p>
        </w:tc>
        <w:tc>
          <w:tcPr>
            <w:tcW w:w="10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285,051,648</w:t>
            </w:r>
          </w:p>
        </w:tc>
        <w:tc>
          <w:tcPr>
            <w:tcW w:w="460" w:type="dxa"/>
            <w:vAlign w:val="bottom"/>
            <w:gridSpan w:val="2"/>
            <w:shd w:val="clear" w:color="auto" w:fill="CFF0FC"/>
          </w:tcPr>
          <w:p>
            <w:pPr>
              <w:jc w:val="right"/>
              <w:ind w:right="122"/>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3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w:t>
            </w:r>
          </w:p>
        </w:tc>
        <w:tc>
          <w:tcPr>
            <w:tcW w:w="28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958,427</w:t>
            </w:r>
          </w:p>
        </w:tc>
        <w:tc>
          <w:tcPr>
            <w:tcW w:w="30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100" w:type="dxa"/>
            <w:vAlign w:val="bottom"/>
            <w:gridSpan w:val="2"/>
            <w:shd w:val="clear" w:color="auto" w:fill="CFF0FC"/>
          </w:tcPr>
          <w:p>
            <w:pPr>
              <w:jc w:val="right"/>
              <w:ind w:right="180"/>
              <w:spacing w:after="0" w:line="129" w:lineRule="exact"/>
              <w:rPr>
                <w:sz w:val="20"/>
                <w:szCs w:val="20"/>
                <w:color w:val="auto"/>
              </w:rPr>
            </w:pPr>
            <w:r>
              <w:rPr>
                <w:rFonts w:ascii="Times New Roman" w:cs="Times New Roman" w:eastAsia="Times New Roman" w:hAnsi="Times New Roman"/>
                <w:sz w:val="13"/>
                <w:szCs w:val="13"/>
                <w:b w:val="1"/>
                <w:bCs w:val="1"/>
                <w:color w:val="auto"/>
              </w:rPr>
              <w:t>(711,300)</w:t>
            </w:r>
          </w:p>
        </w:tc>
        <w:tc>
          <w:tcPr>
            <w:tcW w:w="480" w:type="dxa"/>
            <w:vAlign w:val="bottom"/>
            <w:shd w:val="clear" w:color="auto" w:fill="CFF0FC"/>
          </w:tcPr>
          <w:p>
            <w:pPr>
              <w:jc w:val="right"/>
              <w:ind w:right="36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20" w:type="dxa"/>
            <w:vAlign w:val="bottom"/>
            <w:gridSpan w:val="2"/>
            <w:shd w:val="clear" w:color="auto" w:fill="CFF0FC"/>
          </w:tcPr>
          <w:p>
            <w:pPr>
              <w:jc w:val="right"/>
              <w:ind w:right="180"/>
              <w:spacing w:after="0" w:line="129" w:lineRule="exact"/>
              <w:rPr>
                <w:sz w:val="20"/>
                <w:szCs w:val="20"/>
                <w:color w:val="auto"/>
              </w:rPr>
            </w:pPr>
            <w:r>
              <w:rPr>
                <w:rFonts w:ascii="Times New Roman" w:cs="Times New Roman" w:eastAsia="Times New Roman" w:hAnsi="Times New Roman"/>
                <w:sz w:val="13"/>
                <w:szCs w:val="13"/>
                <w:b w:val="1"/>
                <w:bCs w:val="1"/>
                <w:color w:val="auto"/>
              </w:rPr>
              <w:t>(192)</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246,938</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Stock-based compensation</w:t>
            </w: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5,547</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spacing w:after="0"/>
              <w:rPr>
                <w:sz w:val="11"/>
                <w:szCs w:val="11"/>
                <w:color w:val="auto"/>
              </w:rPr>
            </w:pPr>
          </w:p>
        </w:tc>
        <w:tc>
          <w:tcPr>
            <w:tcW w:w="9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5,547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Issuance of common stock upon vesting and settlement of restricted stock units, net</w:t>
            </w:r>
          </w:p>
        </w:tc>
        <w:tc>
          <w:tcPr>
            <w:tcW w:w="10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1,777,840</w:t>
            </w: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0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FF0FC"/>
          </w:tcPr>
          <w:p>
            <w:pPr>
              <w:spacing w:after="0"/>
              <w:rPr>
                <w:sz w:val="11"/>
                <w:szCs w:val="11"/>
                <w:color w:val="auto"/>
              </w:rPr>
            </w:pPr>
          </w:p>
        </w:tc>
        <w:tc>
          <w:tcPr>
            <w:tcW w:w="92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Issuance of stock upon exercise of stock options</w:t>
            </w: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368,979</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516</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spacing w:after="0"/>
              <w:rPr>
                <w:sz w:val="11"/>
                <w:szCs w:val="11"/>
                <w:color w:val="auto"/>
              </w:rPr>
            </w:pPr>
          </w:p>
        </w:tc>
        <w:tc>
          <w:tcPr>
            <w:tcW w:w="9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516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Issuance of common stock under ESPP</w:t>
            </w:r>
          </w:p>
        </w:tc>
        <w:tc>
          <w:tcPr>
            <w:tcW w:w="10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78,418</w:t>
            </w: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176</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0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FF0FC"/>
          </w:tcPr>
          <w:p>
            <w:pPr>
              <w:spacing w:after="0"/>
              <w:rPr>
                <w:sz w:val="11"/>
                <w:szCs w:val="11"/>
                <w:color w:val="auto"/>
              </w:rPr>
            </w:pPr>
          </w:p>
        </w:tc>
        <w:tc>
          <w:tcPr>
            <w:tcW w:w="92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176</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Gain on instrument-specific credit risk</w:t>
            </w: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1,177</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1,177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10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0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(42,410)</w:t>
            </w:r>
          </w:p>
        </w:tc>
        <w:tc>
          <w:tcPr>
            <w:tcW w:w="480" w:type="dxa"/>
            <w:vAlign w:val="bottom"/>
            <w:shd w:val="clear" w:color="auto" w:fill="CFF0FC"/>
          </w:tcPr>
          <w:p>
            <w:pPr>
              <w:spacing w:after="0"/>
              <w:rPr>
                <w:sz w:val="11"/>
                <w:szCs w:val="11"/>
                <w:color w:val="auto"/>
              </w:rPr>
            </w:pPr>
          </w:p>
        </w:tc>
        <w:tc>
          <w:tcPr>
            <w:tcW w:w="92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(42,410)</w:t>
            </w:r>
          </w:p>
        </w:tc>
        <w:tc>
          <w:tcPr>
            <w:tcW w:w="0" w:type="dxa"/>
            <w:vAlign w:val="bottom"/>
          </w:tcPr>
          <w:p>
            <w:pPr>
              <w:spacing w:after="0"/>
              <w:rPr>
                <w:sz w:val="1"/>
                <w:szCs w:val="1"/>
                <w:color w:val="auto"/>
              </w:rPr>
            </w:pPr>
          </w:p>
        </w:tc>
      </w:tr>
      <w:tr>
        <w:trPr>
          <w:trHeight w:val="20"/>
        </w:trPr>
        <w:tc>
          <w:tcPr>
            <w:tcW w:w="454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454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as of March 31, 2026</w:t>
            </w:r>
          </w:p>
        </w:tc>
        <w:tc>
          <w:tcPr>
            <w:tcW w:w="10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287,276,885</w:t>
            </w:r>
          </w:p>
        </w:tc>
        <w:tc>
          <w:tcPr>
            <w:tcW w:w="220" w:type="dxa"/>
            <w:vAlign w:val="bottom"/>
          </w:tcPr>
          <w:p>
            <w:pPr>
              <w:spacing w:after="0"/>
              <w:rPr>
                <w:sz w:val="11"/>
                <w:szCs w:val="11"/>
                <w:color w:val="auto"/>
              </w:rPr>
            </w:pPr>
          </w:p>
        </w:tc>
        <w:tc>
          <w:tcPr>
            <w:tcW w:w="240" w:type="dxa"/>
            <w:vAlign w:val="bottom"/>
          </w:tcPr>
          <w:p>
            <w:pPr>
              <w:jc w:val="right"/>
              <w:ind w:right="12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3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w:t>
            </w:r>
          </w:p>
        </w:tc>
        <w:tc>
          <w:tcPr>
            <w:tcW w:w="22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964,666</w:t>
            </w:r>
          </w:p>
        </w:tc>
        <w:tc>
          <w:tcPr>
            <w:tcW w:w="22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100" w:type="dxa"/>
            <w:vAlign w:val="bottom"/>
            <w:gridSpan w:val="2"/>
          </w:tcPr>
          <w:p>
            <w:pPr>
              <w:jc w:val="right"/>
              <w:ind w:right="180"/>
              <w:spacing w:after="0" w:line="129" w:lineRule="exact"/>
              <w:rPr>
                <w:sz w:val="20"/>
                <w:szCs w:val="20"/>
                <w:color w:val="auto"/>
              </w:rPr>
            </w:pPr>
            <w:r>
              <w:rPr>
                <w:rFonts w:ascii="Times New Roman" w:cs="Times New Roman" w:eastAsia="Times New Roman" w:hAnsi="Times New Roman"/>
                <w:sz w:val="13"/>
                <w:szCs w:val="13"/>
                <w:b w:val="1"/>
                <w:bCs w:val="1"/>
                <w:color w:val="auto"/>
              </w:rPr>
              <w:t>(753,710)</w:t>
            </w:r>
          </w:p>
        </w:tc>
        <w:tc>
          <w:tcPr>
            <w:tcW w:w="480" w:type="dxa"/>
            <w:vAlign w:val="bottom"/>
          </w:tcPr>
          <w:p>
            <w:pPr>
              <w:jc w:val="right"/>
              <w:ind w:right="36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985</w:t>
            </w:r>
          </w:p>
        </w:tc>
        <w:tc>
          <w:tcPr>
            <w:tcW w:w="22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211,944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-119380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-119380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-119380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-119380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-119380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-119380</wp:posOffset>
            </wp:positionV>
            <wp:extent cx="774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2025</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40" w:type="dxa"/>
            <w:vAlign w:val="bottom"/>
          </w:tcPr>
          <w:p>
            <w:pPr>
              <w:spacing w:after="0"/>
              <w:rPr>
                <w:sz w:val="14"/>
                <w:szCs w:val="14"/>
                <w:color w:val="auto"/>
              </w:rPr>
            </w:pPr>
          </w:p>
        </w:tc>
        <w:tc>
          <w:tcPr>
            <w:tcW w:w="1480" w:type="dxa"/>
            <w:vAlign w:val="bottom"/>
            <w:gridSpan w:val="3"/>
            <w:vMerge w:val="restart"/>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2"/>
        </w:trPr>
        <w:tc>
          <w:tcPr>
            <w:tcW w:w="4540" w:type="dxa"/>
            <w:vAlign w:val="bottom"/>
          </w:tcPr>
          <w:p>
            <w:pPr>
              <w:spacing w:after="0"/>
              <w:rPr>
                <w:sz w:val="13"/>
                <w:szCs w:val="13"/>
                <w:color w:val="auto"/>
              </w:rPr>
            </w:pPr>
          </w:p>
        </w:tc>
        <w:tc>
          <w:tcPr>
            <w:tcW w:w="1480" w:type="dxa"/>
            <w:vAlign w:val="bottom"/>
            <w:tcBorders>
              <w:bottom w:val="single" w:sz="8" w:color="auto"/>
            </w:tcBorders>
            <w:gridSpan w:val="3"/>
            <w:vMerge w:val="continue"/>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80" w:type="dxa"/>
            <w:vAlign w:val="bottom"/>
          </w:tcPr>
          <w:p>
            <w:pPr>
              <w:spacing w:after="0"/>
              <w:rPr>
                <w:sz w:val="13"/>
                <w:szCs w:val="13"/>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3"/>
                <w:szCs w:val="13"/>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Accumulated Other</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25"/>
        </w:trPr>
        <w:tc>
          <w:tcPr>
            <w:tcW w:w="45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right"/>
              <w:ind w:right="280"/>
              <w:spacing w:after="0" w:line="126"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4540" w:type="dxa"/>
            <w:vAlign w:val="bottom"/>
          </w:tcPr>
          <w:p>
            <w:pPr>
              <w:spacing w:after="0"/>
              <w:rPr>
                <w:sz w:val="14"/>
                <w:szCs w:val="14"/>
                <w:color w:val="auto"/>
              </w:rPr>
            </w:pPr>
          </w:p>
        </w:tc>
        <w:tc>
          <w:tcPr>
            <w:tcW w:w="102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Pr>
          <w:p>
            <w:pPr>
              <w:spacing w:after="0"/>
              <w:rPr>
                <w:sz w:val="14"/>
                <w:szCs w:val="14"/>
                <w:color w:val="auto"/>
              </w:rPr>
            </w:pPr>
          </w:p>
        </w:tc>
        <w:tc>
          <w:tcPr>
            <w:tcW w:w="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3"/>
                <w:szCs w:val="13"/>
                <w:b w:val="1"/>
                <w:bCs w:val="1"/>
                <w:color w:val="auto"/>
              </w:rPr>
              <w:t>Loss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December 31, 2024</w:t>
            </w:r>
          </w:p>
        </w:tc>
        <w:tc>
          <w:tcPr>
            <w:tcW w:w="10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204,943,306</w:t>
            </w:r>
          </w:p>
        </w:tc>
        <w:tc>
          <w:tcPr>
            <w:tcW w:w="460" w:type="dxa"/>
            <w:vAlign w:val="bottom"/>
            <w:gridSpan w:val="2"/>
            <w:shd w:val="clear" w:color="auto" w:fill="CFF0FC"/>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w:t>
            </w:r>
          </w:p>
        </w:tc>
        <w:tc>
          <w:tcPr>
            <w:tcW w:w="3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677,859</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(602,305)</w:t>
            </w:r>
          </w:p>
        </w:tc>
        <w:tc>
          <w:tcPr>
            <w:tcW w:w="180" w:type="dxa"/>
            <w:vAlign w:val="bottom"/>
            <w:gridSpan w:val="2"/>
            <w:shd w:val="clear" w:color="auto" w:fill="CFF0FC"/>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(4,031)</w:t>
            </w:r>
          </w:p>
        </w:tc>
        <w:tc>
          <w:tcPr>
            <w:tcW w:w="20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71,525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3,294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3,294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54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upon vesting and settlement of restricted stock</w:t>
            </w: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52,938</w:t>
            </w:r>
          </w:p>
        </w:tc>
        <w:tc>
          <w:tcPr>
            <w:tcW w:w="2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6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shd w:val="clear" w:color="auto" w:fill="CFF0FC"/>
          </w:tcPr>
          <w:p>
            <w:pPr>
              <w:spacing w:after="0"/>
              <w:rPr>
                <w:sz w:val="10"/>
                <w:szCs w:val="10"/>
                <w:color w:val="auto"/>
              </w:rPr>
            </w:pPr>
          </w:p>
        </w:tc>
        <w:tc>
          <w:tcPr>
            <w:tcW w:w="10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6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171"/>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units, net</w:t>
            </w:r>
          </w:p>
        </w:tc>
        <w:tc>
          <w:tcPr>
            <w:tcW w:w="102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2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6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under ESPP</w:t>
            </w: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58,326</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Gain on instrument-specific credit risk</w:t>
            </w: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1,745</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1,745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(21,529)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(21,529)</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5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March 31, 2025</w:t>
            </w:r>
          </w:p>
        </w:tc>
        <w:tc>
          <w:tcPr>
            <w:tcW w:w="10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205,054,570</w:t>
            </w:r>
          </w:p>
        </w:tc>
        <w:tc>
          <w:tcPr>
            <w:tcW w:w="460" w:type="dxa"/>
            <w:vAlign w:val="bottom"/>
            <w:gridSpan w:val="2"/>
            <w:shd w:val="clear" w:color="auto" w:fill="CFF0FC"/>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w:t>
            </w:r>
          </w:p>
        </w:tc>
        <w:tc>
          <w:tcPr>
            <w:tcW w:w="3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681,177</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(623,834)</w:t>
            </w:r>
          </w:p>
        </w:tc>
        <w:tc>
          <w:tcPr>
            <w:tcW w:w="180" w:type="dxa"/>
            <w:vAlign w:val="bottom"/>
            <w:gridSpan w:val="2"/>
            <w:shd w:val="clear" w:color="auto" w:fill="CFF0FC"/>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(2,286)</w:t>
            </w:r>
          </w:p>
        </w:tc>
        <w:tc>
          <w:tcPr>
            <w:tcW w:w="20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55,059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54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-25400</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-8255</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-25400</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-8255</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-25400</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-8255</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-25400</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-8255</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-25400</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-8255</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tbl>
      <w:tblPr>
        <w:tblLayout w:type="fixed"/>
        <w:tblInd w:w="0" w:type="dxa"/>
        <w:tblCellMar>
          <w:top w:w="0" w:type="dxa"/>
          <w:left w:w="0" w:type="dxa"/>
          <w:bottom w:w="0" w:type="dxa"/>
          <w:right w:w="0" w:type="dxa"/>
        </w:tblCellMar>
      </w:tblPr>
      <w:tr>
        <w:trPr>
          <w:trHeight w:val="158"/>
        </w:trPr>
        <w:tc>
          <w:tcPr>
            <w:tcW w:w="7520" w:type="dxa"/>
            <w:vAlign w:val="bottom"/>
          </w:tcPr>
          <w:p>
            <w:pPr>
              <w:spacing w:after="0"/>
              <w:rPr>
                <w:sz w:val="13"/>
                <w:szCs w:val="13"/>
                <w:color w:val="auto"/>
              </w:rPr>
            </w:pPr>
          </w:p>
        </w:tc>
        <w:tc>
          <w:tcPr>
            <w:tcW w:w="3720" w:type="dxa"/>
            <w:vAlign w:val="bottom"/>
            <w:gridSpan w:val="7"/>
          </w:tcPr>
          <w:p>
            <w:pPr>
              <w:jc w:val="right"/>
              <w:ind w:right="700"/>
              <w:spacing w:after="0" w:line="157" w:lineRule="exact"/>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142"/>
        </w:trPr>
        <w:tc>
          <w:tcPr>
            <w:tcW w:w="752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right"/>
              <w:ind w:right="6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09"/>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tcPr>
          <w:p>
            <w:pPr>
              <w:jc w:val="right"/>
              <w:ind w:right="820"/>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(42,410)</w:t>
            </w:r>
          </w:p>
        </w:tc>
        <w:tc>
          <w:tcPr>
            <w:tcW w:w="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(21,529)</w:t>
            </w:r>
          </w:p>
        </w:tc>
      </w:tr>
      <w:tr>
        <w:trPr>
          <w:trHeight w:val="216"/>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9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expense</w:t>
            </w:r>
          </w:p>
        </w:tc>
        <w:tc>
          <w:tcPr>
            <w:tcW w:w="9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Pr>
          <w:p>
            <w:pPr>
              <w:spacing w:after="0"/>
              <w:rPr>
                <w:sz w:val="18"/>
                <w:szCs w:val="18"/>
                <w:color w:val="auto"/>
              </w:rPr>
            </w:pPr>
          </w:p>
        </w:tc>
      </w:tr>
      <w:tr>
        <w:trPr>
          <w:trHeight w:val="216"/>
        </w:trPr>
        <w:tc>
          <w:tcPr>
            <w:tcW w:w="7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9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3,294</w:t>
            </w: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9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7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Non-cash change in fair value of term loan</w:t>
            </w:r>
          </w:p>
        </w:tc>
        <w:tc>
          <w:tcPr>
            <w:tcW w:w="9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Non-cash lease expense</w:t>
            </w:r>
          </w:p>
        </w:tc>
        <w:tc>
          <w:tcPr>
            <w:tcW w:w="9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Pr>
          <w:p>
            <w:pPr>
              <w:spacing w:after="0"/>
              <w:rPr>
                <w:sz w:val="18"/>
                <w:szCs w:val="18"/>
                <w:color w:val="auto"/>
              </w:rPr>
            </w:pPr>
          </w:p>
        </w:tc>
      </w:tr>
      <w:tr>
        <w:trPr>
          <w:trHeight w:val="216"/>
        </w:trPr>
        <w:tc>
          <w:tcPr>
            <w:tcW w:w="7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9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(1,052)</w:t>
            </w:r>
          </w:p>
        </w:tc>
      </w:tr>
      <w:tr>
        <w:trPr>
          <w:trHeight w:val="216"/>
        </w:trPr>
        <w:tc>
          <w:tcPr>
            <w:tcW w:w="7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payable</w:t>
            </w:r>
          </w:p>
        </w:tc>
        <w:tc>
          <w:tcPr>
            <w:tcW w:w="9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100" w:type="dxa"/>
            <w:vAlign w:val="bottom"/>
          </w:tcPr>
          <w:p>
            <w:pPr>
              <w:spacing w:after="0"/>
              <w:rPr>
                <w:sz w:val="18"/>
                <w:szCs w:val="18"/>
                <w:color w:val="auto"/>
              </w:rPr>
            </w:pPr>
          </w:p>
        </w:tc>
      </w:tr>
      <w:tr>
        <w:trPr>
          <w:trHeight w:val="216"/>
        </w:trPr>
        <w:tc>
          <w:tcPr>
            <w:tcW w:w="75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9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(5,149)</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(2,125)</w:t>
            </w:r>
          </w:p>
        </w:tc>
      </w:tr>
      <w:tr>
        <w:trPr>
          <w:trHeight w:val="216"/>
        </w:trPr>
        <w:tc>
          <w:tcPr>
            <w:tcW w:w="7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Deferred revenue</w:t>
            </w:r>
          </w:p>
        </w:tc>
        <w:tc>
          <w:tcPr>
            <w:tcW w:w="9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(2,302)</w:t>
            </w:r>
          </w:p>
        </w:tc>
      </w:tr>
      <w:tr>
        <w:trPr>
          <w:trHeight w:val="20"/>
        </w:trPr>
        <w:tc>
          <w:tcPr>
            <w:tcW w:w="75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9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(40,878)</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(22,020)</w:t>
            </w:r>
          </w:p>
        </w:tc>
      </w:tr>
      <w:tr>
        <w:trPr>
          <w:trHeight w:val="209"/>
        </w:trPr>
        <w:tc>
          <w:tcPr>
            <w:tcW w:w="75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 of research and development license</w:t>
            </w:r>
          </w:p>
        </w:tc>
        <w:tc>
          <w:tcPr>
            <w:tcW w:w="9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9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(378)</w:t>
            </w:r>
          </w:p>
        </w:tc>
      </w:tr>
      <w:tr>
        <w:trPr>
          <w:trHeight w:val="216"/>
        </w:trPr>
        <w:tc>
          <w:tcPr>
            <w:tcW w:w="7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9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(3,024)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(371)</w:t>
            </w:r>
          </w:p>
        </w:tc>
      </w:tr>
      <w:tr>
        <w:trPr>
          <w:trHeight w:val="210"/>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8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Payment of shelf registration costs</w:t>
            </w:r>
          </w:p>
        </w:tc>
        <w:tc>
          <w:tcPr>
            <w:tcW w:w="9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common stock issuances under ESPP</w:t>
            </w:r>
          </w:p>
        </w:tc>
        <w:tc>
          <w:tcPr>
            <w:tcW w:w="9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stock option exercises</w:t>
            </w:r>
          </w:p>
        </w:tc>
        <w:tc>
          <w:tcPr>
            <w:tcW w:w="9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(80)</w:t>
            </w:r>
          </w:p>
        </w:tc>
      </w:tr>
      <w:tr>
        <w:trPr>
          <w:trHeight w:val="20"/>
        </w:trPr>
        <w:tc>
          <w:tcPr>
            <w:tcW w:w="75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9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w:t>
            </w:r>
          </w:p>
        </w:tc>
      </w:tr>
      <w:tr>
        <w:trPr>
          <w:trHeight w:val="20"/>
        </w:trPr>
        <w:tc>
          <w:tcPr>
            <w:tcW w:w="75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decrease in cash, cash equivalents and restricted cash</w:t>
            </w:r>
          </w:p>
        </w:tc>
        <w:tc>
          <w:tcPr>
            <w:tcW w:w="9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(43,191)</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(22,443)</w:t>
            </w: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the beginning of the period</w:t>
            </w:r>
          </w:p>
        </w:tc>
        <w:tc>
          <w:tcPr>
            <w:tcW w:w="9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322,531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141,636</w:t>
            </w:r>
          </w:p>
        </w:tc>
        <w:tc>
          <w:tcPr>
            <w:tcW w:w="100" w:type="dxa"/>
            <w:vAlign w:val="bottom"/>
          </w:tcPr>
          <w:p>
            <w:pPr>
              <w:spacing w:after="0"/>
              <w:rPr>
                <w:sz w:val="18"/>
                <w:szCs w:val="18"/>
                <w:color w:val="auto"/>
              </w:rPr>
            </w:pPr>
          </w:p>
        </w:tc>
      </w:tr>
      <w:tr>
        <w:trPr>
          <w:trHeight w:val="250"/>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the end of the period</w:t>
            </w:r>
          </w:p>
        </w:tc>
        <w:tc>
          <w:tcPr>
            <w:tcW w:w="980" w:type="dxa"/>
            <w:vAlign w:val="bottom"/>
            <w:shd w:val="clear" w:color="auto" w:fill="CFF0FC"/>
          </w:tcPr>
          <w:p>
            <w:pPr>
              <w:jc w:val="right"/>
              <w:ind w:right="82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279,340</w:t>
            </w:r>
          </w:p>
        </w:tc>
        <w:tc>
          <w:tcPr>
            <w:tcW w:w="160" w:type="dxa"/>
            <w:vAlign w:val="bottom"/>
            <w:shd w:val="clear" w:color="auto" w:fill="CFF0FC"/>
          </w:tcPr>
          <w:p>
            <w:pPr>
              <w:spacing w:after="0"/>
              <w:rPr>
                <w:sz w:val="21"/>
                <w:szCs w:val="21"/>
                <w:color w:val="auto"/>
              </w:rPr>
            </w:pPr>
          </w:p>
        </w:tc>
        <w:tc>
          <w:tcPr>
            <w:tcW w:w="5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119,193</w:t>
            </w:r>
          </w:p>
        </w:tc>
        <w:tc>
          <w:tcPr>
            <w:tcW w:w="100" w:type="dxa"/>
            <w:vAlign w:val="bottom"/>
            <w:shd w:val="clear" w:color="auto" w:fill="CFF0FC"/>
          </w:tcPr>
          <w:p>
            <w:pPr>
              <w:spacing w:after="0"/>
              <w:rPr>
                <w:sz w:val="21"/>
                <w:szCs w:val="21"/>
                <w:color w:val="auto"/>
              </w:rPr>
            </w:pPr>
          </w:p>
        </w:tc>
      </w:tr>
      <w:tr>
        <w:trPr>
          <w:trHeight w:val="196"/>
        </w:trPr>
        <w:tc>
          <w:tcPr>
            <w:tcW w:w="7520" w:type="dxa"/>
            <w:vAlign w:val="bottom"/>
            <w:tcBorders>
              <w:top w:val="single" w:sz="8" w:color="CFF0FC"/>
            </w:tcBorders>
          </w:tcPr>
          <w:p>
            <w:pPr>
              <w:ind w:left="280"/>
              <w:spacing w:after="0" w:line="196" w:lineRule="exact"/>
              <w:rPr>
                <w:sz w:val="20"/>
                <w:szCs w:val="20"/>
                <w:color w:val="auto"/>
              </w:rPr>
            </w:pPr>
            <w:r>
              <w:rPr>
                <w:rFonts w:ascii="Times New Roman" w:cs="Times New Roman" w:eastAsia="Times New Roman" w:hAnsi="Times New Roman"/>
                <w:sz w:val="18"/>
                <w:szCs w:val="18"/>
                <w:color w:val="auto"/>
              </w:rPr>
              <w:t>Cash and cash equivalents</w:t>
            </w:r>
          </w:p>
        </w:tc>
        <w:tc>
          <w:tcPr>
            <w:tcW w:w="9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276,576</w:t>
            </w:r>
          </w:p>
        </w:tc>
        <w:tc>
          <w:tcPr>
            <w:tcW w:w="16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116,593</w:t>
            </w:r>
          </w:p>
        </w:tc>
        <w:tc>
          <w:tcPr>
            <w:tcW w:w="100" w:type="dxa"/>
            <w:vAlign w:val="bottom"/>
            <w:tcBorders>
              <w:top w:val="single" w:sz="8" w:color="CFF0FC"/>
            </w:tcBorders>
          </w:tcPr>
          <w:p>
            <w:pPr>
              <w:spacing w:after="0"/>
              <w:rPr>
                <w:sz w:val="17"/>
                <w:szCs w:val="17"/>
                <w:color w:val="auto"/>
              </w:rPr>
            </w:pPr>
          </w:p>
        </w:tc>
      </w:tr>
      <w:tr>
        <w:trPr>
          <w:trHeight w:val="216"/>
        </w:trPr>
        <w:tc>
          <w:tcPr>
            <w:tcW w:w="752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Restricted cash</w:t>
            </w:r>
          </w:p>
        </w:tc>
        <w:tc>
          <w:tcPr>
            <w:tcW w:w="98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2,764</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the end of the period</w:t>
            </w:r>
          </w:p>
        </w:tc>
        <w:tc>
          <w:tcPr>
            <w:tcW w:w="980" w:type="dxa"/>
            <w:vAlign w:val="bottom"/>
          </w:tcPr>
          <w:p>
            <w:pPr>
              <w:jc w:val="right"/>
              <w:ind w:right="82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279,340</w:t>
            </w:r>
          </w:p>
        </w:tc>
        <w:tc>
          <w:tcPr>
            <w:tcW w:w="160" w:type="dxa"/>
            <w:vAlign w:val="bottom"/>
          </w:tcPr>
          <w:p>
            <w:pPr>
              <w:spacing w:after="0"/>
              <w:rPr>
                <w:sz w:val="18"/>
                <w:szCs w:val="18"/>
                <w:color w:val="auto"/>
              </w:rPr>
            </w:pPr>
          </w:p>
        </w:tc>
        <w:tc>
          <w:tcPr>
            <w:tcW w:w="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119,193</w:t>
            </w:r>
          </w:p>
        </w:tc>
        <w:tc>
          <w:tcPr>
            <w:tcW w:w="100" w:type="dxa"/>
            <w:vAlign w:val="bottom"/>
          </w:tcPr>
          <w:p>
            <w:pPr>
              <w:spacing w:after="0"/>
              <w:rPr>
                <w:sz w:val="18"/>
                <w:szCs w:val="18"/>
                <w:color w:val="auto"/>
              </w:rPr>
            </w:pPr>
          </w:p>
        </w:tc>
      </w:tr>
      <w:tr>
        <w:trPr>
          <w:trHeight w:val="20"/>
        </w:trPr>
        <w:tc>
          <w:tcPr>
            <w:tcW w:w="75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5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9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980" w:type="dxa"/>
            <w:vAlign w:val="bottom"/>
          </w:tcPr>
          <w:p>
            <w:pPr>
              <w:jc w:val="right"/>
              <w:ind w:right="820"/>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160" w:type="dxa"/>
            <w:vAlign w:val="bottom"/>
          </w:tcPr>
          <w:p>
            <w:pPr>
              <w:spacing w:after="0"/>
              <w:rPr>
                <w:sz w:val="18"/>
                <w:szCs w:val="18"/>
                <w:color w:val="auto"/>
              </w:rPr>
            </w:pPr>
          </w:p>
        </w:tc>
        <w:tc>
          <w:tcPr>
            <w:tcW w:w="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100" w:type="dxa"/>
            <w:vAlign w:val="bottom"/>
          </w:tcPr>
          <w:p>
            <w:pPr>
              <w:spacing w:after="0"/>
              <w:rPr>
                <w:sz w:val="18"/>
                <w:szCs w:val="18"/>
                <w:color w:val="auto"/>
              </w:rPr>
            </w:pPr>
          </w:p>
        </w:tc>
      </w:tr>
      <w:tr>
        <w:trPr>
          <w:trHeight w:val="216"/>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9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Offering costs not yet paid</w:t>
            </w:r>
          </w:p>
        </w:tc>
        <w:tc>
          <w:tcPr>
            <w:tcW w:w="98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-3002915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-3002915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-2445385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-2445385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-1605280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-1605280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-1031240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-1014095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-1031240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-1014095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-730885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-730885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1—Organization and Description of Business Operations</w:t>
      </w:r>
    </w:p>
    <w:p>
      <w:pPr>
        <w:spacing w:after="0" w:line="121" w:lineRule="exact"/>
        <w:rPr>
          <w:sz w:val="20"/>
          <w:szCs w:val="20"/>
          <w:color w:val="auto"/>
        </w:rPr>
      </w:pPr>
    </w:p>
    <w:p>
      <w:pPr>
        <w:ind w:right="200" w:firstLine="749"/>
        <w:spacing w:after="0" w:line="266" w:lineRule="auto"/>
        <w:rPr>
          <w:sz w:val="20"/>
          <w:szCs w:val="20"/>
          <w:color w:val="auto"/>
        </w:rPr>
      </w:pPr>
      <w:r>
        <w:rPr>
          <w:rFonts w:ascii="Times New Roman" w:cs="Times New Roman" w:eastAsia="Times New Roman" w:hAnsi="Times New Roman"/>
          <w:sz w:val="18"/>
          <w:szCs w:val="18"/>
          <w:color w:val="auto"/>
        </w:rPr>
        <w:t>Taysha Gene Therapies, Inc. (the “Company” or “Taysha”) was originally formed under the laws of the State of Texas on September 20, 2019. Taysha converted to a Delaware corporation on February 13, 2020, which had no impact to the Company’s par value or issued and authorized capital structure.</w:t>
      </w:r>
    </w:p>
    <w:p>
      <w:pPr>
        <w:spacing w:after="0" w:line="176"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Taysha is a clinical-stage biotechnology company focused on advancing AAV-based gene therapies for severe monogenic diseases of the central nervous system.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Agreement</w:t>
      </w:r>
    </w:p>
    <w:p>
      <w:pPr>
        <w:spacing w:after="0" w:line="121"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On October 5, 2021, the Company entered into a Sales Agreement (the “Sales Agreement”) with SVB Securities LLC (f/k/a SVB Leerink LLC) and Wells Fargo Securities, LLC (collectively, the “Sales Agents”), pursuant to which the Company may issue and sell, from time to time in its sole discretion, shares of its common stock having an aggregate offering price of up to $150.0 million through the Sales Agents. In March 2022, the Company amended the Sales Agreement to, among other things, include Goldman Sachs &amp; Co. LLC as an additional Sales Agent. The Sales Agents may sell common stock by any method permitted by law deemed to be an “at-the-market offering” as defined in Rule 415(a)(4) of the Securities Act, including sales made directly on or through the Nasdaq Global Select Market or any other existing trade market for the common stock, in negotiated transactions at market prices prevailing at the time of sale or at prices related to prevailing market prices, or any other method permitted by law. The Sales Agents are entitled to receive 3.0% of the gross sales price per share of common stock sold under the Sales Agreement. In April 2022, the Company sold 2,000,000 shares of common stock under the Sales Agreement and received $11.6 million in net proceeds.</w:t>
      </w:r>
    </w:p>
    <w:p>
      <w:pPr>
        <w:spacing w:after="0" w:line="188" w:lineRule="exact"/>
        <w:rPr>
          <w:sz w:val="20"/>
          <w:szCs w:val="20"/>
          <w:color w:val="auto"/>
        </w:rPr>
      </w:pPr>
    </w:p>
    <w:p>
      <w:pPr>
        <w:ind w:right="400" w:firstLine="749"/>
        <w:spacing w:after="0" w:line="261" w:lineRule="auto"/>
        <w:rPr>
          <w:sz w:val="20"/>
          <w:szCs w:val="20"/>
          <w:color w:val="auto"/>
        </w:rPr>
      </w:pPr>
      <w:r>
        <w:rPr>
          <w:rFonts w:ascii="Times New Roman" w:cs="Times New Roman" w:eastAsia="Times New Roman" w:hAnsi="Times New Roman"/>
          <w:sz w:val="18"/>
          <w:szCs w:val="18"/>
          <w:color w:val="auto"/>
        </w:rPr>
        <w:t>On December 13, 2024, the Company filed a new shelf registration statement on Form S-3 following the expiration of its prior registration statement, in relation to the registration of common stock, preferred stock, debt securities, warrants and units or any combination thereof up to a total aggregate offering price of $300.0 million, including up to $100.0 million shares of common stock that could be offered and sold pursuant to the Sales Agreement.</w:t>
      </w:r>
    </w:p>
    <w:p>
      <w:pPr>
        <w:spacing w:after="0" w:line="180"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On November 4, 2025, the Company and Leerink Partners LLC entered into an Amendment to the Sales Agreement pursuant to which the Sales Agreement was terminated solely with respect to Leerink Partners LLC. In addition, on November 4, 2025, the Company and Goldman Sachs &amp; Co. LLC and Wells Fargo Securities, LLC, as sales agents (the “Remaining Sales Agents”), entered into an Amendment to the Sales Agreement (together with the Sales Agreement, the “Amended Sales Agreement”), to provide for an increase in the aggregate offering amount under the Sales Agreement, such that as of November 4, 2025, the Company may offer and sell shares of common stock having an aggregate offering price of up to $212.0 million under the Amended Sales Agreement. The material terms and conditions of the Sales Agreement otherwise remain unchanged. In November and December 2025, the Company sold 10,230,186 shares of common stock under the Amended Sales Agreement and received $48.4 million in net proceeds.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The Company has incurred operating losses since inception and expects to continue to incur significant operating losses for the foreseeable future and may never become profitable. Losses are expected to continue as the Company continues to invest in its research and development activities. As of March 31, 2026, the Company had an accumulated deficit of $753.7 million. The Company expects to continue to incur significant expenses and operating losses for the foreseeable future.</w:t>
      </w:r>
    </w:p>
    <w:p>
      <w:pPr>
        <w:spacing w:after="0" w:line="180" w:lineRule="exact"/>
        <w:rPr>
          <w:sz w:val="20"/>
          <w:szCs w:val="20"/>
          <w:color w:val="auto"/>
        </w:rPr>
      </w:pPr>
    </w:p>
    <w:p>
      <w:pPr>
        <w:ind w:right="120" w:firstLine="749"/>
        <w:spacing w:after="0" w:line="253" w:lineRule="auto"/>
        <w:rPr>
          <w:sz w:val="20"/>
          <w:szCs w:val="20"/>
          <w:color w:val="auto"/>
        </w:rPr>
      </w:pPr>
      <w:r>
        <w:rPr>
          <w:rFonts w:ascii="Times New Roman" w:cs="Times New Roman" w:eastAsia="Times New Roman" w:hAnsi="Times New Roman"/>
          <w:sz w:val="18"/>
          <w:szCs w:val="18"/>
          <w:color w:val="auto"/>
        </w:rPr>
        <w:t>Future capital requirements will depend on many factors, including the timing and extent of spending on research and development and the market acceptance of the Company’s products. The Company will need to obtain additional financing in order to complete clinical studies and launch and commercialize any product candidates for which it receives regulatory approval. There can be no assurance that such financing will be available or will be on terms acceptable to the Company. As of March 31, 2026, the Company had cash and cash equivalents of $276.6 million, which the Company believes will be sufficient to fund its planned operations for a period of at least twelve months from the date of issuance of these unaudited condensed consolidated financial statements. The Company has based this estimate on assumptions that may prove to be wrong, and its operating plan may change as a result of many factors currently unknown to it. As a result, the Company could deplete its capital resources sooner than it currently expects. The Company expects to finance its future cash needs through a combination of equity offerings, debt financings, collaborations, strategic alliances or licensing arrangements. If the Company is unable to obtain funding, the Company would be forced to delay, reduce or eliminate some or all of its research and development programs, preclinical and clinical testing or commercialization efforts, which could adversely affect its business prospects.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The unaudited condensed consolidated financial statements have been prepared in conformity with accounting principles generally accepted in the United States (“GAAP”) as determined by the Financial Accounting Standards Board (“FASB”) Accounting Standards Codification (“ASC”) for interim financial information and the instructions to Form 10-Q and Article 10 of Regulation S-X and are consistent in all material respects with those included in the Company’s Annual Report on Form 10-K for the year ended December 31, 2025, filed with the Securities and Exchange Commission (“SEC”) on March 19, 2026 (the “2025 Annual Report”). In the opinion of management, the unaudited condensed consolidated financial statements reflect all adjustments, which include only normal recurring adjustments necessary for the fair statement of the balances and results for the periods presented. The condensed consolidated balance sheet as of December 31, 2025 is derived from audited financial statements, however, it does not include all of the information and footnotes required by GAAP for complete financial statements. These unaudited condensed consolidated financial statements should be read in conjunction with the consolidated financial statements and related notes in the Company’s 2025 Annual Report.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121" w:lineRule="exact"/>
        <w:rPr>
          <w:sz w:val="20"/>
          <w:szCs w:val="20"/>
          <w:color w:val="auto"/>
        </w:rPr>
      </w:pPr>
    </w:p>
    <w:p>
      <w:pPr>
        <w:ind w:right="220" w:firstLine="749"/>
        <w:spacing w:after="0" w:line="282" w:lineRule="auto"/>
        <w:rPr>
          <w:sz w:val="20"/>
          <w:szCs w:val="20"/>
          <w:color w:val="auto"/>
        </w:rPr>
      </w:pPr>
      <w:r>
        <w:rPr>
          <w:rFonts w:ascii="Times New Roman" w:cs="Times New Roman" w:eastAsia="Times New Roman" w:hAnsi="Times New Roman"/>
          <w:sz w:val="18"/>
          <w:szCs w:val="18"/>
          <w:color w:val="auto"/>
        </w:rPr>
        <w:t>The accompanying interim condensed consolidated financial statements include the accounts of Taysha and its wholly owned subsidiaries. All intercompany transactions and balances have been eliminated in consolidation.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expenses during the reporting period. The most significant estimates and assumptions in the Company’s financial statements relate to estimating manufacturing accruals and accrued or prepaid research and development expenses, the measurement of impairment of long-lived assets, and the valuation of the Trinity Term Loans (as defined below) that are carried at fair value.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that are not readily apparent from other sources. Actual results may differ materially from these estimates. To the extent there are material differences between the estimates and actual results, the Company’s future results of operations will be affected.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Policies</w:t>
      </w:r>
    </w:p>
    <w:p>
      <w:pPr>
        <w:spacing w:after="0" w:line="121" w:lineRule="exact"/>
        <w:rPr>
          <w:sz w:val="20"/>
          <w:szCs w:val="20"/>
          <w:color w:val="auto"/>
        </w:rPr>
      </w:pPr>
    </w:p>
    <w:p>
      <w:pPr>
        <w:ind w:right="600" w:firstLine="749"/>
        <w:spacing w:after="0" w:line="282" w:lineRule="auto"/>
        <w:rPr>
          <w:sz w:val="20"/>
          <w:szCs w:val="20"/>
          <w:color w:val="auto"/>
        </w:rPr>
      </w:pPr>
      <w:r>
        <w:rPr>
          <w:rFonts w:ascii="Times New Roman" w:cs="Times New Roman" w:eastAsia="Times New Roman" w:hAnsi="Times New Roman"/>
          <w:sz w:val="18"/>
          <w:szCs w:val="18"/>
          <w:color w:val="auto"/>
        </w:rPr>
        <w:t>There have been no changes in the Company’s significant accounting policies as disclosed in Note 2 to the audited consolidated financial statements included in the 2025 Annual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21" w:lineRule="exact"/>
        <w:rPr>
          <w:sz w:val="20"/>
          <w:szCs w:val="20"/>
          <w:color w:val="auto"/>
        </w:rPr>
      </w:pPr>
    </w:p>
    <w:p>
      <w:pPr>
        <w:ind w:right="400" w:firstLine="749"/>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in recently adopted accounting pronouncements from those disclosed in the section titled “Financial Statements and Supplementary Data” included in the 2025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1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 - Reporting Comprehensive Income - Expense Disaggregation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w:t>
      </w:r>
      <w:r>
        <w:rPr>
          <w:rFonts w:ascii="Times New Roman" w:cs="Times New Roman" w:eastAsia="Times New Roman" w:hAnsi="Times New Roman"/>
          <w:sz w:val="18"/>
          <w:szCs w:val="18"/>
          <w:color w:val="auto"/>
        </w:rPr>
        <w:t>, to improve expense disclosure requirements under ASC 220,</w:t>
      </w:r>
      <w:r>
        <w:rPr>
          <w:rFonts w:ascii="Times New Roman" w:cs="Times New Roman" w:eastAsia="Times New Roman" w:hAnsi="Times New Roman"/>
          <w:sz w:val="18"/>
          <w:szCs w:val="18"/>
          <w:i w:val="1"/>
          <w:iCs w:val="1"/>
          <w:color w:val="auto"/>
        </w:rPr>
        <w:t xml:space="preserve"> Income Statement - Reporting Comprehensive Income</w:t>
      </w:r>
      <w:r>
        <w:rPr>
          <w:rFonts w:ascii="Times New Roman" w:cs="Times New Roman" w:eastAsia="Times New Roman" w:hAnsi="Times New Roman"/>
          <w:sz w:val="18"/>
          <w:szCs w:val="18"/>
          <w:color w:val="auto"/>
        </w:rPr>
        <w:t>, through enhancing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disclosures about significant segment expenses. The guidance requires entities to provide additional disclosure about specific expenses by requiring entities to disaggregate, in a tabular presentation, each relevant expense caption on the face of the income statement that includes any of the following natural expenses (1) purchases of inventory, (2) employees compensation, (3) depreciation, (4) intangible asset amortization, and (5) depreciation, depletion and amortization recognized as part of oil - and gas - producing activities or other types of depletion expenses. The tabular disclosure would also include certain other expenses, when applicable. The ASU also enhances interim segment reporting requirements by aligning interim disclosures with information that must be disclosed annually in accordance with ASC 220. The guidance is effective for annual</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ind w:right="260"/>
        <w:spacing w:after="0" w:line="282" w:lineRule="auto"/>
        <w:rPr>
          <w:sz w:val="20"/>
          <w:szCs w:val="20"/>
          <w:color w:val="auto"/>
        </w:rPr>
      </w:pPr>
      <w:r>
        <w:rPr>
          <w:rFonts w:ascii="Times New Roman" w:cs="Times New Roman" w:eastAsia="Times New Roman" w:hAnsi="Times New Roman"/>
          <w:sz w:val="18"/>
          <w:szCs w:val="18"/>
          <w:color w:val="auto"/>
        </w:rPr>
        <w:t>periods beginning after December 15, 2026, and interim periods beginning after December 15, 2027, applied either prospectively or retrospectively with early adoption permitted. The Company is still evaluating the impact this ASU will have on its disclosures.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3—Fair Value Measurements</w:t>
      </w:r>
    </w:p>
    <w:p>
      <w:pPr>
        <w:spacing w:after="0" w:line="121"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The Company’s financial instruments that are measured at fair value on a recurring basis consist of money market funds, the Trinity Term Loans and the success fee derivative liabilities.</w:t>
      </w:r>
    </w:p>
    <w:p>
      <w:pPr>
        <w:spacing w:after="0" w:line="162" w:lineRule="exact"/>
        <w:rPr>
          <w:sz w:val="20"/>
          <w:szCs w:val="20"/>
          <w:color w:val="auto"/>
        </w:rPr>
      </w:pPr>
    </w:p>
    <w:p>
      <w:pPr>
        <w:ind w:right="40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and liabilities measured at fair value on a recurring basis and indicate the level of the fair value hierarchy used to determine such fair values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3"/>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4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18"/>
                <w:szCs w:val="18"/>
                <w:color w:val="auto"/>
              </w:rPr>
            </w:pPr>
          </w:p>
        </w:tc>
      </w:tr>
      <w:tr>
        <w:trPr>
          <w:trHeight w:val="216"/>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equivalents – money market funds</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274,210</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274,210</w:t>
            </w:r>
          </w:p>
        </w:tc>
        <w:tc>
          <w:tcPr>
            <w:tcW w:w="122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274,210</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274,210</w:t>
            </w:r>
          </w:p>
        </w:tc>
        <w:tc>
          <w:tcPr>
            <w:tcW w:w="1220" w:type="dxa"/>
            <w:vAlign w:val="bottom"/>
            <w:gridSpan w:val="2"/>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7"/>
        </w:trPr>
        <w:tc>
          <w:tcPr>
            <w:tcW w:w="414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112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41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Trinity Term Loans</w:t>
            </w: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48,961</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48,961</w:t>
            </w:r>
          </w:p>
        </w:tc>
        <w:tc>
          <w:tcPr>
            <w:tcW w:w="100" w:type="dxa"/>
            <w:vAlign w:val="bottom"/>
            <w:shd w:val="clear" w:color="auto" w:fill="CFF0FC"/>
          </w:tcPr>
          <w:p>
            <w:pPr>
              <w:spacing w:after="0"/>
              <w:rPr>
                <w:sz w:val="18"/>
                <w:szCs w:val="18"/>
                <w:color w:val="auto"/>
              </w:rPr>
            </w:pPr>
          </w:p>
        </w:tc>
      </w:tr>
      <w:tr>
        <w:trPr>
          <w:trHeight w:val="216"/>
        </w:trPr>
        <w:tc>
          <w:tcPr>
            <w:tcW w:w="4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Success Fee Derivative liabilities</w:t>
            </w:r>
          </w:p>
        </w:tc>
        <w:tc>
          <w:tcPr>
            <w:tcW w:w="1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100" w:type="dxa"/>
            <w:vAlign w:val="bottom"/>
          </w:tcPr>
          <w:p>
            <w:pPr>
              <w:spacing w:after="0"/>
              <w:rPr>
                <w:sz w:val="18"/>
                <w:szCs w:val="18"/>
                <w:color w:val="auto"/>
              </w:rPr>
            </w:pPr>
          </w:p>
        </w:tc>
      </w:tr>
      <w:tr>
        <w:trPr>
          <w:trHeight w:val="230"/>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50,543</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50,543</w:t>
            </w:r>
          </w:p>
        </w:tc>
        <w:tc>
          <w:tcPr>
            <w:tcW w:w="100" w:type="dxa"/>
            <w:vAlign w:val="bottom"/>
            <w:shd w:val="clear" w:color="auto" w:fill="CFF0FC"/>
          </w:tcPr>
          <w:p>
            <w:pPr>
              <w:spacing w:after="0"/>
              <w:rPr>
                <w:sz w:val="19"/>
                <w:szCs w:val="19"/>
                <w:color w:val="auto"/>
              </w:rPr>
            </w:pPr>
          </w:p>
        </w:tc>
      </w:tr>
      <w:tr>
        <w:trPr>
          <w:trHeight w:val="20"/>
        </w:trPr>
        <w:tc>
          <w:tcPr>
            <w:tcW w:w="414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-607695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-590550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-607695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-590550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-607695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-590550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-607695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-590550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-24765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-7620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-24765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-7620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-24765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-7620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3"/>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4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18"/>
                <w:szCs w:val="18"/>
                <w:color w:val="auto"/>
              </w:rPr>
            </w:pPr>
          </w:p>
        </w:tc>
      </w:tr>
      <w:tr>
        <w:trPr>
          <w:trHeight w:val="216"/>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equivalents – money market funds</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317,127</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317,127</w:t>
            </w:r>
          </w:p>
        </w:tc>
        <w:tc>
          <w:tcPr>
            <w:tcW w:w="122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317,127</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317,127</w:t>
            </w:r>
          </w:p>
        </w:tc>
        <w:tc>
          <w:tcPr>
            <w:tcW w:w="1220" w:type="dxa"/>
            <w:vAlign w:val="bottom"/>
            <w:gridSpan w:val="2"/>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416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116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41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Trinity Term Loans</w:t>
            </w:r>
          </w:p>
        </w:tc>
        <w:tc>
          <w:tcPr>
            <w:tcW w:w="1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50,106</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50,106</w:t>
            </w:r>
          </w:p>
        </w:tc>
        <w:tc>
          <w:tcPr>
            <w:tcW w:w="100" w:type="dxa"/>
            <w:vAlign w:val="bottom"/>
            <w:shd w:val="clear" w:color="auto" w:fill="CFF0FC"/>
          </w:tcPr>
          <w:p>
            <w:pPr>
              <w:spacing w:after="0"/>
              <w:rPr>
                <w:sz w:val="18"/>
                <w:szCs w:val="18"/>
                <w:color w:val="auto"/>
              </w:rPr>
            </w:pPr>
          </w:p>
        </w:tc>
      </w:tr>
      <w:tr>
        <w:trPr>
          <w:trHeight w:val="216"/>
        </w:trPr>
        <w:tc>
          <w:tcPr>
            <w:tcW w:w="4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Success Fee Derivative liability</w:t>
            </w:r>
          </w:p>
        </w:tc>
        <w:tc>
          <w:tcPr>
            <w:tcW w:w="1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100" w:type="dxa"/>
            <w:vAlign w:val="bottom"/>
          </w:tcPr>
          <w:p>
            <w:pPr>
              <w:spacing w:after="0"/>
              <w:rPr>
                <w:sz w:val="18"/>
                <w:szCs w:val="18"/>
                <w:color w:val="auto"/>
              </w:rPr>
            </w:pPr>
          </w:p>
        </w:tc>
      </w:tr>
      <w:tr>
        <w:trPr>
          <w:trHeight w:val="230"/>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51,658</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51,658</w:t>
            </w:r>
          </w:p>
        </w:tc>
        <w:tc>
          <w:tcPr>
            <w:tcW w:w="100" w:type="dxa"/>
            <w:vAlign w:val="bottom"/>
            <w:shd w:val="clear" w:color="auto" w:fill="CFF0FC"/>
          </w:tcPr>
          <w:p>
            <w:pPr>
              <w:spacing w:after="0"/>
              <w:rPr>
                <w:sz w:val="19"/>
                <w:szCs w:val="19"/>
                <w:color w:val="auto"/>
              </w:rPr>
            </w:pPr>
          </w:p>
        </w:tc>
      </w:tr>
      <w:tr>
        <w:trPr>
          <w:trHeight w:val="20"/>
        </w:trPr>
        <w:tc>
          <w:tcPr>
            <w:tcW w:w="416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-607695</wp:posOffset>
            </wp:positionV>
            <wp:extent cx="774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-590550</wp:posOffset>
            </wp:positionV>
            <wp:extent cx="774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-607695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-590550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-607695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-590550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-607695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-590550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-24765</wp:posOffset>
            </wp:positionV>
            <wp:extent cx="774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-7620</wp:posOffset>
            </wp:positionV>
            <wp:extent cx="7747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-24765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-7620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-24765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-7620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740" w:firstLine="749"/>
        <w:spacing w:after="0" w:line="282" w:lineRule="auto"/>
        <w:rPr>
          <w:sz w:val="20"/>
          <w:szCs w:val="20"/>
          <w:color w:val="auto"/>
        </w:rPr>
      </w:pPr>
      <w:r>
        <w:rPr>
          <w:rFonts w:ascii="Times New Roman" w:cs="Times New Roman" w:eastAsia="Times New Roman" w:hAnsi="Times New Roman"/>
          <w:sz w:val="18"/>
          <w:szCs w:val="18"/>
          <w:color w:val="auto"/>
        </w:rPr>
        <w:t>The Company classifies its money market funds, which are valued based on quoted market prices in an active market with no valuation adjustment, as Level 1 assets within the fair value hierarchy.</w:t>
      </w:r>
    </w:p>
    <w:p>
      <w:pPr>
        <w:spacing w:after="0" w:line="162" w:lineRule="exact"/>
        <w:rPr>
          <w:sz w:val="20"/>
          <w:szCs w:val="20"/>
          <w:color w:val="auto"/>
        </w:rPr>
      </w:pPr>
    </w:p>
    <w:p>
      <w:pPr>
        <w:jc w:val="both"/>
        <w:ind w:right="140" w:firstLine="749"/>
        <w:spacing w:after="0" w:line="261" w:lineRule="auto"/>
        <w:rPr>
          <w:sz w:val="20"/>
          <w:szCs w:val="20"/>
          <w:color w:val="auto"/>
        </w:rPr>
      </w:pPr>
      <w:r>
        <w:rPr>
          <w:rFonts w:ascii="Times New Roman" w:cs="Times New Roman" w:eastAsia="Times New Roman" w:hAnsi="Times New Roman"/>
          <w:sz w:val="18"/>
          <w:szCs w:val="18"/>
          <w:color w:val="auto"/>
        </w:rPr>
        <w:t>The Company’s Trinity Term Loans and Success Fee liabilities are classified as Level 3 measurements under the fair value hierarchy as the fair values were determined based on significant inputs not observable in the market. The fair values were determined utilizing a probability-weighted income approach, including variables for the timing of a success event and other probability estimates. See Note 7 for additional information on the Trinity Term Loans and Success Fees (as defined below).</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4—Balance Sheet Components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50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Pr>
          <w:p>
            <w:pPr>
              <w:spacing w:after="0"/>
              <w:rPr>
                <w:sz w:val="20"/>
                <w:szCs w:val="20"/>
                <w:color w:val="auto"/>
              </w:rPr>
            </w:pPr>
          </w:p>
        </w:tc>
        <w:tc>
          <w:tcPr>
            <w:tcW w:w="1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research and development</w:t>
            </w:r>
          </w:p>
        </w:tc>
        <w:tc>
          <w:tcPr>
            <w:tcW w:w="3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2,559</w:t>
            </w:r>
          </w:p>
        </w:tc>
        <w:tc>
          <w:tcPr>
            <w:tcW w:w="900" w:type="dxa"/>
            <w:vAlign w:val="bottom"/>
            <w:gridSpan w:val="2"/>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Prepaid clinical trial</w:t>
            </w:r>
          </w:p>
        </w:tc>
        <w:tc>
          <w:tcPr>
            <w:tcW w:w="3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offering costs</w:t>
            </w:r>
          </w:p>
        </w:tc>
        <w:tc>
          <w:tcPr>
            <w:tcW w:w="3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3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3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28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3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5,225</w:t>
            </w:r>
          </w:p>
        </w:tc>
        <w:tc>
          <w:tcPr>
            <w:tcW w:w="90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3240" w:type="dxa"/>
            <w:vAlign w:val="bottom"/>
            <w:vMerge w:val="restart"/>
          </w:tcPr>
          <w:p>
            <w:pPr>
              <w:jc w:val="right"/>
              <w:ind w:right="1990"/>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500" w:type="dxa"/>
            <w:vAlign w:val="bottom"/>
          </w:tcPr>
          <w:p>
            <w:pPr>
              <w:spacing w:after="0"/>
              <w:rPr>
                <w:sz w:val="24"/>
                <w:szCs w:val="24"/>
                <w:color w:val="auto"/>
              </w:rPr>
            </w:pPr>
          </w:p>
        </w:tc>
        <w:tc>
          <w:tcPr>
            <w:tcW w:w="32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50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-1079500</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77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Property, plant and equipment, net consisted of the following (in thousands):</w:t>
            </w: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7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2,152</w:t>
            </w:r>
          </w:p>
        </w:tc>
        <w:tc>
          <w:tcPr>
            <w:tcW w:w="1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2,152</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3,306</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100" w:type="dxa"/>
            <w:vAlign w:val="bottom"/>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4,236</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11,420</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2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(4,974)</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(4,684)</w:t>
            </w:r>
          </w:p>
        </w:tc>
      </w:tr>
      <w:tr>
        <w:trPr>
          <w:trHeight w:val="20"/>
        </w:trPr>
        <w:tc>
          <w:tcPr>
            <w:tcW w:w="77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6,450</w:t>
            </w:r>
          </w:p>
        </w:tc>
        <w:tc>
          <w:tcPr>
            <w:tcW w:w="16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6,736</w:t>
            </w:r>
          </w:p>
        </w:tc>
        <w:tc>
          <w:tcPr>
            <w:tcW w:w="10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-453390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ind w:right="580" w:firstLine="749"/>
        <w:spacing w:after="0" w:line="282" w:lineRule="auto"/>
        <w:rPr>
          <w:sz w:val="20"/>
          <w:szCs w:val="20"/>
          <w:color w:val="auto"/>
        </w:rPr>
      </w:pPr>
      <w:r>
        <w:rPr>
          <w:rFonts w:ascii="Times New Roman" w:cs="Times New Roman" w:eastAsia="Times New Roman" w:hAnsi="Times New Roman"/>
          <w:sz w:val="18"/>
          <w:szCs w:val="18"/>
          <w:color w:val="auto"/>
        </w:rPr>
        <w:t>Property, plant and equipment, net includes $0.2 million and $0.3 million of assets capitalized as finance leases as of March 31, 2026 and December 31, 2025, respectively.</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Depreciation expense was $0.3 million for each of the three months ended March 31, 2026 and 2025.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7"/>
        </w:trPr>
        <w:tc>
          <w:tcPr>
            <w:tcW w:w="7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research and development</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4,851</w:t>
            </w: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3,591</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2,988</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9,425</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clinical trial</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3,879</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3,290</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 current portion</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professional and consulting fees</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Accrued property, plant and equipment</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2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15,534</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20,277</w:t>
            </w:r>
          </w:p>
        </w:tc>
        <w:tc>
          <w:tcPr>
            <w:tcW w:w="10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Leases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 leases certain office, laboratory, and manufacturing space.</w:t>
      </w:r>
    </w:p>
    <w:p>
      <w:pPr>
        <w:spacing w:after="0" w:line="2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Dallas Lease</w:t>
      </w:r>
    </w:p>
    <w:p>
      <w:pPr>
        <w:spacing w:after="0" w:line="121" w:lineRule="exact"/>
        <w:rPr>
          <w:sz w:val="20"/>
          <w:szCs w:val="20"/>
          <w:color w:val="auto"/>
        </w:rPr>
      </w:pPr>
    </w:p>
    <w:p>
      <w:pPr>
        <w:jc w:val="both"/>
        <w:ind w:right="320" w:firstLine="749"/>
        <w:spacing w:after="0" w:line="266" w:lineRule="auto"/>
        <w:rPr>
          <w:sz w:val="20"/>
          <w:szCs w:val="20"/>
          <w:color w:val="auto"/>
        </w:rPr>
      </w:pPr>
      <w:r>
        <w:rPr>
          <w:rFonts w:ascii="Times New Roman" w:cs="Times New Roman" w:eastAsia="Times New Roman" w:hAnsi="Times New Roman"/>
          <w:sz w:val="18"/>
          <w:szCs w:val="18"/>
          <w:color w:val="auto"/>
        </w:rPr>
        <w:t>On January 11, 2021, the Company entered into a lease agreement (the “Dallas Lease”) with Pegasus Park, LLC, a Delaware limited liability company (the “Dallas Landlord”), pursuant to which the Company leases approximately 15,000 square feet of office space at 3000 Pegasus Park Drive, Dallas, Texas 75247 (the “Office Space”).</w:t>
      </w:r>
    </w:p>
    <w:p>
      <w:pPr>
        <w:spacing w:after="0" w:line="176" w:lineRule="exact"/>
        <w:rPr>
          <w:sz w:val="20"/>
          <w:szCs w:val="20"/>
          <w:color w:val="auto"/>
        </w:rPr>
      </w:pPr>
    </w:p>
    <w:p>
      <w:pPr>
        <w:ind w:right="140" w:firstLine="749"/>
        <w:spacing w:after="0" w:line="282" w:lineRule="auto"/>
        <w:rPr>
          <w:sz w:val="20"/>
          <w:szCs w:val="20"/>
          <w:color w:val="auto"/>
        </w:rPr>
      </w:pPr>
      <w:r>
        <w:rPr>
          <w:rFonts w:ascii="Times New Roman" w:cs="Times New Roman" w:eastAsia="Times New Roman" w:hAnsi="Times New Roman"/>
          <w:sz w:val="18"/>
          <w:szCs w:val="18"/>
          <w:color w:val="auto"/>
        </w:rPr>
        <w:t>The Dallas Lease commenced on May 27, 2021, and has a term of ten years. The Company has an option to extend the term of the Dallas Lease for one additional period of five years.</w:t>
      </w:r>
    </w:p>
    <w:p>
      <w:pPr>
        <w:spacing w:after="0" w:line="162"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The Dallas Landlord has the right to terminate the Dallas Lease, or the Company’s right to possess the Office Space without terminating the Dallas Lease, upon specified events of default, including the Company’s failure to pay rent in a timely manner and upon the occurrence of certain events of insolvency with respect to the Company.</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Dallas Lease Expansion</w:t>
      </w:r>
    </w:p>
    <w:p>
      <w:pPr>
        <w:spacing w:after="0" w:line="121" w:lineRule="exact"/>
        <w:rPr>
          <w:sz w:val="20"/>
          <w:szCs w:val="20"/>
          <w:color w:val="auto"/>
        </w:rPr>
      </w:pPr>
    </w:p>
    <w:p>
      <w:pPr>
        <w:jc w:val="both"/>
        <w:ind w:right="160" w:firstLine="749"/>
        <w:spacing w:after="0" w:line="266" w:lineRule="auto"/>
        <w:rPr>
          <w:sz w:val="20"/>
          <w:szCs w:val="20"/>
          <w:color w:val="auto"/>
        </w:rPr>
      </w:pPr>
      <w:r>
        <w:rPr>
          <w:rFonts w:ascii="Times New Roman" w:cs="Times New Roman" w:eastAsia="Times New Roman" w:hAnsi="Times New Roman"/>
          <w:sz w:val="18"/>
          <w:szCs w:val="18"/>
          <w:color w:val="auto"/>
        </w:rPr>
        <w:t>On December 14, 2021, the Company amended the Dallas Lease (the “Dallas Lease Amendment”) with the Dallas Landlord, pursuant to which the Company leases approximately 18,000 square feet of office space adjacent to the Office Space at 3000 Pegasus Park Drive, Dallas, Texas 75247 (the “Expansion Premises”).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Dallas Lease Amendment commenced on July 1, 2022, and has a term of approximately ten years.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1" w:name="page12"/>
    <w:bookmarkEnd w:id="11"/>
    <w:p>
      <w:pPr>
        <w:ind w:right="60" w:firstLine="749"/>
        <w:spacing w:after="0" w:line="289" w:lineRule="auto"/>
        <w:rPr>
          <w:sz w:val="20"/>
          <w:szCs w:val="20"/>
          <w:color w:val="auto"/>
        </w:rPr>
      </w:pPr>
      <w:r>
        <w:rPr>
          <w:rFonts w:ascii="Times New Roman" w:cs="Times New Roman" w:eastAsia="Times New Roman" w:hAnsi="Times New Roman"/>
          <w:sz w:val="17"/>
          <w:szCs w:val="17"/>
          <w:color w:val="auto"/>
        </w:rPr>
        <w:t>The Company is obligated to pay operating costs and utilities applicable to the Expansion Premises. Total future minimum lease payments under the Dallas Lease Amendment over the initial 10 year term are approximately $6.0 million. The Company is responsible for costs of constructing interior improvements within the Expansion Premises that exceed a $40.00 per rentable square foot construction allowance provided by the Dallas Landlord.</w:t>
      </w:r>
    </w:p>
    <w:p>
      <w:pPr>
        <w:spacing w:after="0" w:line="165" w:lineRule="exact"/>
        <w:rPr>
          <w:sz w:val="20"/>
          <w:szCs w:val="20"/>
          <w:color w:val="auto"/>
        </w:rPr>
      </w:pPr>
    </w:p>
    <w:p>
      <w:pPr>
        <w:ind w:right="460" w:firstLine="749"/>
        <w:spacing w:after="0" w:line="227" w:lineRule="auto"/>
        <w:rPr>
          <w:sz w:val="20"/>
          <w:szCs w:val="20"/>
          <w:color w:val="auto"/>
        </w:rPr>
      </w:pPr>
      <w:r>
        <w:rPr>
          <w:rFonts w:ascii="Times New Roman" w:cs="Times New Roman" w:eastAsia="Times New Roman" w:hAnsi="Times New Roman"/>
          <w:sz w:val="18"/>
          <w:szCs w:val="18"/>
          <w:color w:val="auto"/>
        </w:rPr>
        <w:t>The Company has a right of first refusal with respect to certain additional office space on the 15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floor at 3000 Pegasus Park Drive, Dallas, Texas 75247 before the Dallas Landlord accepts any offer for such space.</w:t>
      </w:r>
    </w:p>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Durham Lease</w:t>
      </w:r>
    </w:p>
    <w:p>
      <w:pPr>
        <w:spacing w:after="0" w:line="121"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On December 17, 2020, the Company entered into a lease agreement (the “Durham Lease”) with Patriot Park Partners II, LLC, a Delaware limited liability company (the “Durham Landlord”), pursuant to which the Company agreed to lease approximately 187,500 square feet of a manufacturing facility located at 5 National Way, Durham, North Carolina (the “Facility”). The Durham Lease commenced on April 1, 2021 and is expected to have a term of approximately fifteen years and six months. The Company has two options to extend the term of the Durham Lease, each for a period of an additional five years.</w:t>
      </w:r>
    </w:p>
    <w:p>
      <w:pPr>
        <w:spacing w:after="0" w:line="183"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The Company was not required to provide a security deposit in connection with its entry into the Durham Lease. The Company was responsible for constructing interior improvements within the Facility. The Company was required to place $2.6 million in an escrow account which was to be released when the improvements were substantially complete. In December 2023, the Company entered into an agreement with the landlord whereby the Company agreed to remove specified leasehold improvements which will be funded by the escrowed funds. The escrow funds are recorded as restricted cash on the condensed consolidated balance sheets as of March 31, 2026 and December 31, 2025 with $0.5 million recorded in current assets and $2.1 million in noncurrent assets. The Durham Landlord has the right to terminate the Durham Lease upon specified events of default, including the Company’s failure to pay rent in a timely manner and upon the occurrence of certain events of insolvency with respect to the Company.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all lease costs recognized under ASC 842</w:t>
      </w:r>
    </w:p>
    <w:p>
      <w:pPr>
        <w:spacing w:after="0" w:line="121" w:lineRule="exact"/>
        <w:rPr>
          <w:sz w:val="20"/>
          <w:szCs w:val="20"/>
          <w:color w:val="auto"/>
        </w:rPr>
      </w:pPr>
    </w:p>
    <w:p>
      <w:pPr>
        <w:ind w:right="18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lease costs recognized under ASC 842 and other information pertaining to the Company’s operating leases for the three months ended March 31, 2026 and 2025 (in thousands):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760" w:type="dxa"/>
            <w:vAlign w:val="bottom"/>
            <w:gridSpan w:val="7"/>
          </w:tcPr>
          <w:p>
            <w:pPr>
              <w:jc w:val="right"/>
              <w:ind w:right="148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238"/>
        </w:trPr>
        <w:tc>
          <w:tcPr>
            <w:tcW w:w="5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ind w:right="953"/>
              <w:spacing w:after="0"/>
              <w:rPr>
                <w:sz w:val="20"/>
                <w:szCs w:val="20"/>
                <w:color w:val="auto"/>
              </w:rPr>
            </w:pPr>
            <w:r>
              <w:rPr>
                <w:rFonts w:ascii="Times New Roman" w:cs="Times New Roman" w:eastAsia="Times New Roman" w:hAnsi="Times New Roman"/>
                <w:sz w:val="18"/>
                <w:szCs w:val="18"/>
                <w:b w:val="1"/>
                <w:bCs w:val="1"/>
                <w:color w:val="auto"/>
              </w:rPr>
              <w:t>2026</w:t>
            </w:r>
          </w:p>
        </w:tc>
        <w:tc>
          <w:tcPr>
            <w:tcW w:w="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26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3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18"/>
                <w:szCs w:val="18"/>
                <w:color w:val="auto"/>
              </w:rPr>
            </w:pP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5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3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20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339</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520" w:type="dxa"/>
            <w:vAlign w:val="bottom"/>
          </w:tcPr>
          <w:p>
            <w:pPr>
              <w:spacing w:after="0"/>
              <w:rPr>
                <w:sz w:val="18"/>
                <w:szCs w:val="18"/>
                <w:color w:val="auto"/>
              </w:rPr>
            </w:pPr>
          </w:p>
        </w:tc>
        <w:tc>
          <w:tcPr>
            <w:tcW w:w="700" w:type="dxa"/>
            <w:vAlign w:val="bottom"/>
            <w:tcBorders>
              <w:bottom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3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gridSpan w:val="2"/>
          </w:tcPr>
          <w:p>
            <w:pPr>
              <w:spacing w:after="0" w:line="20" w:lineRule="exact"/>
              <w:rPr>
                <w:sz w:val="1"/>
                <w:szCs w:val="1"/>
                <w:color w:val="auto"/>
              </w:rPr>
            </w:pPr>
          </w:p>
        </w:tc>
        <w:tc>
          <w:tcPr>
            <w:tcW w:w="2580" w:type="dxa"/>
            <w:vAlign w:val="bottom"/>
            <w:tcBorders>
              <w:bottom w:val="single" w:sz="8" w:color="auto"/>
            </w:tcBorders>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8360" w:type="dxa"/>
            <w:vAlign w:val="bottom"/>
            <w:gridSpan w:val="5"/>
          </w:tcPr>
          <w:p>
            <w:pPr>
              <w:ind w:left="760"/>
              <w:spacing w:after="0"/>
              <w:rPr>
                <w:sz w:val="20"/>
                <w:szCs w:val="20"/>
                <w:color w:val="auto"/>
              </w:rPr>
            </w:pPr>
            <w:r>
              <w:rPr>
                <w:rFonts w:ascii="Times New Roman" w:cs="Times New Roman" w:eastAsia="Times New Roman" w:hAnsi="Times New Roman"/>
                <w:sz w:val="18"/>
                <w:szCs w:val="18"/>
                <w:color w:val="auto"/>
              </w:rPr>
              <w:t>Supplemental information related to the remaining lease term and discount rate are as follows:</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8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8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210"/>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remaining lease term (in years) – Finance leases</w:t>
            </w:r>
          </w:p>
        </w:tc>
        <w:tc>
          <w:tcPr>
            <w:tcW w:w="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88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180" w:type="dxa"/>
            <w:vAlign w:val="bottom"/>
            <w:shd w:val="clear" w:color="auto" w:fill="CFF0FC"/>
          </w:tcPr>
          <w:p>
            <w:pPr>
              <w:spacing w:after="0"/>
              <w:rPr>
                <w:sz w:val="18"/>
                <w:szCs w:val="18"/>
                <w:color w:val="auto"/>
              </w:rPr>
            </w:pPr>
          </w:p>
        </w:tc>
        <w:tc>
          <w:tcPr>
            <w:tcW w:w="2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remaining lease term (in years) – Operating leases</w:t>
            </w: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8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52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discount rate – Finance leases</w:t>
            </w:r>
          </w:p>
        </w:tc>
        <w:tc>
          <w:tcPr>
            <w:tcW w:w="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880" w:type="dxa"/>
            <w:vAlign w:val="bottom"/>
            <w:shd w:val="clear" w:color="auto" w:fill="CFF0FC"/>
          </w:tcPr>
          <w:p>
            <w:pPr>
              <w:spacing w:after="0"/>
              <w:rPr>
                <w:sz w:val="18"/>
                <w:szCs w:val="18"/>
                <w:color w:val="auto"/>
              </w:rPr>
            </w:pPr>
          </w:p>
        </w:tc>
        <w:tc>
          <w:tcPr>
            <w:tcW w:w="7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10.60%</w:t>
            </w:r>
          </w:p>
        </w:tc>
        <w:tc>
          <w:tcPr>
            <w:tcW w:w="21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10.57%</w:t>
            </w:r>
          </w:p>
        </w:tc>
        <w:tc>
          <w:tcPr>
            <w:tcW w:w="0" w:type="dxa"/>
            <w:vAlign w:val="bottom"/>
          </w:tcPr>
          <w:p>
            <w:pPr>
              <w:spacing w:after="0"/>
              <w:rPr>
                <w:sz w:val="1"/>
                <w:szCs w:val="1"/>
                <w:color w:val="auto"/>
              </w:rPr>
            </w:pPr>
          </w:p>
        </w:tc>
      </w:tr>
      <w:tr>
        <w:trPr>
          <w:trHeight w:val="234"/>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 – Operating leases</w:t>
            </w: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8.59%</w:t>
            </w:r>
          </w:p>
        </w:tc>
        <w:tc>
          <w:tcPr>
            <w:tcW w:w="2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8.61%</w:t>
            </w:r>
          </w:p>
        </w:tc>
        <w:tc>
          <w:tcPr>
            <w:tcW w:w="0" w:type="dxa"/>
            <w:vAlign w:val="bottom"/>
          </w:tcPr>
          <w:p>
            <w:pPr>
              <w:spacing w:after="0"/>
              <w:rPr>
                <w:sz w:val="1"/>
                <w:szCs w:val="1"/>
                <w:color w:val="auto"/>
              </w:rPr>
            </w:pPr>
          </w:p>
        </w:tc>
      </w:tr>
      <w:tr>
        <w:trPr>
          <w:trHeight w:val="630"/>
        </w:trPr>
        <w:tc>
          <w:tcPr>
            <w:tcW w:w="52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2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-2459355</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-2459355</wp:posOffset>
            </wp:positionV>
            <wp:extent cx="7747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 w:name="page13"/>
    <w:bookmarkEnd w:id="12"/>
    <w:p>
      <w:pPr>
        <w:ind w:right="360" w:firstLine="749"/>
        <w:spacing w:after="0" w:line="282" w:lineRule="auto"/>
        <w:rPr>
          <w:sz w:val="20"/>
          <w:szCs w:val="20"/>
          <w:color w:val="auto"/>
        </w:rPr>
      </w:pPr>
      <w:r>
        <w:rPr>
          <w:rFonts w:ascii="Times New Roman" w:cs="Times New Roman" w:eastAsia="Times New Roman" w:hAnsi="Times New Roman"/>
          <w:sz w:val="18"/>
          <w:szCs w:val="18"/>
          <w:color w:val="auto"/>
        </w:rPr>
        <w:t>As of March 31, 2026, future minimum commitments under ASC 842 under the Company’s operating and finance leases were as follows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5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10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Finance</w:t>
            </w:r>
          </w:p>
        </w:tc>
        <w:tc>
          <w:tcPr>
            <w:tcW w:w="100" w:type="dxa"/>
            <w:vAlign w:val="bottom"/>
          </w:tcPr>
          <w:p>
            <w:pPr>
              <w:spacing w:after="0"/>
              <w:rPr>
                <w:sz w:val="20"/>
                <w:szCs w:val="20"/>
                <w:color w:val="auto"/>
              </w:rPr>
            </w:pPr>
          </w:p>
        </w:tc>
      </w:tr>
      <w:tr>
        <w:trPr>
          <w:trHeight w:val="209"/>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500" w:type="dxa"/>
            <w:vAlign w:val="bottom"/>
            <w:shd w:val="clear" w:color="auto" w:fill="CFF0FC"/>
          </w:tcPr>
          <w:p>
            <w:pPr>
              <w:spacing w:after="0"/>
              <w:rPr>
                <w:sz w:val="18"/>
                <w:szCs w:val="18"/>
                <w:color w:val="auto"/>
              </w:rPr>
            </w:pPr>
          </w:p>
        </w:tc>
        <w:tc>
          <w:tcPr>
            <w:tcW w:w="2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2,352</w:t>
            </w: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285</w:t>
            </w: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50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3,228</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500" w:type="dxa"/>
            <w:vAlign w:val="bottom"/>
            <w:shd w:val="clear" w:color="auto" w:fill="CFF0FC"/>
          </w:tcPr>
          <w:p>
            <w:pPr>
              <w:spacing w:after="0"/>
              <w:rPr>
                <w:sz w:val="18"/>
                <w:szCs w:val="18"/>
                <w:color w:val="auto"/>
              </w:rPr>
            </w:pPr>
          </w:p>
        </w:tc>
        <w:tc>
          <w:tcPr>
            <w:tcW w:w="2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3,343</w:t>
            </w: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50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3,463</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500" w:type="dxa"/>
            <w:vAlign w:val="bottom"/>
            <w:shd w:val="clear" w:color="auto" w:fill="CFF0FC"/>
          </w:tcPr>
          <w:p>
            <w:pPr>
              <w:spacing w:after="0"/>
              <w:rPr>
                <w:sz w:val="18"/>
                <w:szCs w:val="18"/>
                <w:color w:val="auto"/>
              </w:rPr>
            </w:pPr>
          </w:p>
        </w:tc>
        <w:tc>
          <w:tcPr>
            <w:tcW w:w="2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3,516</w:t>
            </w: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50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11,401</w:t>
            </w:r>
          </w:p>
        </w:tc>
        <w:tc>
          <w:tcPr>
            <w:tcW w:w="1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0"/>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500" w:type="dxa"/>
            <w:vAlign w:val="bottom"/>
            <w:shd w:val="clear" w:color="auto" w:fill="CFF0FC"/>
          </w:tcPr>
          <w:p>
            <w:pPr>
              <w:spacing w:after="0"/>
              <w:rPr>
                <w:sz w:val="18"/>
                <w:szCs w:val="18"/>
                <w:color w:val="auto"/>
              </w:rPr>
            </w:pPr>
          </w:p>
        </w:tc>
        <w:tc>
          <w:tcPr>
            <w:tcW w:w="2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27,303</w:t>
            </w: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285</w:t>
            </w: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500" w:type="dxa"/>
            <w:vAlign w:val="bottom"/>
          </w:tcPr>
          <w:p>
            <w:pPr>
              <w:spacing w:after="0"/>
              <w:rPr>
                <w:sz w:val="18"/>
                <w:szCs w:val="18"/>
                <w:color w:val="auto"/>
              </w:rPr>
            </w:pPr>
          </w:p>
        </w:tc>
        <w:tc>
          <w:tcPr>
            <w:tcW w:w="2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(7,988)</w:t>
            </w:r>
          </w:p>
        </w:tc>
        <w:tc>
          <w:tcPr>
            <w:tcW w:w="540" w:type="dxa"/>
            <w:vAlign w:val="bottom"/>
          </w:tcPr>
          <w:p>
            <w:pPr>
              <w:spacing w:after="0"/>
              <w:rPr>
                <w:sz w:val="18"/>
                <w:szCs w:val="18"/>
                <w:color w:val="auto"/>
              </w:rPr>
            </w:pPr>
          </w:p>
        </w:tc>
        <w:tc>
          <w:tcPr>
            <w:tcW w:w="2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r>
      <w:tr>
        <w:trPr>
          <w:trHeight w:val="249"/>
        </w:trPr>
        <w:tc>
          <w:tcPr>
            <w:tcW w:w="5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500" w:type="dxa"/>
            <w:vAlign w:val="bottom"/>
            <w:tcBorders>
              <w:top w:val="single" w:sz="8" w:color="auto"/>
              <w:bottom w:val="single" w:sz="8" w:color="auto"/>
            </w:tcBorders>
            <w:shd w:val="clear" w:color="auto" w:fill="CFF0FC"/>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2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19,315</w:t>
            </w:r>
          </w:p>
        </w:tc>
        <w:tc>
          <w:tcPr>
            <w:tcW w:w="10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top w:val="single" w:sz="8" w:color="auto"/>
              <w:bottom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58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Lease liabilities, current</w:t>
            </w:r>
          </w:p>
        </w:tc>
        <w:tc>
          <w:tcPr>
            <w:tcW w:w="500" w:type="dxa"/>
            <w:vAlign w:val="bottom"/>
          </w:tcPr>
          <w:p>
            <w:pPr>
              <w:spacing w:after="0"/>
              <w:rPr>
                <w:sz w:val="17"/>
                <w:szCs w:val="17"/>
                <w:color w:val="auto"/>
              </w:rPr>
            </w:pPr>
          </w:p>
        </w:tc>
        <w:tc>
          <w:tcPr>
            <w:tcW w:w="2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1,549</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14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275</w:t>
            </w:r>
          </w:p>
        </w:tc>
      </w:tr>
      <w:tr>
        <w:trPr>
          <w:trHeight w:val="216"/>
        </w:trPr>
        <w:tc>
          <w:tcPr>
            <w:tcW w:w="5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liabilities, non-current</w:t>
            </w:r>
          </w:p>
        </w:tc>
        <w:tc>
          <w:tcPr>
            <w:tcW w:w="500" w:type="dxa"/>
            <w:vAlign w:val="bottom"/>
            <w:tcBorders>
              <w:bottom w:val="single" w:sz="8" w:color="auto"/>
            </w:tcBorders>
            <w:shd w:val="clear" w:color="auto" w:fill="CFF0FC"/>
          </w:tcPr>
          <w:p>
            <w:pPr>
              <w:spacing w:after="0"/>
              <w:rPr>
                <w:sz w:val="18"/>
                <w:szCs w:val="18"/>
                <w:color w:val="auto"/>
              </w:rPr>
            </w:pPr>
          </w:p>
        </w:tc>
        <w:tc>
          <w:tcPr>
            <w:tcW w:w="2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17,766</w:t>
            </w:r>
          </w:p>
        </w:tc>
        <w:tc>
          <w:tcPr>
            <w:tcW w:w="10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2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500" w:type="dxa"/>
            <w:vAlign w:val="bottom"/>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19,315</w:t>
            </w:r>
          </w:p>
        </w:tc>
        <w:tc>
          <w:tcPr>
            <w:tcW w:w="100" w:type="dxa"/>
            <w:vAlign w:val="bottom"/>
          </w:tcPr>
          <w:p>
            <w:pPr>
              <w:spacing w:after="0"/>
              <w:rPr>
                <w:sz w:val="18"/>
                <w:szCs w:val="18"/>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275</w:t>
            </w:r>
          </w:p>
        </w:tc>
      </w:tr>
      <w:tr>
        <w:trPr>
          <w:trHeight w:val="20"/>
        </w:trPr>
        <w:tc>
          <w:tcPr>
            <w:tcW w:w="58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-471170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-453390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-471170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-170815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6—Astellas Agreements</w:t>
      </w:r>
    </w:p>
    <w:p>
      <w:pPr>
        <w:spacing w:after="0" w:line="121"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On October 21, 2022 (the “Effective Date”), the Company entered into the Option Agreement (the “Option Agreement”) with Astellas Gene Therapies, Inc. (f/k/a Audentes Therapeutics, Inc. (d/b/a Astellas Gene Therapy))(“Astellas”), pursuant to which the Company granted to Astellas an exclusive option to obtain an exclusive, worldwide, royalty and milestone-bearing right and license (A) to research, develop, make, have made, use, sell, offer for sale, have sold, import, export and otherwise exploit, or, collectively, exploit, the product known, as of the Effective Date, as TSHA-120 (the “120 GAN Product”), and any backup products with respect thereto for use in the treatment of Giant Axonal Neuropathy (“GAN”) or any other gene therapy product for use in the treatment of GAN that is controlled by Taysha or any of its affiliates or with respect to which the Company or any of its affiliates controls intellectual property rights covering the exploitation thereof (a “GAN Product”), and (B) under any intellectual property rights controlled by Taysha or any of its affiliates with respect to such exploitation (the “GAN Option”). Subject to certain extensions, the GAN Option was exercisable from the Effective Date through a specified period of time following Astellas’ receipt of (i) the formal minutes from the Type B end-of-Phase 2 meeting between Taysha and the FDA in response to the Company’s meeting request sent to the FDA on September 19, 2022 for the 120 GAN Product (the “Type B end-of-Phase 2 Meeting”), (ii) all written feedback from the FDA with respect to the Type B end-of-Phase 2 Meeting, and (iii) all briefing documents sent by Taysha to the FDA with respect to the Type B end-of-Phase 2 Meeting. In September 2023, Astellas provided written notice of its decision not to exercise the GAN Option.</w:t>
      </w:r>
    </w:p>
    <w:p>
      <w:pPr>
        <w:spacing w:after="0" w:line="187"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Under the Option Agreement, the Company also granted to Astellas an exclusive option to obtain an exclusive, worldwide, royalty and milestone-bearing right and license (A) to exploit any Rett Product (as defined below), and (B) under any intellectual property rights controlled by Taysha or any of its affiliates with respect to such exploitation (the “Rett Option,”). Subject to certain extensions, the Rett Option was exercisable from the Effective Date through a specified period of time following Astellas’ receipt of (i) certain clinical data from the female pediatric trial and (ii) certain specified data with respect to TSHA-102, such data package, the “Rett Data Package,” and such period, the “Rett Option Period,” related to (i) the product known, as of the Effective Date, as TSHA-102 and any backup products with respect thereto for use in the treatment of Rett syndrome, and (ii) any other gene therapy product for use in the treatment of Rett syndrome that is controlled by Taysha or any of its affiliates or with respect to which the Company or any of its affiliates controls intellectual property rights covering the exploitation thereof (a “Rett Product”). The Company delivered the Rett Data Package to Astellas in mid-2025. Under the Option Agreement, Astellas was required to decide whether to exercise the Rett Option within 90 days after Astellas’ receipt of the Rett Data Package. In October 2025, the Rett Option expired without being exercised. Following the expiration of the Option Agreement, the Company now holds unencumbered rights to the TSHA-102 program.</w:t>
      </w:r>
    </w:p>
    <w:p>
      <w:pPr>
        <w:spacing w:after="0" w:line="192"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During the Rett Option Period, which has now expired, the Company agreed to (A) not solicit or encourage any inquiries, offers or proposals for, or that could reasonably be expected to lead to, a Change of Control (as defined in the Option Agreement), or (B) otherwise initiate a process for a potential Change of Control, in each case, without first notifying Astellas and offering Astellas the opportunity to submit an offer or proposal to the Company for a transaction that would result in a Change of Control. All of Astellas’ rights with respect to a Change of Control of the Company terminated as a result of the expiration of the Rett Option Period and the Option Agreement in October 2025.</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3" w:name="page14"/>
    <w:bookmarkEnd w:id="13"/>
    <w:p>
      <w:pPr>
        <w:ind w:firstLine="749"/>
        <w:spacing w:after="0" w:line="254" w:lineRule="auto"/>
        <w:rPr>
          <w:sz w:val="20"/>
          <w:szCs w:val="20"/>
          <w:color w:val="auto"/>
        </w:rPr>
      </w:pPr>
      <w:r>
        <w:rPr>
          <w:rFonts w:ascii="Times New Roman" w:cs="Times New Roman" w:eastAsia="Times New Roman" w:hAnsi="Times New Roman"/>
          <w:sz w:val="18"/>
          <w:szCs w:val="18"/>
          <w:color w:val="auto"/>
        </w:rPr>
        <w:t>As partial consideration for the rights granted to Astellas under the Option Agreement, Astellas paid the Company an upfront payment of $20.0 million (the “Upfront Payment”). Astellas or any of its affiliates had the right, in its or their discretion and upon written notice to the Company, to offset the amount of the Upfront Payment (in whole or in part, until the full amount of the Upfront Payment has been offset) against (a) any payment(s) owed to Taysha or any of its affiliates (or to any third party on behalf of the Company) under or in connection with any license agreement entered into with respect to any GAN Product or Rett Product, including, any upfront payment, milestone payment or royalties owed to Taysha or any of its affiliates (or to any third party on behalf of the Company) under or in connection with any such license agreement or (b) any amount owed to Taysha or any of its affiliates in connection with a Change of Control transaction with Astellas or any of its affiliates. As further consideration for the rights granted to Astellas under the Option Agreement, the Company and Astellas also entered into the Astellas Securities Purchase Agreement (as defined below).</w:t>
      </w:r>
    </w:p>
    <w:p>
      <w:pPr>
        <w:spacing w:after="0" w:line="192" w:lineRule="exact"/>
        <w:rPr>
          <w:sz w:val="20"/>
          <w:szCs w:val="20"/>
          <w:color w:val="auto"/>
        </w:rPr>
      </w:pPr>
    </w:p>
    <w:p>
      <w:pPr>
        <w:ind w:right="280" w:firstLine="749"/>
        <w:spacing w:after="0" w:line="282" w:lineRule="auto"/>
        <w:rPr>
          <w:sz w:val="20"/>
          <w:szCs w:val="20"/>
          <w:color w:val="auto"/>
        </w:rPr>
      </w:pPr>
      <w:r>
        <w:rPr>
          <w:rFonts w:ascii="Times New Roman" w:cs="Times New Roman" w:eastAsia="Times New Roman" w:hAnsi="Times New Roman"/>
          <w:sz w:val="18"/>
          <w:szCs w:val="18"/>
          <w:color w:val="auto"/>
        </w:rPr>
        <w:t>In October 2025, the Option Agreement expired without Astellas exercising the GAN Option or Rett Option. Pursuant to the expiration of the Option Agreement, the Company regained full and unencumbered global rights to TSHA-102.</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Astellas Securities Purchase Agreement</w:t>
      </w:r>
    </w:p>
    <w:p>
      <w:pPr>
        <w:spacing w:after="0" w:line="119" w:lineRule="exact"/>
        <w:rPr>
          <w:sz w:val="20"/>
          <w:szCs w:val="20"/>
          <w:color w:val="auto"/>
        </w:rPr>
      </w:pPr>
    </w:p>
    <w:p>
      <w:pPr>
        <w:ind w:right="180" w:firstLine="749"/>
        <w:spacing w:after="0" w:line="256" w:lineRule="auto"/>
        <w:rPr>
          <w:sz w:val="20"/>
          <w:szCs w:val="20"/>
          <w:color w:val="auto"/>
        </w:rPr>
      </w:pPr>
      <w:r>
        <w:rPr>
          <w:rFonts w:ascii="Times New Roman" w:cs="Times New Roman" w:eastAsia="Times New Roman" w:hAnsi="Times New Roman"/>
          <w:sz w:val="18"/>
          <w:szCs w:val="18"/>
          <w:color w:val="auto"/>
        </w:rPr>
        <w:t>On October 21, 2022, the Company entered into a securities purchase agreement with Astellas (the “Astellas Securities Purchase Agreement”), pursuant to which the Company agreed to issue and sell to Astellas in a private placement (the “Astellas Private Placement”), an aggregate of 7,266,342 shares (the “Astellas Private Placement Shares”), of its common stock, for aggregate gross proceeds of $30.0 million. The Astellas Private Placement closed on October 24, 2022. Pursuant to the Astellas Securities Purchase Agreement, in connection with the Astellas Private Placement, Astellas has the right to designate one individual to attend all meetings of the Board in a non-voting observer capacity. The Company also granted Astellas certain registration rights with respect to the Astellas Private Placement Shares.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Treatment</w:t>
      </w:r>
    </w:p>
    <w:p>
      <w:pPr>
        <w:spacing w:after="0" w:line="11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 xml:space="preserve">In October 2022, upon closing of the Astellas Private Placement and transferring the 7,266,342 shares to Astellas, the Company recorded the issuance of shares at fair value. Fair value of the shares transferred to Astellas was calculated in accordance with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by analyzing the Company’s stock price for a short period of time prior to and after the transaction date as traded on the NASDAQ. The NASDAQ trading data is considered an active market and a Level 1 measurement under ASC 820. The fair value was determined to be approximately $13.95 million or $1.92 per share. The $16.1 million difference between the $30.0 million paid by Astellas and the fair market value of shares issued was allocated to the transaction price of the Option Agreement.</w:t>
      </w:r>
    </w:p>
    <w:p>
      <w:pPr>
        <w:spacing w:after="0" w:line="185" w:lineRule="exact"/>
        <w:rPr>
          <w:sz w:val="20"/>
          <w:szCs w:val="20"/>
          <w:color w:val="auto"/>
        </w:rPr>
      </w:pPr>
    </w:p>
    <w:p>
      <w:pPr>
        <w:ind w:right="40" w:firstLine="749"/>
        <w:spacing w:after="0" w:line="257" w:lineRule="auto"/>
        <w:rPr>
          <w:sz w:val="20"/>
          <w:szCs w:val="20"/>
          <w:color w:val="auto"/>
        </w:rPr>
      </w:pPr>
      <w:r>
        <w:rPr>
          <w:rFonts w:ascii="Times New Roman" w:cs="Times New Roman" w:eastAsia="Times New Roman" w:hAnsi="Times New Roman"/>
          <w:sz w:val="18"/>
          <w:szCs w:val="18"/>
          <w:color w:val="auto"/>
        </w:rPr>
        <w:t xml:space="preserve">The Company determined that the Option Agreement falls within the scope of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 the development of TSHA-102 for the treatment of Rett Syndrome and TSHA-120 for the treatment of GAN are considered ordinary activities for the Company. In accordance with ASC 606, the Company evaluated the Option Agreement and identified three separate performance obligations: (1) option to obtain licensing right to GAN, (2) option to obtain licensing right to Rett and (3) performance of research and development activities in the Rett development plan. The transaction price is determined to be $36.1 million which is comprised of the $20.0 million Upfront Payment and the $16.1 million allocated from the Astellas Private Placement.</w:t>
      </w:r>
    </w:p>
    <w:p>
      <w:pPr>
        <w:spacing w:after="0" w:line="184" w:lineRule="exact"/>
        <w:rPr>
          <w:sz w:val="20"/>
          <w:szCs w:val="20"/>
          <w:color w:val="auto"/>
        </w:rPr>
      </w:pPr>
    </w:p>
    <w:p>
      <w:pPr>
        <w:ind w:right="140" w:firstLine="749"/>
        <w:spacing w:after="0" w:line="255" w:lineRule="auto"/>
        <w:rPr>
          <w:sz w:val="20"/>
          <w:szCs w:val="20"/>
          <w:color w:val="auto"/>
        </w:rPr>
      </w:pPr>
      <w:r>
        <w:rPr>
          <w:rFonts w:ascii="Times New Roman" w:cs="Times New Roman" w:eastAsia="Times New Roman" w:hAnsi="Times New Roman"/>
          <w:sz w:val="18"/>
          <w:szCs w:val="18"/>
          <w:color w:val="auto"/>
        </w:rPr>
        <w:t>To determine the standalone selling price (“SSP”) of the Rett and GAN options, which the Company concluded to be material rights, the Company utilized the probability-weighted expected return (“PWERM”) method. The PWERM method contemplates the probability and timing of an option exercise. At contract inception, the Company estimated that the probability of exercise was 50% for each of the GAN and Rett options. The SSP of the Rett research and development activities was estimated using an expected cost-plus margin approach. The standalone selling prices of the material rights and Rett research and development activities were then used to proportionately allocate the $36.1 million transaction price to the three performance obligations. The $36.1 million transaction price was recorded as deferred revenue on the condensed consolidated balance sheet at the inception of the Astellas Transactions.</w:t>
      </w:r>
    </w:p>
    <w:p>
      <w:pPr>
        <w:spacing w:after="0" w:line="189" w:lineRule="exact"/>
        <w:rPr>
          <w:sz w:val="20"/>
          <w:szCs w:val="20"/>
          <w:color w:val="auto"/>
        </w:rPr>
      </w:pPr>
    </w:p>
    <w:p>
      <w:pPr>
        <w:ind w:right="38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allocation of the transaction price to the three performance obligations at contract inception (amounts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2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tcPr>
          <w:p>
            <w:pPr>
              <w:jc w:val="right"/>
              <w:ind w:right="734"/>
              <w:spacing w:after="0"/>
              <w:rPr>
                <w:sz w:val="20"/>
                <w:szCs w:val="20"/>
                <w:color w:val="auto"/>
              </w:rPr>
            </w:pPr>
            <w:r>
              <w:rPr>
                <w:rFonts w:ascii="Times New Roman" w:cs="Times New Roman" w:eastAsia="Times New Roman" w:hAnsi="Times New Roman"/>
                <w:sz w:val="14"/>
                <w:szCs w:val="14"/>
                <w:b w:val="1"/>
                <w:bCs w:val="1"/>
                <w:color w:val="auto"/>
              </w:rPr>
              <w:t>Transaction Price Allocation</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 to obtain license for Rett</w:t>
            </w:r>
          </w:p>
        </w:tc>
        <w:tc>
          <w:tcPr>
            <w:tcW w:w="39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5,485</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Option to obtain license for GAN</w:t>
            </w:r>
          </w:p>
        </w:tc>
        <w:tc>
          <w:tcPr>
            <w:tcW w:w="3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2,317</w:t>
            </w:r>
          </w:p>
        </w:tc>
        <w:tc>
          <w:tcPr>
            <w:tcW w:w="0" w:type="dxa"/>
            <w:vAlign w:val="bottom"/>
          </w:tcPr>
          <w:p>
            <w:pPr>
              <w:spacing w:after="0"/>
              <w:rPr>
                <w:sz w:val="1"/>
                <w:szCs w:val="1"/>
                <w:color w:val="auto"/>
              </w:rPr>
            </w:pPr>
          </w:p>
        </w:tc>
      </w:tr>
      <w:tr>
        <w:trPr>
          <w:trHeight w:val="216"/>
        </w:trPr>
        <w:tc>
          <w:tcPr>
            <w:tcW w:w="4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Rett research and development activities</w:t>
            </w:r>
          </w:p>
        </w:tc>
        <w:tc>
          <w:tcPr>
            <w:tcW w:w="350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2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28,257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36,059</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3500" w:type="dxa"/>
            <w:vAlign w:val="bottom"/>
            <w:vMerge w:val="restart"/>
          </w:tcPr>
          <w:p>
            <w:pPr>
              <w:jc w:val="right"/>
              <w:ind w:right="1910"/>
              <w:spacing w:after="0"/>
              <w:rPr>
                <w:sz w:val="20"/>
                <w:szCs w:val="20"/>
                <w:color w:val="auto"/>
              </w:rPr>
            </w:pPr>
            <w:r>
              <w:rPr>
                <w:rFonts w:ascii="Times New Roman" w:cs="Times New Roman" w:eastAsia="Times New Roman" w:hAnsi="Times New Roman"/>
                <w:sz w:val="18"/>
                <w:szCs w:val="18"/>
                <w:color w:val="auto"/>
              </w:rPr>
              <w:t>12</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2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220" w:type="dxa"/>
            <w:vAlign w:val="bottom"/>
          </w:tcPr>
          <w:p>
            <w:pPr>
              <w:spacing w:after="0"/>
              <w:rPr>
                <w:sz w:val="24"/>
                <w:szCs w:val="24"/>
                <w:color w:val="auto"/>
              </w:rPr>
            </w:pPr>
          </w:p>
        </w:tc>
        <w:tc>
          <w:tcPr>
            <w:tcW w:w="350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22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4" w:name="page15"/>
    <w:bookmarkEnd w:id="14"/>
    <w:p>
      <w:pPr>
        <w:ind w:right="280" w:firstLine="749"/>
        <w:spacing w:after="0" w:line="261" w:lineRule="auto"/>
        <w:rPr>
          <w:sz w:val="20"/>
          <w:szCs w:val="20"/>
          <w:color w:val="auto"/>
        </w:rPr>
      </w:pPr>
      <w:r>
        <w:rPr>
          <w:rFonts w:ascii="Times New Roman" w:cs="Times New Roman" w:eastAsia="Times New Roman" w:hAnsi="Times New Roman"/>
          <w:sz w:val="18"/>
          <w:szCs w:val="18"/>
          <w:color w:val="auto"/>
        </w:rPr>
        <w:t>Revenue allocated to the material rights was recognized at a point in time when each option period expired or when a decision was made by Astellas to exercise or not exercise each option. Revenue from the Rett research and development activities was recognized as activities were performed using an input method, according to the costs incurred as related to the total costs expected to be incurred to satisfy the performance obligation. The transfer of control occurred over this time period and was a reliable measure of progress towards satisfying the performance obligation.</w:t>
      </w:r>
    </w:p>
    <w:p>
      <w:pPr>
        <w:spacing w:after="0" w:line="180"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The Company recognized revenue of $2.3 million from Rett research and development activities for the three months ended March 31, 2025. In October 2025, the Rett Option expired without being exercised. Following the expiration of the Option Agreement, the Company now holds unencumbered rights to the TSHA-102 program. The Company recognized revenue of $5.5 million from the Rett Option during the year ended December 31, 2025. As of December 31, 2025 all revenue from the Astellas Agreements was recognized and therefore the Company had no deferred revenue on the condensed consolidated balance sheets.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Term Loans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Loan with Trinity Capital</w:t>
      </w:r>
    </w:p>
    <w:p>
      <w:pPr>
        <w:spacing w:after="0" w:line="121"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On August 7, 2025 (the “Trinity Refinance Date”), the Company entered into a Loan and Security Agreement (the “2025 Trinity Term Loan Agreement”), by and among the Company, the lenders party thereto from time to time (the “2025 Trinity Lenders”) and Trinity Capital Inc., as administrative agent and collateral agent for the 2025 Trinity Lenders (“Trinity”). The 2025 Trinity Term Loan Agreement provides for (i) on the Trinity Refinance Date, $50.0 million aggregate principal amount of term loans (“Tranche A”), (ii) from the Trinity Refinance Date until March 31, 2028 an additional $25.0 million term loan facility contingent on delivering evidence satisfactory to Trinity that the Company has submitted a biologics license application (“BLA”) to the FDA for TSHA-102 in Rett Syndrome (“Tranche B”), (iii) from the Trinity Refinance Date until March 31, 2029, an additional $25.0 million term loan facility contingent on delivering evidence satisfactory to Trinity that the Company has received BLA approval from the FDA for TSHA-102 in Rett Syndrome (collectively, the “2025 Trinity Term Loans”). The Company drew $50.0 million in term loans on the Trinity Refinance Date. The existing 2023 Trinity Term Loan Agreement was terminated and the existing 2023 Trinity Term Loans were repaid concurrently with entry into the 2025 Trinity Term Loan Agreement and the draw of Tranche A.</w:t>
      </w:r>
    </w:p>
    <w:p>
      <w:pPr>
        <w:spacing w:after="0" w:line="194"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The interest rate applicable to the 2025 Trinity Term Loans is the greater of (a) the WSJ Prime Rate plus 4.00% or (b) 11.50% per annum. The 2025 Trinity Term Loans are interest only from the Trinity Refinance Date through 48 months from the Trinity Refinance Date, which may be extended to 60 months from the Trinity Refinance Date upon the satisfaction of certain milestones set forth in the 2025 Trinity Term Loan Agreement, after which the Company is required to pay equal monthly installments of principal through August 1, 2030 (the “New Maturity Date”). As of March 31, 2026, $50.0 million was outstanding on the 2025 Trinity Term Loans, recorded as Term Loan, net on the condensed consolidated balance sheet.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Future principal debt payments on the Trinity Term Loan Agreement as of March 31, 2026 are as follows (in thousands):</w:t>
            </w: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9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Ending December 31,</w:t>
            </w:r>
          </w:p>
        </w:tc>
        <w:tc>
          <w:tcPr>
            <w:tcW w:w="5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9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540" w:type="dxa"/>
            <w:vAlign w:val="bottom"/>
            <w:shd w:val="clear" w:color="auto" w:fill="CFF0FC"/>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6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5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5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64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11,969</w:t>
            </w:r>
          </w:p>
        </w:tc>
        <w:tc>
          <w:tcPr>
            <w:tcW w:w="100" w:type="dxa"/>
            <w:vAlign w:val="bottom"/>
          </w:tcPr>
          <w:p>
            <w:pPr>
              <w:spacing w:after="0"/>
              <w:rPr>
                <w:sz w:val="18"/>
                <w:szCs w:val="18"/>
                <w:color w:val="auto"/>
              </w:rPr>
            </w:pPr>
          </w:p>
        </w:tc>
      </w:tr>
      <w:tr>
        <w:trPr>
          <w:trHeight w:val="216"/>
        </w:trPr>
        <w:tc>
          <w:tcPr>
            <w:tcW w:w="9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5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38,031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9640" w:type="dxa"/>
            <w:vAlign w:val="bottom"/>
          </w:tcPr>
          <w:p>
            <w:pPr>
              <w:spacing w:after="0"/>
              <w:rPr>
                <w:sz w:val="20"/>
                <w:szCs w:val="20"/>
                <w:color w:val="auto"/>
              </w:rPr>
            </w:pPr>
            <w:r>
              <w:rPr>
                <w:rFonts w:ascii="Times New Roman" w:cs="Times New Roman" w:eastAsia="Times New Roman" w:hAnsi="Times New Roman"/>
                <w:sz w:val="18"/>
                <w:szCs w:val="18"/>
                <w:color w:val="auto"/>
              </w:rPr>
              <w:t>Total principal payments</w:t>
            </w:r>
          </w:p>
        </w:tc>
        <w:tc>
          <w:tcPr>
            <w:tcW w:w="54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Pr>
          <w:p>
            <w:pPr>
              <w:spacing w:after="0"/>
              <w:rPr>
                <w:sz w:val="18"/>
                <w:szCs w:val="18"/>
                <w:color w:val="auto"/>
              </w:rPr>
            </w:pPr>
          </w:p>
        </w:tc>
      </w:tr>
      <w:tr>
        <w:trPr>
          <w:trHeight w:val="20"/>
        </w:trPr>
        <w:tc>
          <w:tcPr>
            <w:tcW w:w="96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4" w:lineRule="exact"/>
        <w:rPr>
          <w:sz w:val="20"/>
          <w:szCs w:val="20"/>
          <w:color w:val="auto"/>
        </w:rPr>
      </w:pPr>
    </w:p>
    <w:p>
      <w:pPr>
        <w:ind w:right="260" w:firstLine="749"/>
        <w:spacing w:after="0" w:line="266" w:lineRule="auto"/>
        <w:rPr>
          <w:sz w:val="20"/>
          <w:szCs w:val="20"/>
          <w:color w:val="auto"/>
        </w:rPr>
      </w:pPr>
      <w:r>
        <w:rPr>
          <w:rFonts w:ascii="Times New Roman" w:cs="Times New Roman" w:eastAsia="Times New Roman" w:hAnsi="Times New Roman"/>
          <w:sz w:val="18"/>
          <w:szCs w:val="18"/>
          <w:color w:val="auto"/>
        </w:rPr>
        <w:t>On the Trinity Refinance Date, the Company paid a commitment fee of $0.1 million to Trinity. Upon any future draw of 2025 Trinity Term Loans, the Company is required to pay an additional commitment fee of 1.00% of the aggregate principal amount of such 2025 Trinity Term Loans then funded.</w:t>
      </w:r>
    </w:p>
    <w:p>
      <w:pPr>
        <w:spacing w:after="0" w:line="176" w:lineRule="exact"/>
        <w:rPr>
          <w:sz w:val="20"/>
          <w:szCs w:val="20"/>
          <w:color w:val="auto"/>
        </w:rPr>
      </w:pPr>
    </w:p>
    <w:p>
      <w:pPr>
        <w:ind w:right="200" w:firstLine="749"/>
        <w:spacing w:after="0" w:line="261" w:lineRule="auto"/>
        <w:rPr>
          <w:sz w:val="20"/>
          <w:szCs w:val="20"/>
          <w:color w:val="auto"/>
        </w:rPr>
      </w:pPr>
      <w:r>
        <w:rPr>
          <w:rFonts w:ascii="Times New Roman" w:cs="Times New Roman" w:eastAsia="Times New Roman" w:hAnsi="Times New Roman"/>
          <w:sz w:val="18"/>
          <w:szCs w:val="18"/>
          <w:color w:val="auto"/>
        </w:rPr>
        <w:t>The 2025 Trinity Term Loans may be prepaid in full (i) from the Trinity Refinance Date through August 7, 2026, with payment of a 3.00% prepayment premium, (ii) from August 8, 2026 through August 7, 2027, with payment of a 2.00% prepayment premium, and (iii) from August 8, 2027 through, but excluding, the New Maturity Date, with payment of a 1.00% prepayment premium. Upon repayment in full of the 2025 Trinity Term Loans, the Company will pay to Trinity an end of term payment equal to 5.00% of the original principal amount of the 2025 Trinity Term Loans.</w:t>
      </w:r>
    </w:p>
    <w:p>
      <w:pPr>
        <w:spacing w:after="0" w:line="180"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The obligations under the 2025 Trinity Term Loan Agreement are secured by a perfected security interest in all of the Company’s assets except for certain customarily excluded property pursuant to the terms of the 2025 Trinity Term Loan Agreement. There are no financial or minimum cash balance covenants and no warrants associated with the 2025 Trinity Term Loan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5" w:name="page16"/>
    <w:bookmarkEnd w:id="15"/>
    <w:p>
      <w:pPr>
        <w:ind w:right="180"/>
        <w:spacing w:after="0" w:line="256" w:lineRule="auto"/>
        <w:rPr>
          <w:sz w:val="20"/>
          <w:szCs w:val="20"/>
          <w:color w:val="auto"/>
        </w:rPr>
      </w:pPr>
      <w:r>
        <w:rPr>
          <w:rFonts w:ascii="Times New Roman" w:cs="Times New Roman" w:eastAsia="Times New Roman" w:hAnsi="Times New Roman"/>
          <w:sz w:val="18"/>
          <w:szCs w:val="18"/>
          <w:color w:val="auto"/>
        </w:rPr>
        <w:t>The 2025 Trinity Term Loan Agreement contains various covenants that limit the Company’s ability to engage in specified types of transactions without the consent of Trinity and the 2025 Trinity Lenders which include, among others, incurring or assuming certain debt; merging, consolidating or acquiring all or substantially all of the capital stock or property of another entity; changing the nature of the Company’s business; changing the Company’s organizational structure or type; licensing, transferring or disposing of certain assets; granting certain types of liens on the Company’s assets; making certain investments; paying cash dividends; and entering into certain transactions with the Company’s affiliates, in each case subject to customary exceptions.</w:t>
      </w:r>
    </w:p>
    <w:p>
      <w:pPr>
        <w:spacing w:after="0" w:line="187"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The 2025 Trinity Term Loan Agreement contains customary representations and warranties, affirmative and negative covenants and events of default, including payment default, breach of covenants, change of control, and material adverse effects. Upon the occurrence of an event of default, a default interest rate of an additional 5.00% per annum may be applied to the outstanding loan balances, and the 2025 Trinity Lenders may declare all outstanding obligations immediately due and payable and exercise all of its rights and remedies as set forth in the 2025 Trinity Term Loan Agreement and under applicable law.</w:t>
      </w:r>
    </w:p>
    <w:p>
      <w:pPr>
        <w:spacing w:after="0" w:line="183"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 xml:space="preserve">The Company assessed the terms and features of the 2025 Trinity Term Loans and determined that the 2025 Trinity Term Loan constituted a debt modification under ASC 470-50, </w:t>
      </w:r>
      <w:r>
        <w:rPr>
          <w:rFonts w:ascii="Times New Roman" w:cs="Times New Roman" w:eastAsia="Times New Roman" w:hAnsi="Times New Roman"/>
          <w:sz w:val="18"/>
          <w:szCs w:val="18"/>
          <w:i w:val="1"/>
          <w:iCs w:val="1"/>
          <w:color w:val="auto"/>
        </w:rPr>
        <w:t>Debt - Modifications and Extinguishments</w:t>
      </w:r>
      <w:r>
        <w:rPr>
          <w:rFonts w:ascii="Times New Roman" w:cs="Times New Roman" w:eastAsia="Times New Roman" w:hAnsi="Times New Roman"/>
          <w:sz w:val="18"/>
          <w:szCs w:val="18"/>
          <w:color w:val="auto"/>
        </w:rPr>
        <w:t xml:space="preserve"> (“ASC 450”). As such, the 2025 Trinity Term Loans are accounted for as a continuation of the original debt, and no gain or loss on extinguishment was recognized. The Company continues to apply the fair value option under ASC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(“ASC 825”) which was initially elected at the time of the 2023 Trinity Term Loan Agreement.</w:t>
      </w:r>
    </w:p>
    <w:p>
      <w:pPr>
        <w:spacing w:after="0" w:line="180"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Under the fair value option, the 2025 Trinity Term Loans are measured at fair value on a recurring basis, with changes in fair value recognized in other income (expense) in the condensed consolidated statements of operations. The Company has not elected to present interest expense separately from changes in fair value and therefore will not present interest expense associated with the 2025 Trinity Term Loans. Any changes in fair value attributable to instrument-specific credit risk are presented in other comprehensive income or loss, if material. Under the fair value option, debt issuance costs are expensed as incurred. The Company incurred $1.1 million of debt issuance costs, of which $0.1 million were paid to Trinity and $1.0 million were paid to third parties associated with the 2025 Trinity Term Loans.</w:t>
      </w:r>
    </w:p>
    <w:p>
      <w:pPr>
        <w:spacing w:after="0" w:line="187"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 xml:space="preserve">In connection with the 2025 Trinity Term Loan Agreement, the Company entered into a Success Fee Agreement with Trinity which specifies the terms regarding a fee in the amount of $0.5 million plus 5% of the principal amount of the funded 2025 Trinity Term Loans under Tranche B (the “2025 Success Fee”). The 2025 Success Fee is payable upon the achievement of certain corporate development value-inflection milestones. The 2025 Success Fee survives the termination of the 2025 Trinity Term Loans and expires on the earlier of ten years from the Trinity Refinance Date, or payment in full in cash of the 2025 Success Fee. The Company determined that the 2025 Success Fee represents a freestanding financial instrument and should be accounted for as a derivative liability under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and recorded a liability within other non-current liabilities on the consolidated balance sheet, at fair value on the Trinity Refinance Date and will be marked-to-market at the end of each reporting period with gains and losses recognized as a component of other income (expense) in the condensed consolidated statements of operations.</w:t>
      </w:r>
    </w:p>
    <w:p>
      <w:pPr>
        <w:spacing w:after="0" w:line="192"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The proceeds from the 2025 Trinity Term Loans were allocated to the 2025 Success Fee and 2025 Trinity Term Loans based on their respective fair values on the Trinity Refinance Date. The fair values were determined utilizing a probability-weighted income approach, including variables for the timing of a success event and other probability estimates.</w:t>
      </w:r>
    </w:p>
    <w:p>
      <w:pPr>
        <w:spacing w:after="0" w:line="176"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The Company determined the fair value of the 2025 Trinity Term Loans and the 2025 Success Fee using a probability-weighted income approach and recorded the loan at fair value of $49.8 million and the 2025 Success Fee liability at fair value of $0.2 million in the consolidated balance sheet at issuance. The Company calculated the discounted cash flows of the 2025 Trinity Term Loans using a discount rate of 13.86% and adjusted for the probability of various repayment scenarios. The Company calculated the discounted cash flows of the 2025 Success Fee liability using a discount rate of 13.86% then adjusted for the probability of achievement of certain corporate development value-inflection milestones.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Loan with Trinity Capital</w:t>
      </w:r>
    </w:p>
    <w:p>
      <w:pPr>
        <w:spacing w:after="0" w:line="121"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On November 13, 2023 (the “Trinity Closing Date”), the Company entered into a Loan and Security Agreement (the “2023 Trinity Term Loan Agreement”), by and among the Company, the lenders party thereto from time to time (the “Trinity Lenders”) and Trinity Capital Inc., as administrative agent and collateral agent for the Trinity Lenders (“Trinity”). The 2023 Trinity Term Loan Agreement provided for, on the Trinity Closing Date, $40.0 million aggregate principal amount of term loans (collectively, the “2023 Trinity Term Loans”). The Company drew the Trinity Term Loans in full on the Trinity Closing Date.</w:t>
      </w:r>
    </w:p>
    <w:p>
      <w:pPr>
        <w:spacing w:after="0" w:line="183" w:lineRule="exact"/>
        <w:rPr>
          <w:sz w:val="20"/>
          <w:szCs w:val="20"/>
          <w:color w:val="auto"/>
        </w:rPr>
      </w:pPr>
    </w:p>
    <w:p>
      <w:pPr>
        <w:ind w:right="120" w:firstLine="749"/>
        <w:spacing w:after="0" w:line="282" w:lineRule="auto"/>
        <w:rPr>
          <w:sz w:val="20"/>
          <w:szCs w:val="20"/>
          <w:color w:val="auto"/>
        </w:rPr>
      </w:pPr>
      <w:r>
        <w:rPr>
          <w:rFonts w:ascii="Times New Roman" w:cs="Times New Roman" w:eastAsia="Times New Roman" w:hAnsi="Times New Roman"/>
          <w:sz w:val="18"/>
          <w:szCs w:val="18"/>
          <w:color w:val="auto"/>
        </w:rPr>
        <w:t>The interest rate applicable to the 2023 Trinity Term Loans was the greater of (a) the Wall Street Journal (“WSJ”) Prime Rate plus 4.50% or (b) 12.75% per annum. The 2023 Trinity Term Loans were interest only from the Trinity Closing Date through 36</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6" w:name="page17"/>
    <w:bookmarkEnd w:id="16"/>
    <w:p>
      <w:pPr>
        <w:ind w:right="480" w:firstLine="45"/>
        <w:spacing w:after="0" w:line="266" w:lineRule="auto"/>
        <w:rPr>
          <w:sz w:val="20"/>
          <w:szCs w:val="20"/>
          <w:color w:val="auto"/>
        </w:rPr>
      </w:pPr>
      <w:r>
        <w:rPr>
          <w:rFonts w:ascii="Times New Roman" w:cs="Times New Roman" w:eastAsia="Times New Roman" w:hAnsi="Times New Roman"/>
          <w:sz w:val="18"/>
          <w:szCs w:val="18"/>
          <w:color w:val="auto"/>
        </w:rPr>
        <w:t>months from the Trinity Closing Date, which could have been extended to 48 months from the Trinity Closing Date upon the satisfaction of certain milestones set forth in the 2023 Trinity Term Loan Agreement, after which the Company was required to pay equal monthly installments of principal through November 13, 2028 (the “Maturity Date”).</w:t>
      </w:r>
    </w:p>
    <w:p>
      <w:pPr>
        <w:spacing w:after="0" w:line="176"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The 2023 Trinity Term Loans could have been prepaid in full (i) from the Trinity Closing Date through November 13, 2024, with payment of a 3.00% prepayment premium, (ii) from November 13, 2024 through November 13, 2025, with payment of a 2.00% prepayment premium, and (iii) from November 13, 2025 through, but excluding, the Maturity Date, with payment of a 1.00% prepayment premium. On the Trinity Closing Date, the Company paid to Trinity a commitment fee of 1.00% of the original principal amount of the 2023 Trinity Term Loans. Upon repayment in full of the 2023 Trinity Term Loans, the Company paid to Trinity an end of term payment equal to $0.6 million.</w:t>
      </w:r>
    </w:p>
    <w:p>
      <w:pPr>
        <w:spacing w:after="0" w:line="183"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The obligations under the 2023 Trinity Term Loan Agreement were secured by a perfected security interest in all of the Company’s assets except for certain customarily excluded property pursuant to the terms of the 2023 Trinity Term Loan Agreement.</w:t>
      </w:r>
    </w:p>
    <w:p>
      <w:pPr>
        <w:spacing w:after="0" w:line="162"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The Company assessed the terms and features of the 2023 Trinity Term Loans and determined that the Company was eligible to elect the fair value option under ASC 825. The 2023 Trinity Term Loans contain various embedded features and the election of the fair value option allowed the Company to bypass analysis of potential embedded derivatives and further analysis of bifurcation of any recognized financial liabilities. Under the fair value option, the financial liability is initially measured at its fair value on the issue date and subsequently remeasured at estimated fair value on a recurring basis at each reporting date. Changes in the fair value of the 2023 Trinity Term Loans, which include accrued interest, if any, are recorded as a component of other expense (income) in the condensed consolidated statements of operations. The Company did not elect to present interest expense separately from changes in fair value and therefore did not present interest expense associated with the 2023 Trinity Term Loans. Any changes in fair value caused by instrument-specific credit risk were presented separately in other comprehensive income or loss if material.</w:t>
      </w:r>
    </w:p>
    <w:p>
      <w:pPr>
        <w:spacing w:after="0" w:line="192" w:lineRule="exact"/>
        <w:rPr>
          <w:sz w:val="20"/>
          <w:szCs w:val="20"/>
          <w:color w:val="auto"/>
        </w:rPr>
      </w:pPr>
    </w:p>
    <w:p>
      <w:pPr>
        <w:ind w:right="160" w:firstLine="749"/>
        <w:spacing w:after="0" w:line="258" w:lineRule="auto"/>
        <w:rPr>
          <w:sz w:val="20"/>
          <w:szCs w:val="20"/>
          <w:color w:val="auto"/>
        </w:rPr>
      </w:pPr>
      <w:r>
        <w:rPr>
          <w:rFonts w:ascii="Times New Roman" w:cs="Times New Roman" w:eastAsia="Times New Roman" w:hAnsi="Times New Roman"/>
          <w:sz w:val="18"/>
          <w:szCs w:val="18"/>
          <w:color w:val="auto"/>
        </w:rPr>
        <w:t>In connection with the 2023 Trinity Term Loans, the Company entered into a Success Fee Agreement with Trinity which specifies the terms regarding a fee in the amount of 10% of the principal amount of the funded 2023 Trinity Term Loans (the “2023 Success Fee”). The 2023 Success Fee is payable upon the achievement of certain corporate development value-inflection milestones. The 2023 Success Fee survives the termination of the 2023 Trinity Term Loans and expires on the earlier of ten years, or payment in full in cash of the Success Fee. The 2023 Success Fee remains in effect after the termination of the 2023 Trinity Term Loans upon entry into the 2025 Trinity Term Loan Agreement and the draw of Tranche A.</w:t>
      </w:r>
    </w:p>
    <w:p>
      <w:pPr>
        <w:spacing w:after="0" w:line="183" w:lineRule="exact"/>
        <w:rPr>
          <w:sz w:val="20"/>
          <w:szCs w:val="20"/>
          <w:color w:val="auto"/>
        </w:rPr>
      </w:pPr>
    </w:p>
    <w:p>
      <w:pPr>
        <w:jc w:val="both"/>
        <w:ind w:right="220" w:firstLine="749"/>
        <w:spacing w:after="0" w:line="261" w:lineRule="auto"/>
        <w:rPr>
          <w:sz w:val="20"/>
          <w:szCs w:val="20"/>
          <w:color w:val="auto"/>
        </w:rPr>
      </w:pPr>
      <w:r>
        <w:rPr>
          <w:rFonts w:ascii="Times New Roman" w:cs="Times New Roman" w:eastAsia="Times New Roman" w:hAnsi="Times New Roman"/>
          <w:sz w:val="18"/>
          <w:szCs w:val="18"/>
          <w:color w:val="auto"/>
        </w:rPr>
        <w:t>The Company determined that the 2023 Success Fee represents a freestanding financial instrument and should be accounted for as a derivative liability under ASC 815 and recorded a liability within other non-current liabilities on the consolidated balance sheet, at fair value on the Trinity Closing Date and will be marked-to-market at the end of each reporting period with gains and losses recognized as a component of other income (expense) in the condensed consolidated statements of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w:t>
      </w:r>
    </w:p>
    <w:p>
      <w:pPr>
        <w:spacing w:after="0" w:line="121" w:lineRule="exact"/>
        <w:rPr>
          <w:sz w:val="20"/>
          <w:szCs w:val="20"/>
          <w:color w:val="auto"/>
        </w:rPr>
      </w:pPr>
    </w:p>
    <w:p>
      <w:pPr>
        <w:jc w:val="both"/>
        <w:ind w:right="20" w:firstLine="749"/>
        <w:spacing w:after="0" w:line="255" w:lineRule="auto"/>
        <w:rPr>
          <w:sz w:val="20"/>
          <w:szCs w:val="20"/>
          <w:color w:val="auto"/>
        </w:rPr>
      </w:pPr>
      <w:r>
        <w:rPr>
          <w:rFonts w:ascii="Times New Roman" w:cs="Times New Roman" w:eastAsia="Times New Roman" w:hAnsi="Times New Roman"/>
          <w:sz w:val="18"/>
          <w:szCs w:val="18"/>
          <w:color w:val="auto"/>
        </w:rPr>
        <w:t>The 2025 Trinity Term Loans are accounted for as a continuation of the original debt in accordance with ASC 450, and the Company continues to apply the fair value option under ASC 825, which was initially elected at the time of the 2023 Trinity Term Loan Agreement. The Company remeasured the 2025 Trinity Term Loans, 2025 Success Fee and 2023 Success Fee as of March 31, 2026 using a probability weighted income approach. The Company calculated the discounted cash flows of the 2025 Trinity Term Loans using a discount rate of 15.61% and adjusted for the probability of various repayment scenarios. The Company calculated the discounted cash flows of the 2023 Success Fee and 2025 Success Fee, (the “Success Fees”), using a discount rate of 15.61% then adjusted for the probability of achievement of certain corporate development value-inflection milestones. As of March 31, 2026, the Company recorded the Tranche A Loan at a fair value of $49.0 million and the Success Fees at $1.6 million in the consolidated balance sheet.</w:t>
      </w:r>
    </w:p>
    <w:p>
      <w:pPr>
        <w:spacing w:after="0" w:line="189" w:lineRule="exact"/>
        <w:rPr>
          <w:sz w:val="20"/>
          <w:szCs w:val="20"/>
          <w:color w:val="auto"/>
        </w:rPr>
      </w:pPr>
    </w:p>
    <w:p>
      <w:pPr>
        <w:ind w:right="56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change in fair value of the 2025 Trinity Term Loans during the three months ended March 31, 2026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Trinity Term Loans</w:t>
            </w:r>
          </w:p>
        </w:tc>
        <w:tc>
          <w:tcPr>
            <w:tcW w:w="4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fair value balance as of January 1, 2026</w:t>
            </w:r>
          </w:p>
        </w:tc>
        <w:tc>
          <w:tcPr>
            <w:tcW w:w="5240" w:type="dxa"/>
            <w:vAlign w:val="bottom"/>
            <w:gridSpan w:val="2"/>
            <w:shd w:val="clear" w:color="auto" w:fill="CFF0FC"/>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50,106</w:t>
            </w:r>
          </w:p>
        </w:tc>
        <w:tc>
          <w:tcPr>
            <w:tcW w:w="100" w:type="dxa"/>
            <w:vAlign w:val="bottom"/>
            <w:shd w:val="clear" w:color="auto" w:fill="CFF0FC"/>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Principal payments</w:t>
            </w:r>
          </w:p>
        </w:tc>
        <w:tc>
          <w:tcPr>
            <w:tcW w:w="4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 reported in statements of operations</w:t>
            </w:r>
          </w:p>
        </w:tc>
        <w:tc>
          <w:tcPr>
            <w:tcW w:w="45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FF0FC"/>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reported in comprehensive loss</w:t>
            </w:r>
          </w:p>
        </w:tc>
        <w:tc>
          <w:tcPr>
            <w:tcW w:w="4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(1,177)</w:t>
            </w:r>
          </w:p>
        </w:tc>
      </w:tr>
      <w:tr>
        <w:trPr>
          <w:trHeight w:val="20"/>
        </w:trPr>
        <w:tc>
          <w:tcPr>
            <w:tcW w:w="48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fair value balance as of March 31, 2026</w:t>
            </w:r>
          </w:p>
        </w:tc>
        <w:tc>
          <w:tcPr>
            <w:tcW w:w="5240" w:type="dxa"/>
            <w:vAlign w:val="bottom"/>
            <w:gridSpan w:val="2"/>
            <w:shd w:val="clear" w:color="auto" w:fill="CFF0FC"/>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48,961</w:t>
            </w:r>
          </w:p>
        </w:tc>
        <w:tc>
          <w:tcPr>
            <w:tcW w:w="100" w:type="dxa"/>
            <w:vAlign w:val="bottom"/>
            <w:shd w:val="clear" w:color="auto" w:fill="CFF0FC"/>
          </w:tcPr>
          <w:p>
            <w:pPr>
              <w:spacing w:after="0"/>
              <w:rPr>
                <w:sz w:val="21"/>
                <w:szCs w:val="21"/>
                <w:color w:val="auto"/>
              </w:rPr>
            </w:pPr>
          </w:p>
        </w:tc>
      </w:tr>
      <w:tr>
        <w:trPr>
          <w:trHeight w:val="628"/>
        </w:trPr>
        <w:tc>
          <w:tcPr>
            <w:tcW w:w="4820" w:type="dxa"/>
            <w:vAlign w:val="bottom"/>
            <w:tcBorders>
              <w:top w:val="single" w:sz="8" w:color="CFF0FC"/>
            </w:tcBorders>
          </w:tcPr>
          <w:p>
            <w:pPr>
              <w:spacing w:after="0"/>
              <w:rPr>
                <w:sz w:val="24"/>
                <w:szCs w:val="24"/>
                <w:color w:val="auto"/>
              </w:rPr>
            </w:pPr>
          </w:p>
        </w:tc>
        <w:tc>
          <w:tcPr>
            <w:tcW w:w="4580" w:type="dxa"/>
            <w:vAlign w:val="bottom"/>
            <w:tcBorders>
              <w:top w:val="single" w:sz="8" w:color="CFF0FC"/>
            </w:tcBorders>
          </w:tcPr>
          <w:p>
            <w:pPr>
              <w:jc w:val="right"/>
              <w:ind w:right="3590"/>
              <w:spacing w:after="0"/>
              <w:rPr>
                <w:sz w:val="20"/>
                <w:szCs w:val="20"/>
                <w:color w:val="auto"/>
              </w:rPr>
            </w:pPr>
            <w:r>
              <w:rPr>
                <w:rFonts w:ascii="Times New Roman" w:cs="Times New Roman" w:eastAsia="Times New Roman" w:hAnsi="Times New Roman"/>
                <w:sz w:val="18"/>
                <w:szCs w:val="18"/>
                <w:color w:val="auto"/>
              </w:rPr>
              <w:t>15</w:t>
            </w:r>
          </w:p>
        </w:tc>
        <w:tc>
          <w:tcPr>
            <w:tcW w:w="6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4820" w:type="dxa"/>
            <w:vAlign w:val="bottom"/>
            <w:tcBorders>
              <w:bottom w:val="single" w:sz="8" w:color="9A9A9A"/>
            </w:tcBorders>
          </w:tcPr>
          <w:p>
            <w:pPr>
              <w:spacing w:after="0"/>
              <w:rPr>
                <w:sz w:val="24"/>
                <w:szCs w:val="24"/>
                <w:color w:val="auto"/>
              </w:rPr>
            </w:pPr>
          </w:p>
        </w:tc>
        <w:tc>
          <w:tcPr>
            <w:tcW w:w="45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7" w:name="page18"/>
    <w:bookmarkEnd w:id="17"/>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the Company recorded $1.4 million of interest expense within change in fair value of term loans, all of which was paid as of March 31, 2026. During the three months ended March 31, 2025, the Company recorded $1.3 million of interest expense within change in fair value of term loans.</w:t>
      </w:r>
    </w:p>
    <w:p>
      <w:pPr>
        <w:spacing w:after="0" w:line="176" w:lineRule="exact"/>
        <w:rPr>
          <w:sz w:val="20"/>
          <w:szCs w:val="20"/>
          <w:color w:val="auto"/>
        </w:rPr>
      </w:pPr>
    </w:p>
    <w:p>
      <w:pPr>
        <w:ind w:right="84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change in fair value of the Success Fees liability during the three months ended March 31, 2026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Success Fees</w:t>
            </w:r>
          </w:p>
        </w:tc>
        <w:tc>
          <w:tcPr>
            <w:tcW w:w="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9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fair value balance as of January 1, 2026</w:t>
            </w:r>
          </w:p>
        </w:tc>
        <w:tc>
          <w:tcPr>
            <w:tcW w:w="560" w:type="dxa"/>
            <w:vAlign w:val="bottom"/>
            <w:shd w:val="clear" w:color="auto" w:fill="CFF0FC"/>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100" w:type="dxa"/>
            <w:vAlign w:val="bottom"/>
            <w:shd w:val="clear" w:color="auto" w:fill="CFF0FC"/>
          </w:tcPr>
          <w:p>
            <w:pPr>
              <w:spacing w:after="0"/>
              <w:rPr>
                <w:sz w:val="18"/>
                <w:szCs w:val="18"/>
                <w:color w:val="auto"/>
              </w:rPr>
            </w:pP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Success Fees</w:t>
            </w:r>
          </w:p>
        </w:tc>
        <w:tc>
          <w:tcPr>
            <w:tcW w:w="5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8"/>
                <w:szCs w:val="18"/>
                <w:color w:val="auto"/>
              </w:rPr>
            </w:pPr>
          </w:p>
        </w:tc>
      </w:tr>
      <w:tr>
        <w:trPr>
          <w:trHeight w:val="250"/>
        </w:trPr>
        <w:tc>
          <w:tcPr>
            <w:tcW w:w="9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fair value balance as of March 31, 2026</w:t>
            </w:r>
          </w:p>
        </w:tc>
        <w:tc>
          <w:tcPr>
            <w:tcW w:w="560" w:type="dxa"/>
            <w:vAlign w:val="bottom"/>
            <w:tcBorders>
              <w:bottom w:val="single" w:sz="8" w:color="auto"/>
            </w:tcBorders>
            <w:shd w:val="clear" w:color="auto" w:fill="CFF0FC"/>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8—Research, Collaboration and License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UT Southwestern Agreement</w:t>
      </w:r>
    </w:p>
    <w:p>
      <w:pPr>
        <w:spacing w:after="0" w:line="121" w:lineRule="exact"/>
        <w:rPr>
          <w:sz w:val="20"/>
          <w:szCs w:val="20"/>
          <w:color w:val="auto"/>
        </w:rPr>
      </w:pPr>
    </w:p>
    <w:p>
      <w:pPr>
        <w:ind w:right="100" w:firstLine="749"/>
        <w:spacing w:after="0" w:line="255" w:lineRule="auto"/>
        <w:rPr>
          <w:sz w:val="20"/>
          <w:szCs w:val="20"/>
          <w:color w:val="auto"/>
        </w:rPr>
      </w:pPr>
      <w:r>
        <w:rPr>
          <w:rFonts w:ascii="Times New Roman" w:cs="Times New Roman" w:eastAsia="Times New Roman" w:hAnsi="Times New Roman"/>
          <w:sz w:val="18"/>
          <w:szCs w:val="18"/>
          <w:color w:val="auto"/>
        </w:rPr>
        <w:t>On November 19, 2019, the Company entered into a research, collaboration and license agreement (“UT Southwestern Agreement”) with the Board of Regents of the University of Texas System on behalf of The University of Texas Southwestern Medical Center (“UT Southwestern”). Under the UT Southwestern Agreement, UT Southwestern is primarily responsible for preclinical development activities with respect to licensed products for use in certain specified indications (up to IND-enabling studies), and the Company is responsible for all subsequent clinical development and commercialization activities with respect to the licensed products. UT Southwestern will conduct such preclinical activities for a two-year period under mutually agreed upon sponsored research agreements that were entered into beginning in April 2020. During the initial research phase, the Company has the right to expand the scope of specified indications under the UT Southwestern Agreement.</w:t>
      </w:r>
    </w:p>
    <w:p>
      <w:pPr>
        <w:spacing w:after="0" w:line="189" w:lineRule="exact"/>
        <w:rPr>
          <w:sz w:val="20"/>
          <w:szCs w:val="20"/>
          <w:color w:val="auto"/>
        </w:rPr>
      </w:pPr>
    </w:p>
    <w:p>
      <w:pPr>
        <w:ind w:right="100" w:firstLine="749"/>
        <w:spacing w:after="0" w:line="256" w:lineRule="auto"/>
        <w:rPr>
          <w:sz w:val="20"/>
          <w:szCs w:val="20"/>
          <w:color w:val="auto"/>
        </w:rPr>
      </w:pPr>
      <w:r>
        <w:rPr>
          <w:rFonts w:ascii="Times New Roman" w:cs="Times New Roman" w:eastAsia="Times New Roman" w:hAnsi="Times New Roman"/>
          <w:sz w:val="18"/>
          <w:szCs w:val="18"/>
          <w:color w:val="auto"/>
        </w:rPr>
        <w:t>In connection with the UT Southwestern Agreement, the Company obtained an exclusive, worldwide, royalty-free license under certain patent rights of UT Southwestern and a non-exclusive, worldwide, royalty-free license under certain know-how of UT Southwestern, in each case to make, have made, use, sell, offer for sale and import licensed products for use in certain specified indications. Additionally, the Company obtained a non-exclusive, worldwide, royalty-free license under certain patents and know-how of UT Southwestern for use in all human uses, with a right of first refusal to obtain an exclusive license under certain of such patent rights and an option to negotiate an exclusive license under other of such patent rights. The Company is required to use commercially reasonable efforts to develop, obtain regulatory approval for, and commercialize at least one licensed product.</w:t>
      </w:r>
    </w:p>
    <w:p>
      <w:pPr>
        <w:spacing w:after="0" w:line="187" w:lineRule="exact"/>
        <w:rPr>
          <w:sz w:val="20"/>
          <w:szCs w:val="20"/>
          <w:color w:val="auto"/>
        </w:rPr>
      </w:pPr>
    </w:p>
    <w:p>
      <w:pPr>
        <w:ind w:right="180" w:firstLine="749"/>
        <w:spacing w:after="0" w:line="258" w:lineRule="auto"/>
        <w:rPr>
          <w:sz w:val="20"/>
          <w:szCs w:val="20"/>
          <w:color w:val="auto"/>
        </w:rPr>
      </w:pPr>
      <w:r>
        <w:rPr>
          <w:rFonts w:ascii="Times New Roman" w:cs="Times New Roman" w:eastAsia="Times New Roman" w:hAnsi="Times New Roman"/>
          <w:sz w:val="18"/>
          <w:szCs w:val="18"/>
          <w:color w:val="auto"/>
        </w:rPr>
        <w:t>On April 2, 2020, the Company amended the UT Southwestern Agreement to include the addition of another licensed product and certain indications, and a right of first refusal to the Company over certain patient dosing patents. No additional consideration was transferred in connection with this amendment. In March 2022, the Company and UT Southwestern mutually agreed to revise the payment schedules and current performance expectations of the current sponsored research agreements under the UT Southwestern Agreement and defer payments by fifteen months. In December 2023, the Company and UT Southwestern mutually agreed to terminate specific sponsored research agreements.</w:t>
      </w:r>
    </w:p>
    <w:p>
      <w:pPr>
        <w:spacing w:after="0" w:line="183"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The UT Southwestern Agreement expires on a country-by-country and licensed product-by-licensed product basis upon the expiration of the last valid claim of a licensed patent in such country for such licensed product. After the initial research term, the Company may terminate the agreement, on an indication-by-indication and licensed product-by-licensed product basis, at any time upon specified written notice to UT Southwestern. Either party may terminate the agreement upon an uncured material breach of the agreement or insolvency of the other party. In December 2023 and throughout 2024 and 2025, the Company transferred rights to specific indications back to UT Southwestern.</w:t>
      </w:r>
    </w:p>
    <w:p>
      <w:pPr>
        <w:spacing w:after="0" w:line="183"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In November 2019, as partial consideration for the license rights granted under the UT Southwestern Agreement, the Company issued 2,179,000 shares of its common stock, or 20% of its then outstanding fully-diluted common stock, to UT Southwestern. The Company does not have any future milestone or royalty obligations to UT Southwestern under the UT Southwestern Agreement other than costs related to maintenance of patents.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Abeona Rett Agreement</w:t>
      </w:r>
    </w:p>
    <w:p>
      <w:pPr>
        <w:spacing w:after="0" w:line="121" w:lineRule="exact"/>
        <w:rPr>
          <w:sz w:val="20"/>
          <w:szCs w:val="20"/>
          <w:color w:val="auto"/>
        </w:rPr>
      </w:pPr>
    </w:p>
    <w:p>
      <w:pPr>
        <w:ind w:right="380" w:firstLine="749"/>
        <w:spacing w:after="0" w:line="266" w:lineRule="auto"/>
        <w:rPr>
          <w:sz w:val="20"/>
          <w:szCs w:val="20"/>
          <w:color w:val="auto"/>
        </w:rPr>
      </w:pPr>
      <w:r>
        <w:rPr>
          <w:rFonts w:ascii="Times New Roman" w:cs="Times New Roman" w:eastAsia="Times New Roman" w:hAnsi="Times New Roman"/>
          <w:sz w:val="18"/>
          <w:szCs w:val="18"/>
          <w:color w:val="auto"/>
        </w:rPr>
        <w:t>On October 29, 2020, the Company entered into a license agreement (the “Abeona Rett Agreement”) with Abeona pursuant to which the Company obtained an exclusive, worldwide, royalty-bearing license, with the right to grant sublicenses under certain patents, know-how and materials originally developed by the University of North Carolina at Chapel Hill, the University of Edinburgh</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8" w:name="page19"/>
    <w:bookmarkEnd w:id="18"/>
    <w:p>
      <w:pPr>
        <w:ind w:right="540"/>
        <w:spacing w:after="0" w:line="282" w:lineRule="auto"/>
        <w:rPr>
          <w:sz w:val="20"/>
          <w:szCs w:val="20"/>
          <w:color w:val="auto"/>
        </w:rPr>
      </w:pPr>
      <w:r>
        <w:rPr>
          <w:rFonts w:ascii="Times New Roman" w:cs="Times New Roman" w:eastAsia="Times New Roman" w:hAnsi="Times New Roman"/>
          <w:sz w:val="18"/>
          <w:szCs w:val="18"/>
          <w:color w:val="auto"/>
        </w:rPr>
        <w:t>and Abeona to research, develop, manufacture, have manufactured, use, and commercialize licensed products for gene therapy and the use of related transgenes for Rett syndrome.</w:t>
      </w:r>
    </w:p>
    <w:p>
      <w:pPr>
        <w:spacing w:after="0" w:line="162"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Subject to certain obligations of Abeona, the Company is required to use commercially reasonable efforts to develop at least one licensed product and commercialize at least one licensed product in the United States.</w:t>
      </w:r>
    </w:p>
    <w:p>
      <w:pPr>
        <w:spacing w:after="0" w:line="162"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In connection with the Abeona Rett Agreement, the Company paid Abeona a one-time upfront license fee of $3.0 million which was recorded in research and development expenses in the consolidated statements of operations for the year ended December 31, 2020 since the acquired license does not have an alternative future use. The Company is obligated to pay Abeona up to $26.5 million in regulatory-related milestones and up to $30.0 million in sales-related milestones per licensed Rett product and high single-digit royalties on net sales of licensed Rett products. Royalties are payable on a licensed product-by-licensed product and country-by-country basis until the latest of the expiration or revocation or complete rejection of the last licensed patent covering such licensed product in the country where the licensed product is sold, the loss of market exclusivity in such country where the product is sold, or, if no licensed product exists in such country and no market exclusivity exists in such country, ten years from first commercial sale of such licensed product in such country.</w:t>
      </w:r>
    </w:p>
    <w:p>
      <w:pPr>
        <w:spacing w:after="0" w:line="192"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The Abeona Rett Agreement expires on a country-by-country and licensed product-by-licensed product basis upon the expiration of the last royalty term of a licensed product. Either party may terminate the agreement upon an uncured material breach of the agreement or insolvency of the other party. The Company may terminate the agreement for convenience upon specified prior written notice to Abeona.</w:t>
      </w:r>
    </w:p>
    <w:p>
      <w:pPr>
        <w:spacing w:after="0" w:line="176" w:lineRule="exact"/>
        <w:rPr>
          <w:sz w:val="20"/>
          <w:szCs w:val="20"/>
          <w:color w:val="auto"/>
        </w:rPr>
      </w:pPr>
    </w:p>
    <w:p>
      <w:pPr>
        <w:ind w:right="80" w:firstLine="749"/>
        <w:spacing w:after="0" w:line="253" w:lineRule="auto"/>
        <w:rPr>
          <w:sz w:val="20"/>
          <w:szCs w:val="20"/>
          <w:color w:val="auto"/>
        </w:rPr>
      </w:pPr>
      <w:r>
        <w:rPr>
          <w:rFonts w:ascii="Times New Roman" w:cs="Times New Roman" w:eastAsia="Times New Roman" w:hAnsi="Times New Roman"/>
          <w:sz w:val="18"/>
          <w:szCs w:val="18"/>
          <w:color w:val="auto"/>
        </w:rPr>
        <w:t>In March 2022, the Company’s clinical trial application, (“CTA”) filing for TSHA-102 for the treatment of Rett Syndrome was approved by Health Canada and therefore triggered a regulatory milestone payment in connection with this agreement. The Company recorded $1.0 million within research and development expenses and classified the payment as an investing cash outflow in the consolidated statements of cash flows. In May 2023, the Company dosed the first patient with TSHA-102 in the Phase 1/2 REVEAL trial evaluating the safety and preliminary efficacy of TSHA-102 in adult patients with Rett syndrome and therefore triggered a milestone payment in connection with the Abeona Rett Agreement. The Company recorded $3.5 million within research and development expenses in the consolidated statements of operations for the year ended December 31, 2023. In December 2025, the Company dosed the first patient with TSHA-102 in the Phase 1/2 Part B REVEAL pivotal trial and therefore triggered a milestone payment in connection with the Abeona Rett Agreement. The Company recorded $3.0 million within research and development expenses in the consolidated statements of operations for the year ended December 31, 2025. This milestone fee was paid in January 2026 and was recorded as an investing cash outflow in the condensed consolidated statement of cash flows for the three months ended March 31, 2026. No additional milestone payments were made or triggered in connection with this agreement during the three months ended March 31, 2026.</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9—Stock-Based Compensation</w:t>
      </w:r>
    </w:p>
    <w:p>
      <w:pPr>
        <w:spacing w:after="0" w:line="121" w:lineRule="exact"/>
        <w:rPr>
          <w:sz w:val="20"/>
          <w:szCs w:val="20"/>
          <w:color w:val="auto"/>
        </w:rPr>
      </w:pPr>
    </w:p>
    <w:p>
      <w:pPr>
        <w:jc w:val="both"/>
        <w:ind w:right="140" w:firstLine="749"/>
        <w:spacing w:after="0" w:line="258" w:lineRule="auto"/>
        <w:rPr>
          <w:sz w:val="20"/>
          <w:szCs w:val="20"/>
          <w:color w:val="auto"/>
        </w:rPr>
      </w:pPr>
      <w:r>
        <w:rPr>
          <w:rFonts w:ascii="Times New Roman" w:cs="Times New Roman" w:eastAsia="Times New Roman" w:hAnsi="Times New Roman"/>
          <w:sz w:val="18"/>
          <w:szCs w:val="18"/>
          <w:color w:val="auto"/>
        </w:rPr>
        <w:t>On July 1, 2020, the Company’s board of directors approved the 2020 Equity Incentive Plan (“Previous Plan”) which permitted the granting of incentive stock options, non-statutory stock options, stock appreciation rights, restricted stock awards (“RSAs”), restricted stock units (“RSUs”) and other stock-based awards to employees, directors, officers and consultants. As of September 16, 2020, the approval date of the New Plan (as defined below), no additional awards will be granted under the Previous Plan. The terms of the Previous Plan will continue to govern the terms of outstanding equity awards that were granted prior to approval of the New Plan.</w:t>
      </w:r>
    </w:p>
    <w:p>
      <w:pPr>
        <w:spacing w:after="0" w:line="183"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On September 16, 2020, the Company’s stockholders approved the 2020 Stock Incentive Plan (“New Plan”), which became effective upon the execution of the underwriting agreement in connection with the IPO. The number of shares of common stock reserved for issuance under the New Plan automatically increases on January 1 of each year, for a period of ten years, from January 1, 2021, continuing through January 1, 2030, by 5% of the total number of shares of common stock outstanding on December 31 of the preceding calendar year, or a lesser number of shares as may be determined by the Company’s board of directors (the “New Plan Evergreen Provision”). Pursuant to this provision, on January 1, 2026, the Company increased the number of shares of common stock reserved for issuance under the New Plan by 14,252,582 shares.</w:t>
      </w:r>
    </w:p>
    <w:p>
      <w:pPr>
        <w:spacing w:after="0" w:line="187" w:lineRule="exact"/>
        <w:rPr>
          <w:sz w:val="20"/>
          <w:szCs w:val="20"/>
          <w:color w:val="auto"/>
        </w:rPr>
      </w:pPr>
    </w:p>
    <w:p>
      <w:pPr>
        <w:ind w:right="260" w:firstLine="749"/>
        <w:spacing w:after="0" w:line="255" w:lineRule="auto"/>
        <w:rPr>
          <w:sz w:val="20"/>
          <w:szCs w:val="20"/>
          <w:color w:val="auto"/>
        </w:rPr>
      </w:pPr>
      <w:r>
        <w:rPr>
          <w:rFonts w:ascii="Times New Roman" w:cs="Times New Roman" w:eastAsia="Times New Roman" w:hAnsi="Times New Roman"/>
          <w:sz w:val="18"/>
          <w:szCs w:val="18"/>
          <w:color w:val="auto"/>
        </w:rPr>
        <w:t>Furthermore, on September 16, 2020, the Company’s stockholders approved the Employee Stock Purchase Plan (“ESPP”), which became effective upon the execution of the underwriting agreement in connection with the IPO. The maximum number of shares of common stock that may be issued under the ESPP will not exceed 362,000 shares of common stock, plus the number of shares of common stock that are automatically added on January 1st of each year for a period of up to ten years, commencing on the first January 1 following the IPO and ending on (and including) January 1, 2030, in an amount equal to the lesser of (i) one percent (1.0%) of the total number of shares of capital stock outstanding on December 31st of the preceding calendar year, and (ii) 724,000 shares of common stock. Pursuant to this provision, on January 1, 2026, the Company increased the number of shares of common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9" w:name="page20"/>
    <w:bookmarkEnd w:id="19"/>
    <w:p>
      <w:pPr>
        <w:ind w:right="180"/>
        <w:spacing w:after="0" w:line="282" w:lineRule="auto"/>
        <w:rPr>
          <w:sz w:val="20"/>
          <w:szCs w:val="20"/>
          <w:color w:val="auto"/>
        </w:rPr>
      </w:pPr>
      <w:r>
        <w:rPr>
          <w:rFonts w:ascii="Times New Roman" w:cs="Times New Roman" w:eastAsia="Times New Roman" w:hAnsi="Times New Roman"/>
          <w:sz w:val="18"/>
          <w:szCs w:val="18"/>
          <w:color w:val="auto"/>
        </w:rPr>
        <w:t>stock reserved for issuance under the ESPP by 724,000. The Company has issued an aggregate of 436,932 shares of common stock under the ESPP as of March 31, 2026.</w:t>
      </w:r>
    </w:p>
    <w:p>
      <w:pPr>
        <w:spacing w:after="0" w:line="162"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On December 15, 2023, the Company’s board of directors adopted the Taysha Gene Therapies, Inc. 2023 Inducement Plan (the “Inducement Plan”). The Inducement Plan was adopted without stockholder approval pursuant to Nasdaq Listing Rule 5635(c)(4). The Board reserved 4,000,000 shares of the Company’s common stock for issuance under the Inducement Plan. On December 12, 2024, the Company reserved an additional 2,000,000 shares of the Company’s common stock for issuance under the Inducement Plan. On November 14, 2025, the Company reserved an additional 3,000,000 shares of the Company’s common stock for issuance under the Inducement Plan.</w:t>
      </w:r>
    </w:p>
    <w:p>
      <w:pPr>
        <w:spacing w:after="0" w:line="183"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The only persons eligible to receive grants of Inducement Awards (as defined below) under the Inducement Plan are individuals who satisfy the standards for inducement grants under Nasdaq Listing Rule 5635(c)(4). The Inducement Plan will be administered by the Board and the Company’s Compensation Committee. Inducement Awards may only be granted by: (i) the Compensation Committee, provided such committee is comprised solely of “independent directors” (as defined by Nasdaq Listing Rule 5605(a)(2)) or (ii) a majority of the Company’s “independent directors.” An “Inducement Award” means any right to receive the Company’s common stock, cash or other property granted under the Inducement Plan (including nonstatutory stock options, restricted stock awards, restricted stock unit awards, stock appreciation rights, performance stock awards, performance cash awards or other stock-based awards).</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number of shares available for grant under the Company’s incentive plans were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3"/>
                <w:szCs w:val="13"/>
                <w:color w:val="auto"/>
              </w:rPr>
            </w:pPr>
          </w:p>
        </w:tc>
        <w:tc>
          <w:tcPr>
            <w:tcW w:w="1900" w:type="dxa"/>
            <w:vAlign w:val="bottom"/>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New</w:t>
            </w:r>
          </w:p>
        </w:tc>
        <w:tc>
          <w:tcPr>
            <w:tcW w:w="188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Inducement</w:t>
            </w:r>
          </w:p>
        </w:tc>
        <w:tc>
          <w:tcPr>
            <w:tcW w:w="1660" w:type="dxa"/>
            <w:vAlign w:val="bottom"/>
            <w:vMerge w:val="restart"/>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700" w:type="dxa"/>
            <w:vAlign w:val="bottom"/>
          </w:tcPr>
          <w:p>
            <w:pPr>
              <w:spacing w:after="0"/>
              <w:rPr>
                <w:sz w:val="15"/>
                <w:szCs w:val="15"/>
                <w:color w:val="auto"/>
              </w:rPr>
            </w:pPr>
          </w:p>
        </w:tc>
        <w:tc>
          <w:tcPr>
            <w:tcW w:w="166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4"/>
                <w:szCs w:val="14"/>
                <w:b w:val="1"/>
                <w:bCs w:val="1"/>
                <w:color w:val="auto"/>
              </w:rPr>
              <w:t>Plan</w:t>
            </w:r>
          </w:p>
        </w:tc>
        <w:tc>
          <w:tcPr>
            <w:tcW w:w="240" w:type="dxa"/>
            <w:vAlign w:val="bottom"/>
            <w:gridSpan w:val="2"/>
          </w:tcPr>
          <w:p>
            <w:pPr>
              <w:spacing w:after="0"/>
              <w:rPr>
                <w:sz w:val="15"/>
                <w:szCs w:val="15"/>
                <w:color w:val="auto"/>
              </w:rPr>
            </w:pPr>
          </w:p>
        </w:tc>
        <w:tc>
          <w:tcPr>
            <w:tcW w:w="166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Plan</w:t>
            </w:r>
          </w:p>
        </w:tc>
        <w:tc>
          <w:tcPr>
            <w:tcW w:w="220" w:type="dxa"/>
            <w:vAlign w:val="bottom"/>
            <w:gridSpan w:val="2"/>
          </w:tcPr>
          <w:p>
            <w:pPr>
              <w:spacing w:after="0"/>
              <w:rPr>
                <w:sz w:val="15"/>
                <w:szCs w:val="15"/>
                <w:color w:val="auto"/>
              </w:rPr>
            </w:pPr>
          </w:p>
        </w:tc>
        <w:tc>
          <w:tcPr>
            <w:tcW w:w="16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7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Available for grant net of reserve - January 1, 2026</w:t>
            </w:r>
          </w:p>
        </w:tc>
        <w:tc>
          <w:tcPr>
            <w:tcW w:w="1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(3,915,288)</w:t>
            </w:r>
          </w:p>
        </w:tc>
        <w:tc>
          <w:tcPr>
            <w:tcW w:w="1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3,142,050</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(773,238)</w:t>
            </w:r>
          </w:p>
        </w:tc>
        <w:tc>
          <w:tcPr>
            <w:tcW w:w="0" w:type="dxa"/>
            <w:vAlign w:val="bottom"/>
          </w:tcPr>
          <w:p>
            <w:pPr>
              <w:spacing w:after="0"/>
              <w:rPr>
                <w:sz w:val="1"/>
                <w:szCs w:val="1"/>
                <w:color w:val="auto"/>
              </w:rPr>
            </w:pPr>
          </w:p>
        </w:tc>
      </w:tr>
      <w:tr>
        <w:trPr>
          <w:trHeight w:val="216"/>
        </w:trPr>
        <w:tc>
          <w:tcPr>
            <w:tcW w:w="5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Plan adjustments and amendments</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14,252,582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14,252,582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Grants</w:t>
            </w:r>
          </w:p>
        </w:tc>
        <w:tc>
          <w:tcPr>
            <w:tcW w:w="1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(8,374,925)</w:t>
            </w:r>
          </w:p>
        </w:tc>
        <w:tc>
          <w:tcPr>
            <w:tcW w:w="12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(640,330)</w:t>
            </w:r>
          </w:p>
        </w:tc>
        <w:tc>
          <w:tcPr>
            <w:tcW w:w="12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(9,015,255)</w:t>
            </w:r>
          </w:p>
        </w:tc>
        <w:tc>
          <w:tcPr>
            <w:tcW w:w="0" w:type="dxa"/>
            <w:vAlign w:val="bottom"/>
          </w:tcPr>
          <w:p>
            <w:pPr>
              <w:spacing w:after="0"/>
              <w:rPr>
                <w:sz w:val="1"/>
                <w:szCs w:val="1"/>
                <w:color w:val="auto"/>
              </w:rPr>
            </w:pPr>
          </w:p>
        </w:tc>
      </w:tr>
      <w:tr>
        <w:trPr>
          <w:trHeight w:val="216"/>
        </w:trPr>
        <w:tc>
          <w:tcPr>
            <w:tcW w:w="5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Forfeitures</w:t>
            </w:r>
          </w:p>
        </w:tc>
        <w:tc>
          <w:tcPr>
            <w:tcW w:w="19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70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Available for grant - March 31, 2026</w:t>
            </w: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1,962,369</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spacing w:after="0"/>
              <w:rPr>
                <w:sz w:val="21"/>
                <w:szCs w:val="21"/>
                <w:color w:val="auto"/>
              </w:rPr>
            </w:pP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2,501,720</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spacing w:after="0"/>
              <w:rPr>
                <w:sz w:val="21"/>
                <w:szCs w:val="21"/>
                <w:color w:val="auto"/>
              </w:rPr>
            </w:pP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4,464,089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-25400</wp:posOffset>
            </wp:positionV>
            <wp:extent cx="7683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-8255</wp:posOffset>
            </wp:positionV>
            <wp:extent cx="7683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-25400</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-8255</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right="340" w:firstLine="749"/>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a total of 2,670,260 shares of common stock under the New Plan and the Inducement Plan were awarded with a weighted-average grant date fair value per share of $3.71. The stock options vest over four years and have a ten-year contractual term.</w:t>
      </w:r>
    </w:p>
    <w:p>
      <w:pPr>
        <w:spacing w:after="0" w:line="162"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The following weighted-average assumptions were used to estimate the fair value of time-based vesting stock options that were granted during the three months ended March 31, 2026 and 2025:</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40" w:type="dxa"/>
            <w:vAlign w:val="bottom"/>
          </w:tcPr>
          <w:p>
            <w:pPr>
              <w:spacing w:after="0"/>
              <w:rPr>
                <w:sz w:val="13"/>
                <w:szCs w:val="13"/>
                <w:color w:val="auto"/>
              </w:rPr>
            </w:pPr>
          </w:p>
        </w:tc>
        <w:tc>
          <w:tcPr>
            <w:tcW w:w="2760" w:type="dxa"/>
            <w:vAlign w:val="bottom"/>
            <w:gridSpan w:val="4"/>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73"/>
        </w:trPr>
        <w:tc>
          <w:tcPr>
            <w:tcW w:w="7840" w:type="dxa"/>
            <w:vAlign w:val="bottom"/>
          </w:tcPr>
          <w:p>
            <w:pPr>
              <w:spacing w:after="0"/>
              <w:rPr>
                <w:sz w:val="15"/>
                <w:szCs w:val="15"/>
                <w:color w:val="auto"/>
              </w:rPr>
            </w:pPr>
          </w:p>
        </w:tc>
        <w:tc>
          <w:tcPr>
            <w:tcW w:w="10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209"/>
        </w:trPr>
        <w:tc>
          <w:tcPr>
            <w:tcW w:w="8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7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3.87%</w:t>
            </w:r>
          </w:p>
        </w:tc>
        <w:tc>
          <w:tcPr>
            <w:tcW w:w="102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4.40%</w:t>
            </w:r>
          </w:p>
        </w:tc>
      </w:tr>
      <w:tr>
        <w:trPr>
          <w:trHeight w:val="216"/>
        </w:trPr>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760" w:type="dxa"/>
            <w:vAlign w:val="bottom"/>
            <w:gridSpan w:val="3"/>
          </w:tcPr>
          <w:p>
            <w:pPr>
              <w:jc w:val="right"/>
              <w:ind w:right="124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80" w:type="dxa"/>
            <w:vAlign w:val="bottom"/>
            <w:shd w:val="clear" w:color="auto" w:fill="CFF0FC"/>
          </w:tcPr>
          <w:p>
            <w:pPr>
              <w:spacing w:after="0"/>
              <w:rPr>
                <w:sz w:val="18"/>
                <w:szCs w:val="18"/>
                <w:color w:val="auto"/>
              </w:rPr>
            </w:pPr>
          </w:p>
        </w:tc>
      </w:tr>
      <w:tr>
        <w:trPr>
          <w:trHeight w:val="234"/>
        </w:trPr>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90%</w:t>
            </w:r>
          </w:p>
        </w:tc>
        <w:tc>
          <w:tcPr>
            <w:tcW w:w="102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w:t>
            </w:r>
          </w:p>
        </w:tc>
      </w:tr>
      <w:tr>
        <w:trPr>
          <w:trHeight w:val="630"/>
        </w:trPr>
        <w:tc>
          <w:tcPr>
            <w:tcW w:w="784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18</w:t>
            </w: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763"/>
        </w:trPr>
        <w:tc>
          <w:tcPr>
            <w:tcW w:w="78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0" w:name="page21"/>
    <w:bookmarkEnd w:id="20"/>
    <w:p>
      <w:pPr>
        <w:ind w:left="760"/>
        <w:spacing w:after="0"/>
        <w:rPr>
          <w:sz w:val="20"/>
          <w:szCs w:val="20"/>
          <w:color w:val="auto"/>
        </w:rPr>
      </w:pPr>
      <w:r>
        <w:rPr>
          <w:rFonts w:ascii="Times New Roman" w:cs="Times New Roman" w:eastAsia="Times New Roman" w:hAnsi="Times New Roman"/>
          <w:sz w:val="18"/>
          <w:szCs w:val="18"/>
          <w:color w:val="auto"/>
        </w:rPr>
        <w:t>The following table summarizes time-based vesting stock option activity during the three months ended March 31, 2026:</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vMerge w:val="restart"/>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7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440" w:type="dxa"/>
            <w:vAlign w:val="bottom"/>
            <w:gridSpan w:val="2"/>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2"/>
                <w:szCs w:val="12"/>
                <w:color w:val="auto"/>
              </w:rPr>
            </w:pPr>
          </w:p>
        </w:tc>
        <w:tc>
          <w:tcPr>
            <w:tcW w:w="94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73"/>
        </w:trPr>
        <w:tc>
          <w:tcPr>
            <w:tcW w:w="5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Outstanding at January 1, 2026</w:t>
            </w:r>
          </w:p>
        </w:tc>
        <w:tc>
          <w:tcPr>
            <w:tcW w:w="144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60" w:type="dxa"/>
            <w:vAlign w:val="bottom"/>
          </w:tcPr>
          <w:p>
            <w:pPr>
              <w:spacing w:after="0"/>
              <w:rPr>
                <w:sz w:val="15"/>
                <w:szCs w:val="15"/>
                <w:color w:val="auto"/>
              </w:rPr>
            </w:pPr>
          </w:p>
        </w:tc>
        <w:tc>
          <w:tcPr>
            <w:tcW w:w="94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(in years)</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0"/>
        </w:trPr>
        <w:tc>
          <w:tcPr>
            <w:tcW w:w="5780" w:type="dxa"/>
            <w:vAlign w:val="bottom"/>
            <w:vMerge w:val="continue"/>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24,569,261</w:t>
            </w:r>
          </w:p>
        </w:tc>
        <w:tc>
          <w:tcPr>
            <w:tcW w:w="2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20" w:type="dxa"/>
            <w:vAlign w:val="bottom"/>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Options granted</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2,670,260</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Options exercised</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(257,655)</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Options cancelled or forfeited</w:t>
            </w:r>
          </w:p>
        </w:tc>
        <w:tc>
          <w:tcPr>
            <w:tcW w:w="14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Options expired</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March 31, 2026</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26,981,866</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22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57,214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7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Options exercisable at March 31, 2026</w:t>
            </w: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11,291,973</w:t>
            </w:r>
          </w:p>
        </w:tc>
        <w:tc>
          <w:tcPr>
            <w:tcW w:w="2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3.85</w:t>
            </w:r>
          </w:p>
        </w:tc>
        <w:tc>
          <w:tcPr>
            <w:tcW w:w="14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7.4</w:t>
            </w:r>
          </w:p>
        </w:tc>
        <w:tc>
          <w:tcPr>
            <w:tcW w:w="3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26,282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-187960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-170815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-187960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-170815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-187960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-170815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The aggregate intrinsic value in the above table is calculated as the difference between the fair value of the Company’s common stock at the respective reporting date and the exercise price of the stock options. As of March 31, 2026, the total unrecognized compensation related to unvested time-based vesting stock option awards granted was $28.1 million, which the Company expects to recognize over a weighted-average period of approximately 2.9 years.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Stock Options</w:t>
      </w:r>
    </w:p>
    <w:p>
      <w:pPr>
        <w:spacing w:after="0" w:line="121" w:lineRule="exact"/>
        <w:rPr>
          <w:sz w:val="20"/>
          <w:szCs w:val="20"/>
          <w:color w:val="auto"/>
        </w:rPr>
      </w:pPr>
    </w:p>
    <w:p>
      <w:pPr>
        <w:ind w:right="280" w:firstLine="749"/>
        <w:spacing w:after="0" w:line="261" w:lineRule="auto"/>
        <w:rPr>
          <w:sz w:val="20"/>
          <w:szCs w:val="20"/>
          <w:color w:val="auto"/>
        </w:rPr>
      </w:pPr>
      <w:r>
        <w:rPr>
          <w:rFonts w:ascii="Times New Roman" w:cs="Times New Roman" w:eastAsia="Times New Roman" w:hAnsi="Times New Roman"/>
          <w:sz w:val="18"/>
          <w:szCs w:val="18"/>
          <w:color w:val="auto"/>
        </w:rPr>
        <w:t>In February 2023, the Company issued options to purchase 70,235 shares of common stock to employees under the New Plan that contain performance-based vesting conditions, subject to continued employment through each anniversary and achievement of the performance conditions. The grant date fair value of these awards was not material. As of March 31, 2026, 57,281 of the shares subject to the performance-based options were vested and outstanding. No performance-based stock options were exercised during the period.</w:t>
      </w:r>
    </w:p>
    <w:p>
      <w:pPr>
        <w:spacing w:after="0" w:line="180" w:lineRule="exact"/>
        <w:rPr>
          <w:sz w:val="20"/>
          <w:szCs w:val="20"/>
          <w:color w:val="auto"/>
        </w:rPr>
      </w:pPr>
    </w:p>
    <w:p>
      <w:pPr>
        <w:ind w:right="200" w:firstLine="749"/>
        <w:spacing w:after="0" w:line="256" w:lineRule="auto"/>
        <w:rPr>
          <w:sz w:val="20"/>
          <w:szCs w:val="20"/>
          <w:color w:val="auto"/>
        </w:rPr>
      </w:pPr>
      <w:r>
        <w:rPr>
          <w:rFonts w:ascii="Times New Roman" w:cs="Times New Roman" w:eastAsia="Times New Roman" w:hAnsi="Times New Roman"/>
          <w:sz w:val="18"/>
          <w:szCs w:val="18"/>
          <w:color w:val="auto"/>
        </w:rPr>
        <w:t>In May 2023, the Company issued options to purchase 2,166,653 shares of common stock to employees under the New Plan that contain both service and performance-based vesting conditions (the “Original Options”), with a weighted average grant date fair value per share of $0.50. These Original Options were expected to vest over a 3.6 year term if a combination of clinical, regulatory and financing performance conditions were achieved. No compensation expense was recognized in 2023 related to the Original Options as achievement of the performance conditions was not considered probable. The following weighted-average assumptions were used to estimate the fair value of the options granted in February 2023 and the Original Options that were granted in May 2023:</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4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49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6.0</w:t>
            </w:r>
          </w:p>
        </w:tc>
      </w:tr>
      <w:tr>
        <w:trPr>
          <w:trHeight w:val="234"/>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4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bl>
    <w:p>
      <w:pPr>
        <w:spacing w:after="0" w:line="17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Company modified all of the Original Options to amend the clinical and regulatory performance conditions and decreased the number of options granted to 1,516,655 (the “Modified Options”). The Company accounted for the changes in award terms as a modification in accordance with ASC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Total compensation cost is equal to the modification date fair value. The Modified Options have a grant date fair value per share of $1.28. The following assumptions were used to estimate the fair value of the Modified Options: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4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49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5.8</w:t>
            </w:r>
          </w:p>
        </w:tc>
      </w:tr>
      <w:tr>
        <w:trPr>
          <w:trHeight w:val="234"/>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4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bl>
    <w:p>
      <w:pPr>
        <w:spacing w:after="0" w:line="179"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The Modified Options will vest over 3.0 years. The Company recognized stock-based compensation expense of $0.1 million for the three months ended March 31, 2026, related to the Modified Options. As of March 31, 2026, the total unrecognized compensation expense related to the Modified Options was $0.2 million, which the Company expects to recognize over a weighted average period of approximately 0.8 years using the accelerated attribution method. During the three months ended March 31, 2026,</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1" w:name="page22"/>
    <w:bookmarkEnd w:id="21"/>
    <w:p>
      <w:pPr>
        <w:ind w:right="440"/>
        <w:spacing w:after="0" w:line="282" w:lineRule="auto"/>
        <w:rPr>
          <w:sz w:val="20"/>
          <w:szCs w:val="20"/>
          <w:color w:val="auto"/>
        </w:rPr>
      </w:pPr>
      <w:r>
        <w:rPr>
          <w:rFonts w:ascii="Times New Roman" w:cs="Times New Roman" w:eastAsia="Times New Roman" w:hAnsi="Times New Roman"/>
          <w:sz w:val="18"/>
          <w:szCs w:val="18"/>
          <w:color w:val="auto"/>
        </w:rPr>
        <w:t>111,324 of the Modified Options were exercised. As of March 31, 2026, 1,281,614 of the Modified Options were outstanding, of which 776,062 were vested.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the Company issued 6,344,995 RSUs to participants under the New Plan and the Inducement Plan. The RSUs are subject to a service-based vesting condition. The service-based RSUs vest in equal annual installments over a four-year period. The Company at any time may accelerate the vesting of the RSUs. Such shares are not accounted for as outstanding until they vest.</w:t>
      </w:r>
    </w:p>
    <w:p>
      <w:pPr>
        <w:spacing w:after="0" w:line="176" w:lineRule="exact"/>
        <w:rPr>
          <w:sz w:val="20"/>
          <w:szCs w:val="20"/>
          <w:color w:val="auto"/>
        </w:rPr>
      </w:pPr>
    </w:p>
    <w:p>
      <w:pPr>
        <w:jc w:val="both"/>
        <w:ind w:right="20" w:firstLine="749"/>
        <w:spacing w:after="0" w:line="266" w:lineRule="auto"/>
        <w:rPr>
          <w:sz w:val="20"/>
          <w:szCs w:val="20"/>
          <w:color w:val="auto"/>
        </w:rPr>
      </w:pPr>
      <w:r>
        <w:rPr>
          <w:rFonts w:ascii="Times New Roman" w:cs="Times New Roman" w:eastAsia="Times New Roman" w:hAnsi="Times New Roman"/>
          <w:sz w:val="18"/>
          <w:szCs w:val="18"/>
          <w:color w:val="auto"/>
        </w:rPr>
        <w:t>The Company adopted a mandatory sell-to-cover policy for tax withholdings on RSUs, in which shares with a market value equivalent to the tax withholding obligation are sold on behalf of the holder of the RSUs upon vesting and settlement to cover the tax withholding liability and the cash proceeds from such sales are remitted by the Company to taxing authorities.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Company’s RSU activity for the three months ended March 31, 2026 was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1780" w:type="dxa"/>
            <w:vAlign w:val="bottom"/>
            <w:gridSpan w:val="2"/>
            <w:vMerge w:val="restart"/>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7680" w:type="dxa"/>
            <w:vAlign w:val="bottom"/>
          </w:tcPr>
          <w:p>
            <w:pPr>
              <w:spacing w:after="0"/>
              <w:rPr>
                <w:sz w:val="15"/>
                <w:szCs w:val="15"/>
                <w:color w:val="auto"/>
              </w:rPr>
            </w:pPr>
          </w:p>
        </w:tc>
        <w:tc>
          <w:tcPr>
            <w:tcW w:w="162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at January 1, 2026</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6,311,178</w:t>
            </w:r>
          </w:p>
        </w:tc>
        <w:tc>
          <w:tcPr>
            <w:tcW w:w="16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units granted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6,344,995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(1,777,840)</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Cancelled or forfeited</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at March 31, 2026</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10,878,333</w:t>
            </w:r>
          </w:p>
        </w:tc>
        <w:tc>
          <w:tcPr>
            <w:tcW w:w="16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80" w:type="dxa"/>
            <w:vAlign w:val="bottom"/>
            <w:tcBorders>
              <w:top w:val="single" w:sz="8" w:color="CFF0FC"/>
            </w:tcBorders>
            <w:shd w:val="clear" w:color="auto" w:fill="CFF0FC"/>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600" w:firstLine="749"/>
        <w:spacing w:after="0" w:line="282" w:lineRule="auto"/>
        <w:rPr>
          <w:sz w:val="20"/>
          <w:szCs w:val="20"/>
          <w:color w:val="auto"/>
        </w:rPr>
      </w:pPr>
      <w:r>
        <w:rPr>
          <w:rFonts w:ascii="Times New Roman" w:cs="Times New Roman" w:eastAsia="Times New Roman" w:hAnsi="Times New Roman"/>
          <w:sz w:val="18"/>
          <w:szCs w:val="18"/>
          <w:color w:val="auto"/>
        </w:rPr>
        <w:t>As of March 31, 2026, the total unrecognized compensation cost related to the unvested RSU's was $36.2 million which is expected to be amortized on a straight-line basis over a weighted-average period of approximately 3.5 years.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Restricted Stock Units</w:t>
      </w:r>
    </w:p>
    <w:p>
      <w:pPr>
        <w:spacing w:after="0" w:line="121" w:lineRule="exact"/>
        <w:rPr>
          <w:sz w:val="20"/>
          <w:szCs w:val="20"/>
          <w:color w:val="auto"/>
        </w:rPr>
      </w:pPr>
    </w:p>
    <w:p>
      <w:pPr>
        <w:ind w:right="260" w:firstLine="749"/>
        <w:spacing w:after="0" w:line="256" w:lineRule="auto"/>
        <w:rPr>
          <w:sz w:val="20"/>
          <w:szCs w:val="20"/>
          <w:color w:val="auto"/>
        </w:rPr>
      </w:pPr>
      <w:r>
        <w:rPr>
          <w:rFonts w:ascii="Times New Roman" w:cs="Times New Roman" w:eastAsia="Times New Roman" w:hAnsi="Times New Roman"/>
          <w:sz w:val="18"/>
          <w:szCs w:val="18"/>
          <w:color w:val="auto"/>
        </w:rPr>
        <w:t>In August 2025, the Company issued 5,765,000 performance-based restricted stock units (“PSUs”) to employees under the New Plan that are eligible to vest upon the achievement of certain clinical and regulatory performance conditions. The grant date fair value of the PSUs was $17.3 million, which is expected to be recognized at a point in time when achievement of the underlying performance conditions is considered probable, using management’s best estimates, which consider the inherent risk and uncertainty regarding the future outcomes of the performance conditions. During the three months ended March 31, 2026, no compensation expense was recorded related to the PSUs as achievement of the performance conditions was not considered probable. As of March 31, 2026, 5,765,000 of the PSUs were unvested and outstanding.</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21"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In February 2022, the Company’s board of directors authorized the first offering under the ESPP. Under the ESPP, eligible employees may purchase shares of Taysha common stock through payroll deductions at a price equal to 85% of the lower of the fair market values of the stock as of the beginning or the end of six-month offering periods. An employee’s payroll deductions under the ESPP are limited to 15% of the employee’s compensation and employees may not purchase more than 1,800 shares of Taysha common stock during any offering period. During each of the three months ended March 31, 2026 and 2025, stock-based compensation expense related to the ESPP was not material.</w:t>
      </w:r>
    </w:p>
    <w:p>
      <w:pPr>
        <w:spacing w:after="0" w:line="183" w:lineRule="exact"/>
        <w:rPr>
          <w:sz w:val="20"/>
          <w:szCs w:val="20"/>
          <w:color w:val="auto"/>
        </w:rPr>
      </w:pPr>
    </w:p>
    <w:p>
      <w:pPr>
        <w:ind w:right="24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total stock-based compensation expense for the stock options, ESPP and RSUs recorded in the condensed consolidated statements of operations for the three months ended March 31, 2026 and 2025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4020" w:type="dxa"/>
            <w:vAlign w:val="bottom"/>
            <w:gridSpan w:val="4"/>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406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48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2026</w:t>
            </w:r>
          </w:p>
        </w:tc>
        <w:tc>
          <w:tcPr>
            <w:tcW w:w="68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14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9"/>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3860" w:type="dxa"/>
            <w:vAlign w:val="bottom"/>
            <w:gridSpan w:val="2"/>
            <w:shd w:val="clear" w:color="auto" w:fill="CFF0FC"/>
          </w:tcPr>
          <w:p>
            <w:pPr>
              <w:jc w:val="right"/>
              <w:ind w:right="130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2,861</w:t>
            </w:r>
          </w:p>
        </w:tc>
        <w:tc>
          <w:tcPr>
            <w:tcW w:w="1860" w:type="dxa"/>
            <w:vAlign w:val="bottom"/>
            <w:gridSpan w:val="2"/>
            <w:shd w:val="clear" w:color="auto" w:fill="CFF0FC"/>
          </w:tcPr>
          <w:p>
            <w:pPr>
              <w:jc w:val="right"/>
              <w:ind w:right="130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100" w:type="dxa"/>
            <w:vAlign w:val="bottom"/>
            <w:shd w:val="clear" w:color="auto" w:fill="CFF0FC"/>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380" w:type="dxa"/>
            <w:vAlign w:val="bottom"/>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2,686</w:t>
            </w:r>
          </w:p>
        </w:tc>
        <w:tc>
          <w:tcPr>
            <w:tcW w:w="400" w:type="dxa"/>
            <w:vAlign w:val="bottom"/>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1,870</w:t>
            </w:r>
          </w:p>
        </w:tc>
        <w:tc>
          <w:tcPr>
            <w:tcW w:w="100" w:type="dxa"/>
            <w:vAlign w:val="bottom"/>
          </w:tcPr>
          <w:p>
            <w:pPr>
              <w:spacing w:after="0"/>
              <w:rPr>
                <w:sz w:val="18"/>
                <w:szCs w:val="18"/>
                <w:color w:val="auto"/>
              </w:rPr>
            </w:pPr>
          </w:p>
        </w:tc>
      </w:tr>
      <w:tr>
        <w:trPr>
          <w:trHeight w:val="249"/>
        </w:trPr>
        <w:tc>
          <w:tcPr>
            <w:tcW w:w="40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3860" w:type="dxa"/>
            <w:vAlign w:val="bottom"/>
            <w:gridSpan w:val="2"/>
            <w:shd w:val="clear" w:color="auto" w:fill="CFF0FC"/>
          </w:tcPr>
          <w:p>
            <w:pPr>
              <w:jc w:val="right"/>
              <w:ind w:right="130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5,547</w:t>
            </w:r>
          </w:p>
        </w:tc>
        <w:tc>
          <w:tcPr>
            <w:tcW w:w="1860" w:type="dxa"/>
            <w:vAlign w:val="bottom"/>
            <w:gridSpan w:val="2"/>
            <w:shd w:val="clear" w:color="auto" w:fill="CFF0FC"/>
          </w:tcPr>
          <w:p>
            <w:pPr>
              <w:jc w:val="right"/>
              <w:ind w:right="130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3,294</w:t>
            </w:r>
          </w:p>
        </w:tc>
        <w:tc>
          <w:tcPr>
            <w:tcW w:w="100" w:type="dxa"/>
            <w:vAlign w:val="bottom"/>
            <w:shd w:val="clear" w:color="auto" w:fill="CFF0FC"/>
          </w:tcPr>
          <w:p>
            <w:pPr>
              <w:spacing w:after="0"/>
              <w:rPr>
                <w:sz w:val="21"/>
                <w:szCs w:val="21"/>
                <w:color w:val="auto"/>
              </w:rPr>
            </w:pPr>
          </w:p>
        </w:tc>
      </w:tr>
      <w:tr>
        <w:trPr>
          <w:trHeight w:val="629"/>
        </w:trPr>
        <w:tc>
          <w:tcPr>
            <w:tcW w:w="4060" w:type="dxa"/>
            <w:vAlign w:val="bottom"/>
            <w:tcBorders>
              <w:top w:val="single" w:sz="8" w:color="CFF0FC"/>
            </w:tcBorders>
          </w:tcPr>
          <w:p>
            <w:pPr>
              <w:spacing w:after="0"/>
              <w:rPr>
                <w:sz w:val="24"/>
                <w:szCs w:val="24"/>
                <w:color w:val="auto"/>
              </w:rPr>
            </w:pPr>
          </w:p>
        </w:tc>
        <w:tc>
          <w:tcPr>
            <w:tcW w:w="2380" w:type="dxa"/>
            <w:vAlign w:val="bottom"/>
            <w:tcBorders>
              <w:top w:val="single" w:sz="8" w:color="CFF0FC"/>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w:t>
            </w:r>
          </w:p>
        </w:tc>
        <w:tc>
          <w:tcPr>
            <w:tcW w:w="14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400" w:type="dxa"/>
            <w:vAlign w:val="bottom"/>
            <w:tcBorders>
              <w:top w:val="single" w:sz="8" w:color="CFF0FC"/>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406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-933450</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-916305</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Note 10—Warrants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Pre-Funded Warrants</w:t>
      </w:r>
    </w:p>
    <w:p>
      <w:pPr>
        <w:spacing w:after="0" w:line="1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Pre-Funded Warrants Issued in May 2025</w:t>
      </w:r>
    </w:p>
    <w:p>
      <w:pPr>
        <w:spacing w:after="0" w:line="11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On May 28, 2025, the Company entered into the May 2025 Underwriting Agreement with the Underwriters to issue and sell 46,868,687 shares of common stock, and, in lieu of common stock to certain investors, pre-funded warrants to purchase 25,858,586 shares of common stock (the “May 2025 Pre-Funded Warrants”) in the May 2025 Offering. The offering price to the public was $2.75 per share of common stock and $2.749 per May 2025 Pre-Funded Warrant, which was the price to the public of each share of common stock sold in the May 2025 Offering, minus the $0.001 exercise price per May 2025 Pre-Funded Warrant. The Underwriters agreed to purchase the shares and the May 2025 Pre-Funded Warrants from the Company pursuant to the May 2025 Underwriting Agreement at a price of $2.585 per share and $2.584 per May 2025 Pre-Funded Warrant, respectively. The initial closing of the May 2025 Offering occurred on May 30, 2025; no additional May 2025 Pre-Funded Warrants were sold upon the exercise of the Underwriters’ option in June 2025.</w:t>
      </w:r>
    </w:p>
    <w:p>
      <w:pPr>
        <w:spacing w:after="0" w:line="192"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Each May 2025 Pre-Funded Warrant has an initial exercise price per share of $0.001, subject to certain adjustments. The May 2025 Pre-Funded Warrants may be exercised at any time until exercised in full, except that a holder will not be entitled to exercise any portion of any pre-funded warrant, which, upon giving effect to such exercise would cause (i) the aggregate number of shares of the Company’s common stock beneficially owned by the holder (together with its affiliates) to exceed 4.99% or 9.99%, as the case may be, of the number of shares of the Company’s common stock outstanding immediately prior to or after giving effect to the exercise, or (ii) the combined voting power of the Company’s securities beneficially owned by the holder (together with its affiliates) to exceed 4.99% or 9.99%, as the case may be, of the combined voting power of all of the Company’s securities then outstanding immediately prior to or after giving effect to the exercise, as such percentage ownership is determined in accordance with the terms of the pre-funded warrants, subject to such holder’s rights under the May 2025 Pre-Funded Warrant to increase or decrease such percentage to another percentage not in excess of 19.99% upon at least 61 days’ prior notice from such holder to the Company.</w:t>
      </w:r>
    </w:p>
    <w:p>
      <w:pPr>
        <w:spacing w:after="0" w:line="188" w:lineRule="exact"/>
        <w:rPr>
          <w:sz w:val="20"/>
          <w:szCs w:val="20"/>
          <w:color w:val="auto"/>
        </w:rPr>
      </w:pPr>
    </w:p>
    <w:p>
      <w:pPr>
        <w:ind w:right="160" w:firstLine="749"/>
        <w:spacing w:after="0" w:line="256" w:lineRule="auto"/>
        <w:rPr>
          <w:sz w:val="20"/>
          <w:szCs w:val="20"/>
          <w:color w:val="auto"/>
        </w:rPr>
      </w:pPr>
      <w:r>
        <w:rPr>
          <w:rFonts w:ascii="Times New Roman" w:cs="Times New Roman" w:eastAsia="Times New Roman" w:hAnsi="Times New Roman"/>
          <w:sz w:val="18"/>
          <w:szCs w:val="18"/>
          <w:color w:val="auto"/>
        </w:rPr>
        <w:t>The Company concluded that the May 2025 Pre-Funded Warrants meet the criteria for equity classification at issuance and were recorded as a component of stockholders’ equity within additional paid-in capital. The May 2025 Pre-funded Warrants are equity classified because they (i) are freestanding financial instruments that are legally detachable and separately exercisable from the equity instruments, (ii) are immediately exercisable, (iii) do not embody an obligation for the Company to repurchase its shares, (iv) permit the holders to receive a fixed number of shares of common stock upon exercise, (v) are indexed to the Company’s common stock and (vi) meet the equity classification criteria. In addition, such pre-funded warrants do not provide any guarantee of value or return.</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Pre-Funded Warrants Issued in June 2024</w:t>
      </w:r>
    </w:p>
    <w:p>
      <w:pPr>
        <w:spacing w:after="0" w:line="11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On June 26, 2024, the Company entered into the June 2024 Underwriting Agreement with the Underwriters to issue and sell 14,361,113 shares of common stock, and, in lieu of common stock to certain investors, pre-funded warrants to purchase 18,972,221 shares of common stock (the “June 2024 Pre-Funded Warrants”) in the June 2024 Offering. The offering price to the public was $2.25 per share of common stock and $2.249 per June 2024 Pre-Funded Warrant, which was the price to the public of each share of common stock sold in the June 2024 Offering, minus the $0.001 exercise price per June 2024 Pre-Funded Warrant. The Underwriters agreed to purchase the shares and the June 2024 Pre-Funded Warrants from the Company pursuant to the June 2024 Underwriting Agreement at a price of $2.115 per share and $2.114 per June 2024 Pre-Funded Warrant, respectively. The initial closing of the June 2024 Offering occurred on June 27, 2024; no additional June 2024 Pre-Funded Warrants were sold upon the exercise of the Underwriters’ option in July 2024.</w:t>
      </w:r>
    </w:p>
    <w:p>
      <w:pPr>
        <w:spacing w:after="0" w:line="192"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Each June 2024 Pre-Funded Warrant has an initial exercise price per share of $0.001, subject to certain adjustments. The June 2024 Pre-Funded Warrants may be exercised at any time until exercised in full, except that a holder will not be entitled to exercise any portion of any pre-funded warrant, which, upon giving effect to such exercise would cause (i) the aggregate number of shares of the Company’s common stock beneficially owned by the holder (together with its affiliates) to exceed 4.99% or 9.99%, as the case may be, of the number of shares of the Company’s common stock outstanding immediately prior to or after giving effect to the exercise, or (ii) the combined voting power of the Company’s securities beneficially owned by the holder (together with its affiliates) to exceed 4.99% or 9.99%, as the case may be, of the combined voting power of all of the Company’s securities then outstanding immediately prior to or after giving effect to the exercise, as such percentage ownership is determined in accordance with the terms of the pre-funded warrants, subject to such holder’s rights under the June 2024 Pre-Funded Warrant to increase or decrease such percentage to another percentage not in excess of 19.99% upon at least 61 days’ prior notice from such holder to the Company.</w:t>
      </w:r>
    </w:p>
    <w:p>
      <w:pPr>
        <w:spacing w:after="0" w:line="188"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The Company concluded that the June 2024 Pre-Funded Warrants meet the criteria for equity classification at issuance and were recorded as a component of stockholders’ equity within additional paid-in capital. The June 2024 Pre-funded Warrants are equity classified because they (i) are freestanding financial instruments that are legally detachable and separately exercisable from the equity instruments, (ii) are immediately exercisable, (iii) do not embody an obligation for the Company to repurchase its shares, (iv) permit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3" w:name="page24"/>
    <w:bookmarkEnd w:id="23"/>
    <w:p>
      <w:pPr>
        <w:ind w:right="140"/>
        <w:spacing w:after="0" w:line="282" w:lineRule="auto"/>
        <w:rPr>
          <w:sz w:val="20"/>
          <w:szCs w:val="20"/>
          <w:color w:val="auto"/>
        </w:rPr>
      </w:pPr>
      <w:r>
        <w:rPr>
          <w:rFonts w:ascii="Times New Roman" w:cs="Times New Roman" w:eastAsia="Times New Roman" w:hAnsi="Times New Roman"/>
          <w:sz w:val="18"/>
          <w:szCs w:val="18"/>
          <w:color w:val="auto"/>
        </w:rPr>
        <w:t>the holders to receive a fixed number of shares of common stock upon exercise, (v) are indexed to the Company’s common stock and (vi) meet the equity classification criteria. In addition, such pre-funded warrants do not provide any guarantee of value or return.</w:t>
      </w:r>
    </w:p>
    <w:p>
      <w:pPr>
        <w:spacing w:after="0" w:line="16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Pre-Funded Warrants Issued in August 2023</w:t>
      </w:r>
    </w:p>
    <w:p>
      <w:pPr>
        <w:spacing w:after="0" w:line="119" w:lineRule="exact"/>
        <w:rPr>
          <w:sz w:val="20"/>
          <w:szCs w:val="20"/>
          <w:color w:val="auto"/>
        </w:rPr>
      </w:pPr>
    </w:p>
    <w:p>
      <w:pPr>
        <w:ind w:right="200" w:firstLine="749"/>
        <w:spacing w:after="0" w:line="256" w:lineRule="auto"/>
        <w:rPr>
          <w:sz w:val="20"/>
          <w:szCs w:val="20"/>
          <w:color w:val="auto"/>
        </w:rPr>
      </w:pPr>
      <w:r>
        <w:rPr>
          <w:rFonts w:ascii="Times New Roman" w:cs="Times New Roman" w:eastAsia="Times New Roman" w:hAnsi="Times New Roman"/>
          <w:sz w:val="18"/>
          <w:szCs w:val="18"/>
          <w:color w:val="auto"/>
        </w:rPr>
        <w:t>On August 14, 2023, the Company entered into a Securities Purchase Agreement (the “August 2023 Purchase Agreement”) with certain institutional and other accredited investors (the “Purchasers”), pursuant to which the Company agreed to sell and issue to the Purchasers in a private placement transaction (the “August 2023 Private Placement”) (i) 122,412,376 shares (the “PIPE Shares”) of the Company’s common stock, and (ii) with respect to certain Purchasers, pre-funded warrants to purchase 44,250,978 shares of the Company’s common stock (the “2023 Pre-Funded Warrants”) in lieu of shares of the Company’s common stock. The purchase price per share of common stock was $0.90 per share (the “PIPE Purchase Price”), and the purchase price for the 2023 Pre-Funded Warrants was the PIPE Purchase Price minus $0.001 per 2023 Pre-Funded Warrant.</w:t>
      </w:r>
    </w:p>
    <w:p>
      <w:pPr>
        <w:spacing w:after="0" w:line="187" w:lineRule="exact"/>
        <w:rPr>
          <w:sz w:val="20"/>
          <w:szCs w:val="20"/>
          <w:color w:val="auto"/>
        </w:rPr>
      </w:pPr>
    </w:p>
    <w:p>
      <w:pPr>
        <w:ind w:firstLine="599"/>
        <w:spacing w:after="0" w:line="258" w:lineRule="auto"/>
        <w:rPr>
          <w:sz w:val="20"/>
          <w:szCs w:val="20"/>
          <w:color w:val="auto"/>
        </w:rPr>
      </w:pPr>
      <w:r>
        <w:rPr>
          <w:rFonts w:ascii="Times New Roman" w:cs="Times New Roman" w:eastAsia="Times New Roman" w:hAnsi="Times New Roman"/>
          <w:sz w:val="18"/>
          <w:szCs w:val="18"/>
          <w:color w:val="auto"/>
        </w:rPr>
        <w:t>The 2023 Pre-Funded Warrants have a per share exercise price of $0.001, subject to proportional adjustments in the event of stock splits or combinations or similar events. The 2023 Pre-Funded Warrants will not expire until exercised in full. The 2023 Pre-Funded Warrants may not be exercised if the aggregate number of shares of common stock beneficially owned by the holder thereof immediately following such exercise would exceed a specified beneficial ownership limitation; provided, however, that a holder may increase or decrease the beneficial ownership limitation by giving 61 days’ notice to the Company, but not to any percentage in excess of 19.99%.</w:t>
      </w:r>
    </w:p>
    <w:p>
      <w:pPr>
        <w:spacing w:after="0" w:line="183" w:lineRule="exact"/>
        <w:rPr>
          <w:sz w:val="20"/>
          <w:szCs w:val="20"/>
          <w:color w:val="auto"/>
        </w:rPr>
      </w:pPr>
    </w:p>
    <w:p>
      <w:pPr>
        <w:jc w:val="both"/>
        <w:ind w:right="100" w:firstLine="749"/>
        <w:spacing w:after="0" w:line="266" w:lineRule="auto"/>
        <w:rPr>
          <w:sz w:val="20"/>
          <w:szCs w:val="20"/>
          <w:color w:val="auto"/>
        </w:rPr>
      </w:pPr>
      <w:r>
        <w:rPr>
          <w:rFonts w:ascii="Times New Roman" w:cs="Times New Roman" w:eastAsia="Times New Roman" w:hAnsi="Times New Roman"/>
          <w:sz w:val="18"/>
          <w:szCs w:val="18"/>
          <w:color w:val="auto"/>
        </w:rPr>
        <w:t>The closing of the August 2023 Private Placement occurred on August 16, 2023 (the “PIPE Closing”). The total gross proceeds to the Company at the PIPE Closing were $150.0 million, and after deducting placement agent commissions and offering expenses payable by the Company, net proceeds were $140.3 million.</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 April 2025, 9,615,000 of the 2023 Pre-Funded Warrants were exercised on a cashless basis in exchange for 9,607,145 shares of common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SSI Warrants</w:t>
      </w:r>
    </w:p>
    <w:p>
      <w:pPr>
        <w:spacing w:after="0" w:line="121"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In April 2023, the Company entered into a securities purchase agreement (the “SSI Securities Purchase Agreement”), with two affiliates of SSI Strategy Holdings LLC (“SSI”), named therein (the “SSI Investors”) pursuant to which the Company agreed to issue and sell to the SSI Investors in a private placement (the “SSI Private Placement”), 705,218 shares of its common stock (the “SSI Shares”) and warrants (the “SSI Warrants”) to purchase an aggregate of 525,000 shares of the Company’s common stock (the “Warrant Shares”). SSI provides certain consulting services to the Company. Each SSI Warrant has an exercise price of $0.7090 per Warrant Share, which was the closing price of the Company’s common stock on the Nasdaq Global Market on April 4, 2023 and expire ten years after issuance. The SSI Warrants issued in the SSI Private Placement provide that the holder of the SSI Warrants will not have the right to exercise any portion of its SSI Warrants until the achievement of certain clinical and regulatory milestones related to the Company’s clinical programs. The SSI Private Placement closed on April 5, 2023. Gross proceeds of the SSI Private Placement were $0.5 million.</w:t>
      </w:r>
    </w:p>
    <w:p>
      <w:pPr>
        <w:spacing w:after="0" w:line="192" w:lineRule="exact"/>
        <w:rPr>
          <w:sz w:val="20"/>
          <w:szCs w:val="20"/>
          <w:color w:val="auto"/>
        </w:rPr>
      </w:pPr>
    </w:p>
    <w:p>
      <w:pPr>
        <w:ind w:right="600" w:firstLine="749"/>
        <w:spacing w:after="0" w:line="258" w:lineRule="auto"/>
        <w:rPr>
          <w:sz w:val="20"/>
          <w:szCs w:val="20"/>
          <w:color w:val="auto"/>
        </w:rPr>
      </w:pPr>
      <w:r>
        <w:rPr>
          <w:rFonts w:ascii="Times New Roman" w:cs="Times New Roman" w:eastAsia="Times New Roman" w:hAnsi="Times New Roman"/>
          <w:sz w:val="18"/>
          <w:szCs w:val="18"/>
          <w:color w:val="auto"/>
        </w:rPr>
        <w:t>The Company concluded that the SSI Warrants did not meet the criteria for equity classification under the guidance of ASC 815 due to settlement provisions that permitted the holder to receive a variable number of shares in the event of a specified fundamental transaction as well as provisions that permitted the holder to participate in dividends. As the SSI Warrants did not meet the criteria for equity classification, the Company recorded the warrants as liabilities at their fair value. This liability was subject to remeasurement at each balance sheet date until the warrants were exercised and any change in fair value was recognized in the Company’s condensed consolidated statements of operations.</w:t>
      </w:r>
    </w:p>
    <w:p>
      <w:pPr>
        <w:spacing w:after="0" w:line="183" w:lineRule="exact"/>
        <w:rPr>
          <w:sz w:val="20"/>
          <w:szCs w:val="20"/>
          <w:color w:val="auto"/>
        </w:rPr>
      </w:pPr>
    </w:p>
    <w:p>
      <w:pPr>
        <w:ind w:right="80" w:firstLine="794"/>
        <w:spacing w:after="0" w:line="266" w:lineRule="auto"/>
        <w:rPr>
          <w:sz w:val="20"/>
          <w:szCs w:val="20"/>
          <w:color w:val="auto"/>
        </w:rPr>
      </w:pPr>
      <w:r>
        <w:rPr>
          <w:rFonts w:ascii="Times New Roman" w:cs="Times New Roman" w:eastAsia="Times New Roman" w:hAnsi="Times New Roman"/>
          <w:sz w:val="18"/>
          <w:szCs w:val="18"/>
          <w:color w:val="auto"/>
        </w:rPr>
        <w:t>In December 2025, all 316,667 of the SSI Warrants were exercised and the Company received proceeds of $0.2 million. After the SSI Warrants were exercised, the Company reclassified the warrant liability to additional paid-in capital as a component of stockholders’ equity. There were no outstanding liability classified warrants as of March 31, 2026 and December 31, 2025.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11—Net Loss Per Common Share</w:t>
      </w:r>
    </w:p>
    <w:p>
      <w:pPr>
        <w:spacing w:after="0" w:line="121"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Basic net loss per common share is computed by dividing net loss attributable to common stockholders by the weighted-average number of shares of common stock outstanding for the period. Since the Company had a net loss in all periods presented, basic and diluted net loss per common share are the same.</w:t>
      </w:r>
    </w:p>
    <w:p>
      <w:pPr>
        <w:spacing w:after="0" w:line="174" w:lineRule="exact"/>
        <w:rPr>
          <w:sz w:val="20"/>
          <w:szCs w:val="20"/>
          <w:color w:val="auto"/>
        </w:rPr>
      </w:pPr>
    </w:p>
    <w:p>
      <w:pPr>
        <w:ind w:right="160" w:firstLine="749"/>
        <w:spacing w:after="0" w:line="267" w:lineRule="auto"/>
        <w:rPr>
          <w:sz w:val="20"/>
          <w:szCs w:val="20"/>
          <w:color w:val="auto"/>
        </w:rPr>
      </w:pPr>
      <w:r>
        <w:rPr>
          <w:rFonts w:ascii="Times New Roman" w:cs="Times New Roman" w:eastAsia="Times New Roman" w:hAnsi="Times New Roman"/>
          <w:sz w:val="18"/>
          <w:szCs w:val="18"/>
          <w:color w:val="auto"/>
        </w:rPr>
        <w:t xml:space="preserve">In accordance with ASC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shares issuable for little to no cash consideration should be included in the number of outstanding shares used to calculate basic loss per share as long as all conditions necessary for exercise are met. The 2023 Pre-Funded Warrants, the June 2024 Pre-Funded Warrants and the May 2025 Pre-Funded Warrants are therefore included as</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outstanding shares as of March 31, 2026 and 2025 to calculate the weighted average number of shares outstanding to calculate basic loss per share.</w:t>
      </w:r>
    </w:p>
    <w:p>
      <w:pPr>
        <w:spacing w:after="0" w:line="225" w:lineRule="exact"/>
        <w:rPr>
          <w:sz w:val="20"/>
          <w:szCs w:val="20"/>
          <w:color w:val="auto"/>
        </w:rPr>
      </w:pPr>
    </w:p>
    <w:p>
      <w:pPr>
        <w:ind w:right="30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calculation of basic and diluted net loss per common share for the three months ended March 31, 2026 and 2025, respectively (in thousands, except share and per share data):</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500" w:type="dxa"/>
            <w:vAlign w:val="bottom"/>
            <w:gridSpan w:val="6"/>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173"/>
        </w:trPr>
        <w:tc>
          <w:tcPr>
            <w:tcW w:w="7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68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(42,410)</w:t>
            </w:r>
          </w:p>
        </w:tc>
        <w:tc>
          <w:tcPr>
            <w:tcW w:w="5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(21,529)</w:t>
            </w:r>
          </w:p>
        </w:tc>
        <w:tc>
          <w:tcPr>
            <w:tcW w:w="0" w:type="dxa"/>
            <w:vAlign w:val="bottom"/>
          </w:tcPr>
          <w:p>
            <w:pPr>
              <w:spacing w:after="0"/>
              <w:rPr>
                <w:sz w:val="1"/>
                <w:szCs w:val="1"/>
                <w:color w:val="auto"/>
              </w:rPr>
            </w:pPr>
          </w:p>
        </w:tc>
      </w:tr>
      <w:tr>
        <w:trPr>
          <w:trHeight w:val="178"/>
        </w:trPr>
        <w:tc>
          <w:tcPr>
            <w:tcW w:w="7060" w:type="dxa"/>
            <w:vAlign w:val="bottom"/>
            <w:tcBorders>
              <w:top w:val="single" w:sz="8" w:color="CFF0FC"/>
            </w:tcBorders>
          </w:tcPr>
          <w:p>
            <w:pPr>
              <w:spacing w:after="0" w:line="178" w:lineRule="exact"/>
              <w:rPr>
                <w:sz w:val="20"/>
                <w:szCs w:val="20"/>
                <w:color w:val="auto"/>
              </w:rPr>
            </w:pPr>
            <w:r>
              <w:rPr>
                <w:rFonts w:ascii="Times New Roman" w:cs="Times New Roman" w:eastAsia="Times New Roman" w:hAnsi="Times New Roman"/>
                <w:sz w:val="18"/>
                <w:szCs w:val="18"/>
                <w:color w:val="auto"/>
              </w:rPr>
              <w:t>Weighted-average shares of common stock outstanding used to compute net loss per common</w:t>
            </w:r>
          </w:p>
        </w:tc>
        <w:tc>
          <w:tcPr>
            <w:tcW w:w="300" w:type="dxa"/>
            <w:vAlign w:val="bottom"/>
            <w:tcBorders>
              <w:top w:val="single" w:sz="8" w:color="CFF0FC"/>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366,632,827</w:t>
            </w:r>
          </w:p>
        </w:tc>
        <w:tc>
          <w:tcPr>
            <w:tcW w:w="20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269,306,331</w:t>
            </w: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share, basic and diluted</w:t>
            </w:r>
          </w:p>
        </w:tc>
        <w:tc>
          <w:tcPr>
            <w:tcW w:w="3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(0.12)</w:t>
            </w:r>
          </w:p>
        </w:tc>
        <w:tc>
          <w:tcPr>
            <w:tcW w:w="5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0"/>
        </w:trPr>
        <w:tc>
          <w:tcPr>
            <w:tcW w:w="70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-462280</wp:posOffset>
            </wp:positionV>
            <wp:extent cx="7747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-445135</wp:posOffset>
            </wp:positionV>
            <wp:extent cx="7747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-462280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-445135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-25400</wp:posOffset>
            </wp:positionV>
            <wp:extent cx="7747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-8255</wp:posOffset>
            </wp:positionV>
            <wp:extent cx="7747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ind w:right="420" w:firstLine="749"/>
        <w:spacing w:after="0" w:line="239" w:lineRule="exact"/>
        <w:rPr>
          <w:sz w:val="20"/>
          <w:szCs w:val="20"/>
          <w:color w:val="auto"/>
        </w:rPr>
      </w:pPr>
      <w:r>
        <w:rPr>
          <w:rFonts w:ascii="Times New Roman" w:cs="Times New Roman" w:eastAsia="Times New Roman" w:hAnsi="Times New Roman"/>
          <w:sz w:val="18"/>
          <w:szCs w:val="18"/>
          <w:color w:val="auto"/>
        </w:rPr>
        <w:t>The following common stock equivalents outstanding as of March 31, 2026 and 2025, respectively, were excluded from the computation of diluted net loss per share attributable to common stockholders for the periods presented because including them would have been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dilutive: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162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72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7680" w:type="dxa"/>
            <w:vAlign w:val="bottom"/>
          </w:tcPr>
          <w:p>
            <w:pPr>
              <w:spacing w:after="0"/>
              <w:rPr>
                <w:sz w:val="15"/>
                <w:szCs w:val="15"/>
                <w:color w:val="auto"/>
              </w:rPr>
            </w:pPr>
          </w:p>
        </w:tc>
        <w:tc>
          <w:tcPr>
            <w:tcW w:w="162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5"/>
                <w:szCs w:val="15"/>
                <w:color w:val="auto"/>
              </w:rPr>
            </w:pPr>
          </w:p>
        </w:tc>
        <w:tc>
          <w:tcPr>
            <w:tcW w:w="162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09"/>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RSUs</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10,878,333</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6,241,566</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28,320,761</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24,326,199</w:t>
            </w:r>
          </w:p>
        </w:tc>
        <w:tc>
          <w:tcPr>
            <w:tcW w:w="100" w:type="dxa"/>
            <w:vAlign w:val="bottom"/>
          </w:tcPr>
          <w:p>
            <w:pPr>
              <w:spacing w:after="0"/>
              <w:rPr>
                <w:sz w:val="18"/>
                <w:szCs w:val="18"/>
                <w:color w:val="auto"/>
              </w:rPr>
            </w:pPr>
          </w:p>
        </w:tc>
      </w:tr>
      <w:tr>
        <w:trPr>
          <w:trHeight w:val="216"/>
        </w:trPr>
        <w:tc>
          <w:tcPr>
            <w:tcW w:w="7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SSI Warrants</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316,667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39,199,094</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30,884,432</w:t>
            </w:r>
          </w:p>
        </w:tc>
        <w:tc>
          <w:tcPr>
            <w:tcW w:w="100" w:type="dxa"/>
            <w:vAlign w:val="bottom"/>
          </w:tcPr>
          <w:p>
            <w:pPr>
              <w:spacing w:after="0"/>
              <w:rPr>
                <w:sz w:val="18"/>
                <w:szCs w:val="18"/>
                <w:color w:val="auto"/>
              </w:rPr>
            </w:pPr>
          </w:p>
        </w:tc>
      </w:tr>
      <w:tr>
        <w:trPr>
          <w:trHeight w:val="20"/>
        </w:trPr>
        <w:tc>
          <w:tcPr>
            <w:tcW w:w="768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12—Income Taxes</w:t>
      </w:r>
    </w:p>
    <w:p>
      <w:pPr>
        <w:spacing w:after="0" w:line="121"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Deferred tax assets and liabilities are determined based on the difference between the financial statement and tax bases of assets and liabilities using enacted tax rates in effect for the year in which the differences are expected to reverse. Valuation allowances are provided if based upon the weight of available evidence, it is more likely than not that some or all of the deferred tax assets will not be realized. The Company has evaluated the positive and negative evidence bearing upon the realizability of its deferred tax assets. There is no provision for income taxes because the Company has incurred operating losses and capitalized certain items for income tax purposes since its inception and maintains a full valuation allowance against its net deferred tax assets. The reported amount of income tax expense for the period differs from the amount that would result from applying the federal statutory tax rate to net loss before taxes primarily because of the change in valuation allowance.</w:t>
      </w:r>
    </w:p>
    <w:p>
      <w:pPr>
        <w:spacing w:after="0" w:line="189"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As of March 31, 2026, there were no material changes to either the nature or the amounts of the uncertain tax positions previously determined for the year ended December 31, 2025.</w:t>
      </w:r>
    </w:p>
    <w:p>
      <w:pPr>
        <w:spacing w:after="0" w:line="162"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 the United States. The OBBBA includes significant changes, such as the permanent extension of certain expiring provisions of the Tax Cuts and Jobs Act, modifications to certain aspects of the international tax framework and the restoration of favorable tax treatment for certain business expense provisions. The legislation has multiple effective dates, with certain provisions effective in 2025 and others implemented through 2027. The OBBBA did not have a material impact on the Company’s consolidated financial statements.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ind w:right="720" w:firstLine="749"/>
        <w:spacing w:after="0" w:line="282" w:lineRule="auto"/>
        <w:rPr>
          <w:sz w:val="20"/>
          <w:szCs w:val="20"/>
          <w:color w:val="auto"/>
        </w:rPr>
      </w:pPr>
      <w:r>
        <w:rPr>
          <w:rFonts w:ascii="Times New Roman" w:cs="Times New Roman" w:eastAsia="Times New Roman" w:hAnsi="Times New Roman"/>
          <w:sz w:val="18"/>
          <w:szCs w:val="18"/>
          <w:color w:val="auto"/>
        </w:rPr>
        <w:t>From time to time, the Company may be subject to various legal proceedings and claims that arise in the ordinary course of its business activities. The Company records a liability when a particular contingency is probable and estimable.</w:t>
      </w:r>
    </w:p>
    <w:p>
      <w:pPr>
        <w:spacing w:after="0" w:line="162" w:lineRule="exact"/>
        <w:rPr>
          <w:sz w:val="20"/>
          <w:szCs w:val="20"/>
          <w:color w:val="auto"/>
        </w:rPr>
      </w:pPr>
    </w:p>
    <w:p>
      <w:pPr>
        <w:ind w:right="80" w:firstLine="749"/>
        <w:spacing w:after="0" w:line="255" w:lineRule="auto"/>
        <w:rPr>
          <w:sz w:val="20"/>
          <w:szCs w:val="20"/>
          <w:color w:val="auto"/>
        </w:rPr>
      </w:pPr>
      <w:r>
        <w:rPr>
          <w:rFonts w:ascii="Times New Roman" w:cs="Times New Roman" w:eastAsia="Times New Roman" w:hAnsi="Times New Roman"/>
          <w:sz w:val="18"/>
          <w:szCs w:val="18"/>
          <w:color w:val="auto"/>
        </w:rPr>
        <w:t>In January 2024 and April 2024, the Company was named a nominal defendant in two putative stockholder derivative actions filed by stockholders of the Company in the Court of Chancery of the State of Delaware. The lawsuits have since been consolidated and a lead plaintiff has been appointed. In October 2024, the lead plaintiff filed an amended complaint asserting claims relating to the Company’s August 2023 Private Placement against (i) certain of the Company’s current and former directors and officers for breach of fiduciary duty and unjust enrichment; and (ii) certain participants in the Company’s August 2023 Private Placement for aiding and abetting breach of fiduciary duty and unjust enrichment. The complaints seek an unspecified award of damages in the Company’s favor, plus pre-judgment and post-judgment interest, and an award to the plaintiffs for the costs and disbursement of the action,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5" w:name="page26"/>
    <w:bookmarkEnd w:id="25"/>
    <w:p>
      <w:pPr>
        <w:ind w:right="60"/>
        <w:spacing w:after="0" w:line="258" w:lineRule="auto"/>
        <w:rPr>
          <w:sz w:val="20"/>
          <w:szCs w:val="20"/>
          <w:color w:val="auto"/>
        </w:rPr>
      </w:pPr>
      <w:r>
        <w:rPr>
          <w:rFonts w:ascii="Times New Roman" w:cs="Times New Roman" w:eastAsia="Times New Roman" w:hAnsi="Times New Roman"/>
          <w:sz w:val="18"/>
          <w:szCs w:val="18"/>
          <w:color w:val="auto"/>
        </w:rPr>
        <w:t>including fees for their attorneys and experts. The board of directors of the Company formed a special litigation committee to investigate the claims and allegations in the amended complaint. On March 3, 2026, the special litigation committee moved to terminate the action, stating its conclusion that dismissal is in the best interest of the Company and its stockholders. On April 1, 2026, the lead plaintiff filed a response stating that he does not oppose the motion to terminate the action. The Company has not recorded a liability related to these lawsuits because, at this time, the Company is unable to reasonably estimate possible losses or gains or determine whether an unfavorable outcome is either probable or remote.</w:t>
      </w:r>
    </w:p>
    <w:p>
      <w:pPr>
        <w:spacing w:after="0" w:line="183"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In connection with an investigation captioned In the Matter of Taysha Gene Therapies, Inc. (D-04192), Taysha and certain of its officers and directors received subpoenas in late 2024 from the United States Securities and Exchange Commission (“SEC”) for materials relating to Taysha’s August 2023 PIPE and certain public offerings. Production of materials in response to the subpoenas was completed in April 2025. The SEC investigation is neither a determination that the Company or any individuals have violated any law nor a charge of any wrongdoing.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121" w:lineRule="exact"/>
        <w:rPr>
          <w:sz w:val="20"/>
          <w:szCs w:val="20"/>
          <w:color w:val="auto"/>
        </w:rPr>
      </w:pPr>
    </w:p>
    <w:p>
      <w:pPr>
        <w:ind w:right="200" w:firstLine="749"/>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the Company enters into contracts that contain a variety of indemnifications with its directors, officers, employees, licensors, suppliers and service providers. The Company’s maximum exposure under these arrangements is unknown at March 31, 2026. The Company does not anticipate recognizing any significant losses relating to these arrangements.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Retirement Plan</w:t>
      </w:r>
    </w:p>
    <w:p>
      <w:pPr>
        <w:spacing w:after="0" w:line="121" w:lineRule="exact"/>
        <w:rPr>
          <w:sz w:val="20"/>
          <w:szCs w:val="20"/>
          <w:color w:val="auto"/>
        </w:rPr>
      </w:pPr>
    </w:p>
    <w:p>
      <w:pPr>
        <w:ind w:right="440" w:firstLine="749"/>
        <w:spacing w:after="0" w:line="266" w:lineRule="auto"/>
        <w:rPr>
          <w:sz w:val="20"/>
          <w:szCs w:val="20"/>
          <w:color w:val="auto"/>
        </w:rPr>
      </w:pPr>
      <w:r>
        <w:rPr>
          <w:rFonts w:ascii="Times New Roman" w:cs="Times New Roman" w:eastAsia="Times New Roman" w:hAnsi="Times New Roman"/>
          <w:sz w:val="18"/>
          <w:szCs w:val="18"/>
          <w:color w:val="auto"/>
        </w:rPr>
        <w:t>In July 2021, the Company adopted a 401(k) retirement savings plan that provides retirement benefits to all full-time employees. Eligible employees may contribute a percentage of their annual compensation, subject to Internal Revenue Service limitations. The Company contributed $0.3 million and $0.2 million to the 401(k) retirement savings plan for the three months ended March 31, 2026 and 2025,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Segment Information</w:t>
      </w:r>
    </w:p>
    <w:p>
      <w:pPr>
        <w:spacing w:after="0" w:line="121"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 Company’s Chief Executive Officer (“CEO”) is the Chief Operating Decision Maker (“CODM”). The CODM allocates resources and makes operating decisions based on financial information presented on a consolidated basis. The CODM does not evaluate profitability below the level of the consolidated company. Accordingly, the Company has determined that it has a single reportable segment and operating segment structure. The Company views its operations and manages its business as a single operating segment, the gene therapy segment, which is the business of developing AAV-based gene therapies for the treatment of severe monogenic diseases of the central nervous system.</w:t>
      </w:r>
    </w:p>
    <w:p>
      <w:pPr>
        <w:spacing w:after="0" w:line="183" w:lineRule="exact"/>
        <w:rPr>
          <w:sz w:val="20"/>
          <w:szCs w:val="20"/>
          <w:color w:val="auto"/>
        </w:rPr>
      </w:pPr>
    </w:p>
    <w:p>
      <w:pPr>
        <w:ind w:right="560" w:firstLine="749"/>
        <w:spacing w:after="0" w:line="282" w:lineRule="auto"/>
        <w:rPr>
          <w:sz w:val="20"/>
          <w:szCs w:val="20"/>
          <w:color w:val="auto"/>
        </w:rPr>
      </w:pPr>
      <w:r>
        <w:rPr>
          <w:rFonts w:ascii="Times New Roman" w:cs="Times New Roman" w:eastAsia="Times New Roman" w:hAnsi="Times New Roman"/>
          <w:sz w:val="18"/>
          <w:szCs w:val="18"/>
          <w:color w:val="auto"/>
        </w:rPr>
        <w:t>The gene therapy segment derived revenue solely from the Astellas Agreements (see Note 6). The accounting policies of the gene therapy segment are the same as those described in the summary of significant accounting policies.</w:t>
      </w:r>
    </w:p>
    <w:p>
      <w:pPr>
        <w:spacing w:after="0" w:line="162" w:lineRule="exact"/>
        <w:rPr>
          <w:sz w:val="20"/>
          <w:szCs w:val="20"/>
          <w:color w:val="auto"/>
        </w:rPr>
      </w:pPr>
    </w:p>
    <w:p>
      <w:pPr>
        <w:ind w:right="280" w:firstLine="749"/>
        <w:spacing w:after="0" w:line="282" w:lineRule="auto"/>
        <w:rPr>
          <w:sz w:val="20"/>
          <w:szCs w:val="20"/>
          <w:color w:val="auto"/>
        </w:rPr>
      </w:pPr>
      <w:r>
        <w:rPr>
          <w:rFonts w:ascii="Times New Roman" w:cs="Times New Roman" w:eastAsia="Times New Roman" w:hAnsi="Times New Roman"/>
          <w:sz w:val="18"/>
          <w:szCs w:val="18"/>
          <w:color w:val="auto"/>
        </w:rPr>
        <w:t>The CODM reviews significant segment expenses including direct program expenses and compensation expenses as part of the assessment of segment profit and loss. The measure of segment assets is reported on the balance sheet as total consolidated assets.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6" w:name="page27"/>
    <w:bookmarkEnd w:id="26"/>
    <w:p>
      <w:pPr>
        <w:ind w:left="760"/>
        <w:spacing w:after="0"/>
        <w:rPr>
          <w:sz w:val="20"/>
          <w:szCs w:val="20"/>
          <w:color w:val="auto"/>
        </w:rPr>
      </w:pPr>
      <w:r>
        <w:rPr>
          <w:rFonts w:ascii="Times New Roman" w:cs="Times New Roman" w:eastAsia="Times New Roman" w:hAnsi="Times New Roman"/>
          <w:sz w:val="18"/>
          <w:szCs w:val="18"/>
          <w:color w:val="auto"/>
        </w:rPr>
        <w:t>The following table presents significant segment expenses for the three months ended March 31, 2026 and 2025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80" w:type="dxa"/>
            <w:vAlign w:val="bottom"/>
          </w:tcPr>
          <w:p>
            <w:pPr>
              <w:spacing w:after="0"/>
              <w:rPr>
                <w:sz w:val="13"/>
                <w:szCs w:val="13"/>
                <w:color w:val="auto"/>
              </w:rPr>
            </w:pPr>
          </w:p>
        </w:tc>
        <w:tc>
          <w:tcPr>
            <w:tcW w:w="3300" w:type="dxa"/>
            <w:vAlign w:val="bottom"/>
            <w:gridSpan w:val="5"/>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7180" w:type="dxa"/>
            <w:vAlign w:val="bottom"/>
          </w:tcPr>
          <w:p>
            <w:pPr>
              <w:spacing w:after="0"/>
              <w:rPr>
                <w:sz w:val="15"/>
                <w:szCs w:val="15"/>
                <w:color w:val="auto"/>
              </w:rPr>
            </w:pPr>
          </w:p>
        </w:tc>
        <w:tc>
          <w:tcPr>
            <w:tcW w:w="114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2026</w:t>
            </w: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9"/>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140" w:type="dxa"/>
            <w:vAlign w:val="bottom"/>
            <w:shd w:val="clear" w:color="auto" w:fill="CFF0FC"/>
          </w:tcPr>
          <w:p>
            <w:pPr>
              <w:jc w:val="right"/>
              <w:ind w:right="982"/>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10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2,302</w:t>
            </w:r>
          </w:p>
        </w:tc>
        <w:tc>
          <w:tcPr>
            <w:tcW w:w="100" w:type="dxa"/>
            <w:vAlign w:val="bottom"/>
            <w:shd w:val="clear" w:color="auto" w:fill="CFF0FC"/>
          </w:tcPr>
          <w:p>
            <w:pPr>
              <w:spacing w:after="0"/>
              <w:rPr>
                <w:sz w:val="18"/>
                <w:szCs w:val="18"/>
                <w:color w:val="auto"/>
              </w:rPr>
            </w:pP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1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Research and development program expense</w:t>
            </w:r>
          </w:p>
        </w:tc>
        <w:tc>
          <w:tcPr>
            <w:tcW w:w="1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Program expense</w:t>
            </w:r>
          </w:p>
        </w:tc>
        <w:tc>
          <w:tcPr>
            <w:tcW w:w="1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3,998</w:t>
            </w:r>
          </w:p>
        </w:tc>
        <w:tc>
          <w:tcPr>
            <w:tcW w:w="100" w:type="dxa"/>
            <w:vAlign w:val="bottom"/>
          </w:tcPr>
          <w:p>
            <w:pPr>
              <w:spacing w:after="0"/>
              <w:rPr>
                <w:sz w:val="18"/>
                <w:szCs w:val="18"/>
                <w:color w:val="auto"/>
              </w:rPr>
            </w:pPr>
          </w:p>
        </w:tc>
      </w:tr>
      <w:tr>
        <w:trPr>
          <w:trHeight w:val="216"/>
        </w:trPr>
        <w:tc>
          <w:tcPr>
            <w:tcW w:w="7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Consultants and contractors expense</w:t>
            </w:r>
          </w:p>
        </w:tc>
        <w:tc>
          <w:tcPr>
            <w:tcW w:w="11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3,895</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3,209</w:t>
            </w:r>
          </w:p>
        </w:tc>
        <w:tc>
          <w:tcPr>
            <w:tcW w:w="100" w:type="dxa"/>
            <w:vAlign w:val="bottom"/>
            <w:shd w:val="clear" w:color="auto" w:fill="CFF0FC"/>
          </w:tcPr>
          <w:p>
            <w:pPr>
              <w:spacing w:after="0"/>
              <w:rPr>
                <w:sz w:val="18"/>
                <w:szCs w:val="18"/>
                <w:color w:val="auto"/>
              </w:rPr>
            </w:pPr>
          </w:p>
        </w:tc>
      </w:tr>
      <w:tr>
        <w:trPr>
          <w:trHeight w:val="216"/>
        </w:trPr>
        <w:tc>
          <w:tcPr>
            <w:tcW w:w="7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Compensation expense</w:t>
            </w:r>
          </w:p>
        </w:tc>
        <w:tc>
          <w:tcPr>
            <w:tcW w:w="1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11,270</w:t>
            </w:r>
          </w:p>
        </w:tc>
        <w:tc>
          <w:tcPr>
            <w:tcW w:w="100" w:type="dxa"/>
            <w:vAlign w:val="bottom"/>
          </w:tcPr>
          <w:p>
            <w:pPr>
              <w:spacing w:after="0"/>
              <w:rPr>
                <w:sz w:val="18"/>
                <w:szCs w:val="18"/>
                <w:color w:val="auto"/>
              </w:rPr>
            </w:pPr>
          </w:p>
        </w:tc>
      </w:tr>
      <w:tr>
        <w:trPr>
          <w:trHeight w:val="216"/>
        </w:trPr>
        <w:tc>
          <w:tcPr>
            <w:tcW w:w="7180" w:type="dxa"/>
            <w:vAlign w:val="bottom"/>
            <w:tcBorders>
              <w:bottom w:val="single" w:sz="8" w:color="CFF0FC"/>
            </w:tcBorders>
            <w:shd w:val="clear" w:color="auto" w:fill="CFF0FC"/>
          </w:tcPr>
          <w:p>
            <w:pPr>
              <w:ind w:left="80"/>
              <w:spacing w:after="0" w:line="216" w:lineRule="exact"/>
              <w:rPr>
                <w:sz w:val="20"/>
                <w:szCs w:val="20"/>
                <w:color w:val="auto"/>
              </w:rPr>
            </w:pPr>
            <w:r>
              <w:rPr>
                <w:rFonts w:ascii="Times New Roman" w:cs="Times New Roman" w:eastAsia="Times New Roman" w:hAnsi="Times New Roman"/>
                <w:sz w:val="18"/>
                <w:szCs w:val="18"/>
                <w:color w:val="auto"/>
              </w:rPr>
              <w:t>Other segment expense</w:t>
            </w:r>
            <w:r>
              <w:rPr>
                <w:rFonts w:ascii="Times New Roman" w:cs="Times New Roman" w:eastAsia="Times New Roman" w:hAnsi="Times New Roman"/>
                <w:sz w:val="24"/>
                <w:szCs w:val="24"/>
                <w:color w:val="auto"/>
                <w:vertAlign w:val="superscript"/>
              </w:rPr>
              <w:t>(a)</w:t>
            </w:r>
          </w:p>
        </w:tc>
        <w:tc>
          <w:tcPr>
            <w:tcW w:w="114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4,668</w:t>
            </w: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net loss</w:t>
            </w:r>
          </w:p>
        </w:tc>
        <w:tc>
          <w:tcPr>
            <w:tcW w:w="1140" w:type="dxa"/>
            <w:vAlign w:val="bottom"/>
          </w:tcPr>
          <w:p>
            <w:pPr>
              <w:jc w:val="right"/>
              <w:ind w:right="98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(42,410)</w:t>
            </w:r>
          </w:p>
        </w:tc>
        <w:tc>
          <w:tcPr>
            <w:tcW w:w="1380" w:type="dxa"/>
            <w:vAlign w:val="bottom"/>
            <w:gridSpan w:val="2"/>
          </w:tcPr>
          <w:p>
            <w:pPr>
              <w:jc w:val="right"/>
              <w:ind w:right="106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(21,529)</w:t>
            </w:r>
          </w:p>
        </w:tc>
      </w:tr>
      <w:tr>
        <w:trPr>
          <w:trHeight w:val="20"/>
        </w:trPr>
        <w:tc>
          <w:tcPr>
            <w:tcW w:w="71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-170815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right="120" w:firstLine="8"/>
        <w:spacing w:after="0" w:line="281" w:lineRule="auto"/>
        <w:tabs>
          <w:tab w:leader="none" w:pos="2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segment expense included in consolidated net loss includes interest income, depreciation, insurance, travel, software and subscription services, legal, professional and consulting expense, rent and facilities expense, other general and administrative expense, impairment of long-lived assets, change in fair value of term loan, change in fair value of warrant liability and other expense.</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60" w:firstLine="749"/>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condensed consolidated financial statements and related notes included in this Quarterly Report on Form 10-Q and the audited financial statements and notes thereto as of and for the year ended December 31, 2025 and the related Management’s Discussion and Analysis of Financial Condition and Results of Operations, included in our Annual Report on Form 10-K for the year ended December 31, 2025, or Annual Report, filed with the Securities and Exchange Commission, or the SEC, on March 19, 2026. Unless the context requires otherwise, references in this Quarterly Report on Form 10-Q to “we,” “us,” and “our” refer to Taysha Gene Therapies, Inc. together with its consolidated subsidiaries.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19"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i w:val="1"/>
          <w:iCs w:val="1"/>
          <w:color w:val="auto"/>
        </w:rPr>
        <w:t>The information in this discussion contains forward-looking statements and information within the meaning of Section 27A of the Securities Act of 1933, as amended, or the Securities Act, and Section 21E of the Securities Exchange Act of 1934, as amended, or the Exchange Act, which are subject to the “safe harbor” created by those sections. These forward-looking statements include, but are not limited to, statements concerning our strategy, future operations, future financial position, future revenues, projected costs, prospects and plans and objectives of management. The words “anticipates,” “believes,” “estimates,” “expects,” “intends,” “may,” “plans,” “projects,” “will,” “would” and similar expressions are intended to identify forward-looking statements, although not all forward-looking statements contain these identifying words.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that we make. These forward-looking statements involve risks and uncertainties that could cause our actual results to differ materially from those in the forward-looking statements, including, without limitation, the risks set forth in Part I, Item 1A, “Risk Factors” in our Annual Report. The forward-looking statements are applicable only as of the date on which they are made, and we do not assume any obligation to update any forward-looking statements.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Regarding Trademarks</w:t>
      </w:r>
    </w:p>
    <w:p>
      <w:pPr>
        <w:spacing w:after="0" w:line="135" w:lineRule="exact"/>
        <w:rPr>
          <w:sz w:val="20"/>
          <w:szCs w:val="20"/>
          <w:color w:val="auto"/>
        </w:rPr>
      </w:pPr>
    </w:p>
    <w:p>
      <w:pPr>
        <w:ind w:right="600" w:firstLine="749"/>
        <w:spacing w:after="0" w:line="282" w:lineRule="auto"/>
        <w:rPr>
          <w:sz w:val="20"/>
          <w:szCs w:val="20"/>
          <w:color w:val="auto"/>
        </w:rPr>
      </w:pPr>
      <w:r>
        <w:rPr>
          <w:rFonts w:ascii="Times New Roman" w:cs="Times New Roman" w:eastAsia="Times New Roman" w:hAnsi="Times New Roman"/>
          <w:sz w:val="18"/>
          <w:szCs w:val="18"/>
          <w:color w:val="auto"/>
        </w:rPr>
        <w:t>All brand names or trademarks appearing in this report are the property of their respective holders. Unless the context requires otherwise, references in this report to the “Company,” “we,” “us,” and “our” refer to Taysha Gene Therapies, Inc.</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We are a clinical-stage biotechnology company focused on advancing AAV-based gene therapies for the treatment of severe monogenic diseases of the central nervous system, or CNS. Our lead clinical program TSHA-102 is in development for the treatment of Rett syndrome, a rare neurodevelopmental disorder with no approved disease-modifying therapies that address the genetic root cause of the disease. With a singular focus on developing transformative medicines, we aim to address severe unmet medical needs and dramatically improve the lives of patients and their caregivers. Our management team has proven experience in gene therapy development and commercialization. We leverage this experience, our manufacturing process and a clinically and commercially proven AAV9 capsid in an effort to rapidly translate treatments from bench to bedside.</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We are evaluating TSHA-102 for the treatment of females with Rett syndrome in our REVEAL and ASPIRE clinical trials.</w:t>
      </w:r>
    </w:p>
    <w:p>
      <w:pPr>
        <w:spacing w:after="0" w:line="225"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The REVEAL Phase 1/2 Adolescent and Adult Trial, also known as Part A, is a first-in-human, open-label, randomized, dose-escalation and dose-expansion study evaluating the safety and preliminary efficacy of TSHA-102 as a single lumbar intrathecal administration in adolescent and adult females aged 12 years and older with Rett syndrome due to MECP2 loss-of-function mutation. The trial is taking place in Canada and the United States. A total of six participants aged 15 to 21 years were treated with TSHA-102 in this study, and enrollment for this trial is complete. Part A also includes the REVEAL Phase 1/2 Pediatric Trial, which is a first-in-human, open-label, randomized, dose-escalation and dose-expansion study evaluating the safety and preliminary efficacy of TSHA-102 as a single lumbar intrathecal administration in pediatric females aged 5 to 8 years with Rett syndrome due to MECP2 loss-of-function mutation. The trial is taking place in the United States and Canada. A total of six participants aged 6 to 8 years were treated with TSHA-102 in this study, and enrollment for this trial is also complete.</w:t>
      </w:r>
    </w:p>
    <w:p>
      <w:pPr>
        <w:spacing w:after="0" w:line="198" w:lineRule="exact"/>
        <w:rPr>
          <w:sz w:val="20"/>
          <w:szCs w:val="20"/>
          <w:color w:val="auto"/>
        </w:rPr>
      </w:pPr>
    </w:p>
    <w:p>
      <w:pPr>
        <w:ind w:firstLine="749"/>
        <w:spacing w:after="0" w:line="223" w:lineRule="auto"/>
        <w:rPr>
          <w:sz w:val="20"/>
          <w:szCs w:val="20"/>
          <w:color w:val="auto"/>
        </w:rPr>
      </w:pPr>
      <w:r>
        <w:rPr>
          <w:rFonts w:ascii="Times New Roman" w:cs="Times New Roman" w:eastAsia="Times New Roman" w:hAnsi="Times New Roman"/>
          <w:sz w:val="18"/>
          <w:szCs w:val="18"/>
          <w:color w:val="auto"/>
        </w:rPr>
        <w:t>We have completed dosing of the 12 patients in Part A of both REVEAL trials, which includes eight patients in cohort two (high dose, 1x10</w:t>
      </w:r>
      <w:r>
        <w:rPr>
          <w:rFonts w:ascii="Times New Roman" w:cs="Times New Roman" w:eastAsia="Times New Roman" w:hAnsi="Times New Roman"/>
          <w:sz w:val="24"/>
          <w:szCs w:val="24"/>
          <w:color w:val="auto"/>
          <w:vertAlign w:val="superscript"/>
        </w:rPr>
        <w:t>15</w:t>
      </w:r>
      <w:r>
        <w:rPr>
          <w:rFonts w:ascii="Times New Roman" w:cs="Times New Roman" w:eastAsia="Times New Roman" w:hAnsi="Times New Roman"/>
          <w:sz w:val="18"/>
          <w:szCs w:val="18"/>
          <w:color w:val="auto"/>
        </w:rPr>
        <w:t xml:space="preserve"> total vg) and four patients in cohort one (low dose, 5.7x10</w:t>
      </w:r>
      <w:r>
        <w:rPr>
          <w:rFonts w:ascii="Times New Roman" w:cs="Times New Roman" w:eastAsia="Times New Roman" w:hAnsi="Times New Roman"/>
          <w:sz w:val="24"/>
          <w:szCs w:val="24"/>
          <w:color w:val="auto"/>
          <w:vertAlign w:val="superscript"/>
        </w:rPr>
        <w:t>14</w:t>
      </w:r>
      <w:r>
        <w:rPr>
          <w:rFonts w:ascii="Times New Roman" w:cs="Times New Roman" w:eastAsia="Times New Roman" w:hAnsi="Times New Roman"/>
          <w:sz w:val="18"/>
          <w:szCs w:val="18"/>
          <w:color w:val="auto"/>
        </w:rPr>
        <w:t xml:space="preserve"> total vg). We reported positive clinical data in May 2025, demonstrating that the first 10 patients gained or regained one or more developmental milestone across communication, fine motor and gross motor function following TSHA-102 as of the May 19, 2025 data cutoff. Patients also showed improvements across multiple standardized Rett syndrome assessments. High dose (1x10</w:t>
      </w:r>
      <w:r>
        <w:rPr>
          <w:rFonts w:ascii="Times New Roman" w:cs="Times New Roman" w:eastAsia="Times New Roman" w:hAnsi="Times New Roman"/>
          <w:sz w:val="24"/>
          <w:szCs w:val="24"/>
          <w:color w:val="auto"/>
          <w:vertAlign w:val="superscript"/>
        </w:rPr>
        <w:t>15</w:t>
      </w:r>
      <w:r>
        <w:rPr>
          <w:rFonts w:ascii="Times New Roman" w:cs="Times New Roman" w:eastAsia="Times New Roman" w:hAnsi="Times New Roman"/>
          <w:sz w:val="18"/>
          <w:szCs w:val="18"/>
          <w:color w:val="auto"/>
        </w:rPr>
        <w:t xml:space="preserve"> total vg) and low dose (5.7x10</w:t>
      </w:r>
      <w:r>
        <w:rPr>
          <w:rFonts w:ascii="Times New Roman" w:cs="Times New Roman" w:eastAsia="Times New Roman" w:hAnsi="Times New Roman"/>
          <w:sz w:val="24"/>
          <w:szCs w:val="24"/>
          <w:color w:val="auto"/>
          <w:vertAlign w:val="superscript"/>
        </w:rPr>
        <w:t>14</w:t>
      </w:r>
      <w:r>
        <w:rPr>
          <w:rFonts w:ascii="Times New Roman" w:cs="Times New Roman" w:eastAsia="Times New Roman" w:hAnsi="Times New Roman"/>
          <w:sz w:val="18"/>
          <w:szCs w:val="18"/>
          <w:color w:val="auto"/>
        </w:rPr>
        <w:t xml:space="preserve"> total vg) TSHA-102 continue to</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8" w:name="page29"/>
    <w:bookmarkEnd w:id="28"/>
    <w:p>
      <w:pPr>
        <w:ind w:right="380"/>
        <w:spacing w:after="0" w:line="282" w:lineRule="auto"/>
        <w:rPr>
          <w:sz w:val="20"/>
          <w:szCs w:val="20"/>
          <w:color w:val="auto"/>
        </w:rPr>
      </w:pPr>
      <w:r>
        <w:rPr>
          <w:rFonts w:ascii="Times New Roman" w:cs="Times New Roman" w:eastAsia="Times New Roman" w:hAnsi="Times New Roman"/>
          <w:sz w:val="18"/>
          <w:szCs w:val="18"/>
          <w:color w:val="auto"/>
        </w:rPr>
        <w:t>be generally well tolerated with no treatment-related serious adverse events, or SAEs, or dose-limiting toxicities, or DLTs, in all patients treated in the REVEAL Phase 1/2 and REVEAL pivotal trials as of the May 2026 data cutoff.</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An update on longer-term safety and efficacy data from the Part A REVEAL Phase 1/2 trials (n=12) is expected in the second quarter of 2026.</w:t>
      </w:r>
    </w:p>
    <w:p>
      <w:pPr>
        <w:spacing w:after="0" w:line="225"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The TSHA-102 clinical development program is designed to support the potential future approval of TSHA-102 for a broad population of patients aged 2 years and older with Rett syndrome through an efficient and rigorously designed pathway. In close collaboration with the United States Food and Drug Administration, or FDA, we designed the TSHA-102 pivotal program so that efficacy data from the REVEAL pivotal trial in participants aged 6 to &lt;22 years who have reached developmental plateau can be used to represent patients aged 2 to &lt;6 years, while safety data in younger children are generated through the separate ASPIRE trial to support the potential for a broad label for TSHA-102.</w:t>
      </w:r>
    </w:p>
    <w:p>
      <w:pPr>
        <w:spacing w:after="0" w:line="183" w:lineRule="exact"/>
        <w:rPr>
          <w:sz w:val="20"/>
          <w:szCs w:val="20"/>
          <w:color w:val="auto"/>
        </w:rPr>
      </w:pPr>
    </w:p>
    <w:p>
      <w:pPr>
        <w:ind w:right="20" w:firstLine="749"/>
        <w:spacing w:after="0" w:line="246" w:lineRule="auto"/>
        <w:rPr>
          <w:sz w:val="20"/>
          <w:szCs w:val="20"/>
          <w:color w:val="auto"/>
        </w:rPr>
      </w:pPr>
      <w:r>
        <w:rPr>
          <w:rFonts w:ascii="Times New Roman" w:cs="Times New Roman" w:eastAsia="Times New Roman" w:hAnsi="Times New Roman"/>
          <w:sz w:val="18"/>
          <w:szCs w:val="18"/>
          <w:color w:val="auto"/>
        </w:rPr>
        <w:t>The REVEAL pivotal trial, also known as Part B, is a single-arm, open-label study evaluating the efficacy and safety of TSHA-102 in females with Rett syndrome, with each patient serving as their own control. Each participant will receive a single administration of the high dose (1x10</w:t>
      </w:r>
      <w:r>
        <w:rPr>
          <w:rFonts w:ascii="Times New Roman" w:cs="Times New Roman" w:eastAsia="Times New Roman" w:hAnsi="Times New Roman"/>
          <w:sz w:val="24"/>
          <w:szCs w:val="24"/>
          <w:color w:val="auto"/>
          <w:vertAlign w:val="superscript"/>
        </w:rPr>
        <w:t>15</w:t>
      </w:r>
      <w:r>
        <w:rPr>
          <w:rFonts w:ascii="Times New Roman" w:cs="Times New Roman" w:eastAsia="Times New Roman" w:hAnsi="Times New Roman"/>
          <w:sz w:val="18"/>
          <w:szCs w:val="18"/>
          <w:color w:val="auto"/>
        </w:rPr>
        <w:t xml:space="preserve"> total vg) of TSHA-102 delivered by lumbar intrathecal injection. The study will enroll 15 females aged 6 to &lt;22 years in the developmental plateau population of Rett syndrome; these patients have an exceedingly low likelihood (0% to &lt;6.7%) of gaining new or regaining developmental milestones that were lost after a defined number of years, based on our analysis of the National Institutes of Health, or NIH, -funded International Rett Syndrome Foundation’s natural history study data. The primary endpoint will assess response rate, defined as the percentage of patients who gain or regain at least one developmental milestone from a list of 28 defined milestones across the core functional domains of communication, fine motor and gross motor, following administration of TSHA-102. Standardized milestone assessments will be administered and captured on video at pre- and post-treatment timepoints, with determination of milestone gain/regain upon video-evidence review by independent, blinded central raters based on prespecified definitions of achievement for each milestone.</w:t>
      </w:r>
    </w:p>
    <w:p>
      <w:pPr>
        <w:spacing w:after="0" w:line="197"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We have finalized FDA alignment on the REVEAL pivotal trial protocol and statistical analysis plan, which includes a 6-month interim analysis that may serve as the basis for a biologics license application, or BLA, submission. Multiple patients have been dosed in the REVEAL pivotal trial, with the first patient dosed in the fourth quarter of 2025. Additional patient enrollment continues to advance across multiple clinical trial sites. There have been no treatment-related SAEs or DLTs across the participants treated with TSHA-102 in the REVEAL pivotal trial as of the May 2026 data cutoff. We expect to complete dosing of all patients in the REVEAL pivotal trial in the second quarter of 2026.</w:t>
      </w:r>
    </w:p>
    <w:p>
      <w:pPr>
        <w:spacing w:after="0" w:line="183" w:lineRule="exact"/>
        <w:rPr>
          <w:sz w:val="20"/>
          <w:szCs w:val="20"/>
          <w:color w:val="auto"/>
        </w:rPr>
      </w:pPr>
    </w:p>
    <w:p>
      <w:pPr>
        <w:ind w:firstLine="749"/>
        <w:spacing w:after="0" w:line="221" w:lineRule="exact"/>
        <w:rPr>
          <w:sz w:val="20"/>
          <w:szCs w:val="20"/>
          <w:color w:val="auto"/>
        </w:rPr>
      </w:pPr>
      <w:r>
        <w:rPr>
          <w:rFonts w:ascii="Times New Roman" w:cs="Times New Roman" w:eastAsia="Times New Roman" w:hAnsi="Times New Roman"/>
          <w:sz w:val="18"/>
          <w:szCs w:val="18"/>
          <w:color w:val="auto"/>
        </w:rPr>
        <w:t>We also obtained written alignment from the FDA on an extrapolation approach in a separate safety-focused study, which we refer to as the ASPIRE trial, and the data for inclusion in the planned BLA submission to enable potential broad labeling of TSHA-102 for patients aged ≥2 years with Rett syndrome. ASPIRE will enroll three females aged 2 to &lt;4 years with Rett syndrome to evaluate the safety and preliminary efficacy of a single intrathecal administration of high dose TSHA-102 (1x10</w:t>
      </w:r>
      <w:r>
        <w:rPr>
          <w:rFonts w:ascii="Times New Roman" w:cs="Times New Roman" w:eastAsia="Times New Roman" w:hAnsi="Times New Roman"/>
          <w:sz w:val="24"/>
          <w:szCs w:val="24"/>
          <w:color w:val="auto"/>
          <w:vertAlign w:val="superscript"/>
        </w:rPr>
        <w:t>15</w:t>
      </w:r>
      <w:r>
        <w:rPr>
          <w:rFonts w:ascii="Times New Roman" w:cs="Times New Roman" w:eastAsia="Times New Roman" w:hAnsi="Times New Roman"/>
          <w:sz w:val="18"/>
          <w:szCs w:val="18"/>
          <w:color w:val="auto"/>
        </w:rPr>
        <w:t xml:space="preserve"> total vg), scaled to account for the lower brain volume in 2 to &lt;4</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olds. A minimum of three months of ASPIRE safety data will be included in the planned BLA submission, while efficacy in the 2 to &lt;6-year-old population will be extrapolated from data collected in the REVEAL pivotal trial, to support the potential for a broad label for TSHA-102 in patients aged ≥2 years with Rett syndrome. We expect to complete dosing in the ASPIRE trial in the second quarter of 2026.</w:t>
      </w:r>
    </w:p>
    <w:p>
      <w:pPr>
        <w:spacing w:after="0" w:line="198"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We reached written alignment with the FDA on Chemistry, Manufacturing and Controls, or CMC, requirements to support a planned BLA submission for TSHA-102 following a Type C meeting. We further aligned with the FDA on our proposed comparability approach between TSHA-102 material derived from the clinical and final commercial manufacturing processes. The FDA agreed that this approach may support pooling data from the REVEAL Phase 1/2 trials with data from the ongoing REVEAL pivotal and ASPIRE trials for the planned BLA submission. The FDA also endorsed our proposed Process Performance Qualification, or PPQ, campaign strategy to support process validation for the BLA submission, including the stability data package, the potency assay strategy, and the execution of BLA-enabling PPQ lots using the commercial manufacturing process. We initiated our PPQ campaign in April 2026 and expect to complete the campaign in the fourth quarter of 2026. Initiating the PPQ campaign ensures our CMC activities remain aligned with our clinical development timelines for the planned BLA submission.</w:t>
      </w:r>
    </w:p>
    <w:p>
      <w:pPr>
        <w:spacing w:after="0" w:line="192"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We have received orphan drug designation and rare pediatric disease designation from the FDA and orphan drug designation from the European Commission for TSHA-102 for the treatment of Rett syndrome. We also received Fast Track Designation from the FDA for TSHA-102 for the treatment of Rett syndrome. In February 2024, we received Innovative Licensing and Access Pathway, or ILAP, designation for TSHA-102 from the U.K. Medicines and Healthcare Products Regulatory Agency. The ILAP aims to facilitate patient access to novel treatments by accelerating time to market through opportunities for enhanced engagements with U.K. regulatory authorities and other stakeholders.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9" w:name="page30"/>
    <w:bookmarkEnd w:id="29"/>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In April 2024, the FDA granted Regenerative Medicine Advanced Therapy, or RMAT, designation for TSHA-102 in Rett syndrome following the FDA’s review of available safety and efficacy data from the first three patients with Rett syndrome dosed with the low dose of TSHA-102 in Part A of the REVEAL Phase 1/2 Adolescent and Adult trial and the REVEAL Phase 1/2 Pediatric trial. In September 2025, the FDA granted Breakthrough Therapy designation to TSHA-102 following the FDA’s review of positive clinical evidence across the 12 patients treated with TSHA-102 in Part A of the REVEAL Phase 1/2 trials. The FDA grants Breakthrough Therapy designation to expedite the development and regulatory review of an investigational therapy intended to treat a serious condition. A drug is eligible for this designation if it demonstrates preliminary clinical evidence of substantial improvement over available treatments in one or more clinically significant endpoints.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Pipeline</w:t>
      </w:r>
    </w:p>
    <w:p>
      <w:pPr>
        <w:spacing w:after="0" w:line="121" w:lineRule="exact"/>
        <w:rPr>
          <w:sz w:val="20"/>
          <w:szCs w:val="20"/>
          <w:color w:val="auto"/>
        </w:rPr>
      </w:pPr>
    </w:p>
    <w:p>
      <w:pPr>
        <w:jc w:val="both"/>
        <w:ind w:right="20" w:firstLine="749"/>
        <w:spacing w:after="0" w:line="261" w:lineRule="auto"/>
        <w:rPr>
          <w:sz w:val="20"/>
          <w:szCs w:val="20"/>
          <w:color w:val="auto"/>
        </w:rPr>
      </w:pPr>
      <w:r>
        <w:rPr>
          <w:rFonts w:ascii="Times New Roman" w:cs="Times New Roman" w:eastAsia="Times New Roman" w:hAnsi="Times New Roman"/>
          <w:sz w:val="18"/>
          <w:szCs w:val="18"/>
          <w:color w:val="auto"/>
        </w:rPr>
        <w:t>We are focused on discovering, developing and commercializing gene therapies for the treatment of monogenic diseases of the CNS, in both rare and large patient populations. Our primary focus is advancing our lead TSHA-102 clinical program in Rett syndrome, while our pipeline of CNS programs offers the potential for additional development opportunities in the future. The stage of development of our Rett syndrome program, including the progress in our ongoing clinical trials, is represented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57150</wp:posOffset>
            </wp:positionV>
            <wp:extent cx="6172200" cy="114046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172200" cy="1140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We have a limited operating history. Since our inception, our operations have focused on organizing and staffing our company, business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planning, raising capital and entering into collaboration agreements for conducting preclinical and clinical development activities for our product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candidates. Our lead product candidate is still in the clinical stage. We do not have any product candidates approved for sale and have not generated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from product sales. Through March 31, 2026, we have funded our operations primarily through: (i) the sale of equity, raising an aggregate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$961.0 million of gross proceeds from our initial public offering, or the IPO, sales of common stock pursuant to our Sales Agreement (as defined below),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October 2022 follow-on offering, our 2023 private placement, our June 2024 Offering (as defined below) and our May 2025 Offering (as defined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(ii) pre-IPO private placements of our convertible preferred stock; (iii) our 2023 Term Loan Agreement (as defined below) and subsequently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Trinity Term Loan Agreement (as defined below); and (iv) the Astellas Transactions.</w:t>
      </w:r>
    </w:p>
    <w:p>
      <w:pPr>
        <w:spacing w:after="0" w:line="207"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On November 13, 2023, or the 2023 Trinity Closing Date, we entered into a Loan and Security Agreement, or the 2023 Trinity Term Loan Agreement, by and among us, the lenders party thereto from time to time, or the Trinity Lenders, and Trinity Capital Inc., as administrative agent and collateral agent for the Trinity Lenders, or Trinity. The 2023 Trinity Term Loan Agreement provided for, on the 2023 Trinity Closing Date, $40.0 million aggregate principal amount of term loans, or, collectively, the 2023 Trinity Term Loans. We drew the 2023 Trinity Term Loans in full on the 2023 Trinity Closing Date. On August 7, 2025, we entered into the 2025 Trinity Term Loan Agreement (as defined below) with the 2025 Trinity Lenders (as defined below). We drew $50.0 million in term loans on the Trinity Refinance Date (as defined below). The existing 2023 Trinity Term Loan Agreement with the Trinity Lenders was terminated and the existing 2023 Trinity Term Loans were repaid in full concurrently with entry into the 2025 Trinity Term Loans (as defined below).</w:t>
      </w:r>
    </w:p>
    <w:p>
      <w:pPr>
        <w:spacing w:after="0" w:line="192"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Since our inception, we have incurred significant operating losses. Our net losses were $42.4 million for the three months ended March 31, 2026. As of March 31, 2026, we had an accumulated deficit of $753.7 million. We expect to continue to incur significant expenses and operating losses for the foreseeable future. We anticipate that our expenses will increase significantly in connection with our ongoing activities, as we:</w:t>
      </w:r>
    </w:p>
    <w:p>
      <w:pPr>
        <w:spacing w:after="0" w:line="68" w:lineRule="exact"/>
        <w:rPr>
          <w:sz w:val="20"/>
          <w:szCs w:val="20"/>
          <w:color w:val="auto"/>
        </w:rPr>
      </w:pPr>
    </w:p>
    <w:p>
      <w:pPr>
        <w:ind w:left="1020" w:right="84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advance the clinical development of our product candidates and, if we determine to do so in the future, reprioritize the advancement of our preclinical and discovery programs;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our ongoing clinical trials of TSHA-102 and any other current and future product candidates that we advance;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 for any product candidates that successfully complete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develop our gene therapy product candidate pipeline;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 up our clinical and regulatory capabilities;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0" w:name="page31"/>
    <w:bookmarkEnd w:id="30"/>
    <w:p>
      <w:pPr>
        <w:ind w:left="1020" w:right="8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with contract manufacturing organizations, or CMOs, for the manufacture of current Good Manufacturing Practice, or cGMP, material for clinical trials or potential commercial sales;</w:t>
      </w:r>
    </w:p>
    <w:p>
      <w:pPr>
        <w:spacing w:after="0" w:line="53"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commercialization infrastructure and scale up internal and external manufacturing and distribution capabilities to commercialize any product candidates for which we may obtain regulatory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 our regulatory compliance efforts to incorporate requirements applicable to marketed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manufacturing quality control, regulatory, manufacturing and scientific and administrative personnel;</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product development and planned future commercialization efforts;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legal, accounting and other expenses in operating as a public company.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Collaboration and License Agreement with The University of Texas Southwestern Medical Center</w:t>
      </w:r>
    </w:p>
    <w:p>
      <w:pPr>
        <w:spacing w:after="0" w:line="121"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In November 2019, we entered into the UT Southwestern Agreement with The Board of Regents of the University of Texas System on behalf of UT Southwestern, as amended in April 2020.</w:t>
      </w:r>
    </w:p>
    <w:p>
      <w:pPr>
        <w:spacing w:after="0" w:line="162"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In connection with the UT Southwestern Agreement, we obtained an exclusive, worldwide, royalty-free license under certain patent rights of UT Southwestern and a non-exclusive, worldwide, royalty-free license under certain know-how of UT Southwestern, in each case to make, have made, use, sell, offer for sale and import licensed products for use in certain specified indications. Additionally, we obtained a right of first refusal to negotiate for an exclusive license under certain additional patent rights and know-how of UT Southwestern. We are required to use commercially reasonable efforts to develop, obtain regulatory approval for, and commercialize at least one licensed product.</w:t>
      </w:r>
    </w:p>
    <w:p>
      <w:pPr>
        <w:spacing w:after="0" w:line="183"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In connection with the UT Southwestern Agreement, we issued to UT Southwestern 2,179,000 shares of our common stock. We do not have any future milestone or royalty obligations to UT Southwestern under the UT Southwestern Agreement, other than costs related to the maintenance of patents.</w:t>
      </w:r>
    </w:p>
    <w:p>
      <w:pPr>
        <w:spacing w:after="0" w:line="162"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 UT Southwestern Agreement expires on a country-by-country and licensed product-by-licensed product basis upon the expiration of the last valid claim of a licensed patent in such country for such licensed product. After the initial research term, we may terminate the agreement, on an indication-by-indication and licensed product-by-licensed product basis, at any time upon specified written notice to UT Southwestern. Either party may terminate the agreement upon an uncured material breach of the agreement or insolvency of the other party. In December 2023 and throughout 2024 and 2025, we transferred rights to specific indications back to UT Southwestern.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Abeona (Rett Syndrome)</w:t>
      </w:r>
    </w:p>
    <w:p>
      <w:pPr>
        <w:spacing w:after="0" w:line="121"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In October 2020, we entered into a license agreement, or the Abeona Rett Agreement, with Abeona pursuant to which we obtained an exclusive, worldwide, royalty-bearing license, with the right to grant sublicenses under certain patents, know-how and materials originally developed by the University of North Carolina at Chapel Hill, the University of Edinburgh and Abeona to research, develop, manufacture, have manufactured, use, and commercialize licensed products for gene therapy and the use of related transgenes for Rett syndrome.</w:t>
      </w:r>
    </w:p>
    <w:p>
      <w:pPr>
        <w:spacing w:after="0" w:line="180" w:lineRule="exact"/>
        <w:rPr>
          <w:sz w:val="20"/>
          <w:szCs w:val="20"/>
          <w:color w:val="auto"/>
        </w:rPr>
      </w:pPr>
    </w:p>
    <w:p>
      <w:pPr>
        <w:ind w:right="340" w:firstLine="749"/>
        <w:spacing w:after="0" w:line="282" w:lineRule="auto"/>
        <w:rPr>
          <w:sz w:val="20"/>
          <w:szCs w:val="20"/>
          <w:color w:val="auto"/>
        </w:rPr>
      </w:pPr>
      <w:r>
        <w:rPr>
          <w:rFonts w:ascii="Times New Roman" w:cs="Times New Roman" w:eastAsia="Times New Roman" w:hAnsi="Times New Roman"/>
          <w:sz w:val="18"/>
          <w:szCs w:val="18"/>
          <w:color w:val="auto"/>
        </w:rPr>
        <w:t>Subject to certain obligations of Abeona, we are required to use commercially reasonable efforts to develop at least one licensed product and commercialize at least one licensed product in the United States.</w:t>
      </w:r>
    </w:p>
    <w:p>
      <w:pPr>
        <w:spacing w:after="0" w:line="162"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In connection with the Abeona Rett Agreement, we paid Abeona a one-time upfront license fee of $3.0 million during fiscal year 2020. We are obligated to pay Abeona up to $26.5 million in regulatory-related milestones and up to $30.0 million in sales-related milestones per licensed product and high single-digit royalties on net sales of licensed products. Royalties are payable on a licensed product-by-licensed product and country-by-country basis until the latest of the expiration or revocation or complete rejection of the last licensed patent covering such licensed product in the country where the licensed product is sold, the loss of market exclusivity in such country where the product is sold, or, if no licensed product exists in such country and no market exclusivity exists in such country, ten years from first commercial sale of such licensed product in such country.</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1" w:name="page32"/>
    <w:bookmarkEnd w:id="31"/>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In March 2022, our clinical trial application filing for TSHA-102 for the treatment of Rett Syndrome was approved by Health Canada and therefore triggered a regulatory milestone payment in connection with the Abeona Rett Agreement. We recorded a $1.0 million charge within research and development expenses in the consolidated statements of operations for the year ended December 31, 2022. In May 2023, we dosed the first patient with TSHA-102 in the Phase 1/2 REVEAL trial evaluating the safety and preliminary efficacy of TSHA-102 in adult patients with Rett syndrome and therefore triggered a milestone payment of $3.5 million in connection with the Abeona Rett Agreement. In December 2025, we dosed the first patient with TSHA-102 in the Phase 1/2 Part B REVEAL pivotal trial and therefore triggered a milestone payment of $3 million in connection with this agreement. This pivotal milestone fee was paid in January 2026. We recorded $3.0 million as an investing cash outflow in our condensed consolidated statement of cash flows for the three months ended March 31, 2026. No other milestone payments were made or triggered in connection with this agreement during the three months ended March 31, 2026.</w:t>
      </w:r>
    </w:p>
    <w:p>
      <w:pPr>
        <w:spacing w:after="0" w:line="188" w:lineRule="exact"/>
        <w:rPr>
          <w:sz w:val="20"/>
          <w:szCs w:val="20"/>
          <w:color w:val="auto"/>
        </w:rPr>
      </w:pPr>
    </w:p>
    <w:p>
      <w:pPr>
        <w:ind w:right="440" w:firstLine="749"/>
        <w:spacing w:after="0" w:line="266" w:lineRule="auto"/>
        <w:rPr>
          <w:sz w:val="20"/>
          <w:szCs w:val="20"/>
          <w:color w:val="auto"/>
        </w:rPr>
      </w:pPr>
      <w:r>
        <w:rPr>
          <w:rFonts w:ascii="Times New Roman" w:cs="Times New Roman" w:eastAsia="Times New Roman" w:hAnsi="Times New Roman"/>
          <w:sz w:val="18"/>
          <w:szCs w:val="18"/>
          <w:color w:val="auto"/>
        </w:rPr>
        <w:t>The Abeona Rett Agreement expires on a country-by-country and licensed product-by-licensed product basis upon the expiration of the last royalty term of a licensed product in such country. Either party may terminate the agreement upon an uncured material breach of the agreement or insolvency of the other party. We may terminate the agreement for convenience upon specified prior written notice to Abeona.</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Revenue for the three months ended March 31, 2025 was derived from the Astellas Transactions. We recognized revenue as research and development activities related to our Rett program were performed. Revenue related to the material rights associated with the Rett Option and the GAN Option were recognized at a point in time when the option was exercised or the option period expired. In September 2023, Astellas elected not to exercise the GAN Option, therefore we recognized revenue related to the GAN Option during the year ended December 31, 2023. In October 2025, Astellas elected not to exercise the Rett Option, therefore we recognized revenue related to the Rett Option during the year ended December 31, 2025. All revenue related to the Astellas Transactions was recognized as of December 31, 2025.</w:t>
      </w:r>
    </w:p>
    <w:p>
      <w:pPr>
        <w:spacing w:after="0" w:line="187"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To date, we have not recognized any revenue from product sales, and we do not expect to generate any revenue from the sale of products, if approved, in the foreseeable future. If our development efforts for our product candidates are successful and result in regulatory approval, or license agreements with third parties, we may generate revenue in the future from product sales. However, there can be no assurance as to when we will generate such revenue, if at all.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primarily consist of preclinical development of our product candidates and discovery efforts, including conducting preclinical studies, manufacturing development efforts, preparing for clinical trials and activities related to regulatory filings for our product candidates. Research and development expenses are recognized as incurred and payments made prior to the receipt of goods or services to be used in research and development are capitalized until the goods or services are received. Costs incurred in obtaining technology licenses through asset acquisitions are charged to research and development expense if the licensed technology has not reached technological feasibility and has no alternative future use. Research and development expenses include or could include:</w:t>
      </w:r>
    </w:p>
    <w:p>
      <w:pPr>
        <w:spacing w:after="0" w:line="79" w:lineRule="exact"/>
        <w:rPr>
          <w:sz w:val="20"/>
          <w:szCs w:val="20"/>
          <w:color w:val="auto"/>
        </w:rPr>
      </w:pPr>
    </w:p>
    <w:p>
      <w:pPr>
        <w:ind w:left="1020" w:right="6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bonuses, benefits, stock-based compensation, severance costs and other related costs for those employees involved in research and development efforts;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maintenance fees and milestone fees incurred in connection with various license agreements;</w:t>
      </w:r>
    </w:p>
    <w:p>
      <w:pPr>
        <w:spacing w:after="0" w:line="117"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research and development expenses incurred under agreements with consultants, contract research organizations, or CROs, investigative sites and consultants to conduct our preclinical studies;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manufacturing material for our preclinical studies and clinical trials, including fees paid to CMOs;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supplies and research materials;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 and</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allocated expenses, which include direct and allocated expenses for rent, maintenance of facilities, insurance and equipment.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2" w:name="page33"/>
    <w:bookmarkEnd w:id="32"/>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have increased, and expect to continue to increase for the foreseeable future, our research and development spend with respect to the Rett clinical trials as we continue the development of TSHA-102 and manufacturing processes and begin commercialization activities and conduct discovery and research activities for our preclinical programs. We cannot determine with certainty the timing of initiation, the duration or the completion costs of current or future preclinical studies and clinical trials of our product candidates due to the inherently unpredictable nature of preclinical and clinical development. Clinical and preclinical development timelines, the probability of success and development costs can differ materially from expectations. We anticipate that we will make determinations as to which product candidates to pursue and how much funding to direct to each product candidate on an ongoing basis in response to the results of ongoing and future preclinical studies and clinical trials, regulatory developments and our ongoing assessments as to each product candidate’s commercial potential. We will need to raise substantial additional capital in the future. Our clinical development costs are expected to increase significantly as we commence clinical trials. Our future expenses may vary significantly each period based on factors such as:</w:t>
      </w:r>
    </w:p>
    <w:p>
      <w:pPr>
        <w:spacing w:after="0" w:line="84" w:lineRule="exact"/>
        <w:rPr>
          <w:sz w:val="20"/>
          <w:szCs w:val="20"/>
          <w:color w:val="auto"/>
        </w:rPr>
      </w:pPr>
    </w:p>
    <w:p>
      <w:pPr>
        <w:ind w:left="1540" w:hanging="514"/>
        <w:spacing w:after="0"/>
        <w:tabs>
          <w:tab w:leader="none" w:pos="1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to conduct preclinical studies required to advance our product candidates into clinical development;</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patient trial costs, including based on the number of doses that patients received;</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who enroll in each trial;</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trials required for approval;</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sites included in the trials;</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countries in which the trials are conducted;</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eligible patients;</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drop-out or discontinuation rates of patients;</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additional safety monitoring requested by regulatory agencies;</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participation in the trials and follow-up;</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phase of development of the product candidate;</w:t>
      </w:r>
    </w:p>
    <w:p>
      <w:pPr>
        <w:spacing w:after="0" w:line="117" w:lineRule="exact"/>
        <w:rPr>
          <w:rFonts w:ascii="Times New Roman" w:cs="Times New Roman" w:eastAsia="Times New Roman" w:hAnsi="Times New Roman"/>
          <w:sz w:val="18"/>
          <w:szCs w:val="18"/>
          <w:color w:val="auto"/>
        </w:rPr>
      </w:pPr>
    </w:p>
    <w:p>
      <w:pPr>
        <w:ind w:left="1540" w:right="180" w:hanging="514"/>
        <w:spacing w:after="0" w:line="282" w:lineRule="auto"/>
        <w:tabs>
          <w:tab w:leader="none" w:pos="1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contractors failing to comply with regulatory requirements or meet their contractual obligations to us in a timely manner, or at all;</w:t>
      </w:r>
    </w:p>
    <w:p>
      <w:pPr>
        <w:spacing w:after="0" w:line="53"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CMOs to manufacture our product candidates;</w:t>
      </w:r>
    </w:p>
    <w:p>
      <w:pPr>
        <w:spacing w:after="0" w:line="117" w:lineRule="exact"/>
        <w:rPr>
          <w:rFonts w:ascii="Times New Roman" w:cs="Times New Roman" w:eastAsia="Times New Roman" w:hAnsi="Times New Roman"/>
          <w:sz w:val="18"/>
          <w:szCs w:val="18"/>
          <w:color w:val="auto"/>
        </w:rPr>
      </w:pPr>
    </w:p>
    <w:p>
      <w:pPr>
        <w:ind w:left="1540" w:right="180" w:hanging="514"/>
        <w:spacing w:after="0" w:line="266" w:lineRule="auto"/>
        <w:tabs>
          <w:tab w:leader="none" w:pos="1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requiring that we or our investigators suspend or terminate clinical development for various reasons, including noncompliance with regulatory requirements or a finding that the participants are being exposed to unacceptable health risks; and</w:t>
      </w:r>
    </w:p>
    <w:p>
      <w:pPr>
        <w:spacing w:after="0" w:line="6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our product candidates.</w:t>
      </w:r>
    </w:p>
    <w:p>
      <w:pPr>
        <w:spacing w:after="0" w:line="2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principally of salaries and related costs for personnel in executive and administrative functions, including stock-based compensation, travel expenses and recruiting expenses. Other general and administrative expenses include professional fees for legal, consulting, accounting and audit and tax-related services and insurance costs.</w:t>
      </w:r>
    </w:p>
    <w:p>
      <w:pPr>
        <w:spacing w:after="0" w:line="176" w:lineRule="exact"/>
        <w:rPr>
          <w:sz w:val="20"/>
          <w:szCs w:val="20"/>
          <w:color w:val="auto"/>
        </w:rPr>
      </w:pPr>
    </w:p>
    <w:p>
      <w:pPr>
        <w:ind w:right="160" w:firstLine="749"/>
        <w:spacing w:after="0" w:line="258"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as a result of payments for accounting, audit, legal, consulting services, as well as costs associated with maintaining compliance with Nasdaq listing rules and SEC requirements, director and officer liability insurance, investor and public relations activities and other expenses associated with operating as a public company may increase in the near future. In addition, we expect to incur legal fees in connection with the shareholder derivative lawsuit against certain of our current and former directors in the Court of Chancery of the State of Delaware. See “Part I, Item 1, Note 13-Commitments and Contingencies” in this Quarterly Report on Form 10-Q.</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21" w:lineRule="exact"/>
        <w:rPr>
          <w:sz w:val="20"/>
          <w:szCs w:val="20"/>
          <w:color w:val="auto"/>
        </w:rPr>
      </w:pPr>
    </w:p>
    <w:p>
      <w:pPr>
        <w:ind w:right="820" w:firstLine="749"/>
        <w:spacing w:after="0" w:line="282" w:lineRule="auto"/>
        <w:rPr>
          <w:sz w:val="20"/>
          <w:szCs w:val="20"/>
          <w:color w:val="auto"/>
        </w:rPr>
      </w:pPr>
      <w:r>
        <w:rPr>
          <w:rFonts w:ascii="Times New Roman" w:cs="Times New Roman" w:eastAsia="Times New Roman" w:hAnsi="Times New Roman"/>
          <w:sz w:val="18"/>
          <w:szCs w:val="18"/>
          <w:color w:val="auto"/>
        </w:rPr>
        <w:t>Other income (expense) consists primarily of dividends earned from our money market fund and interest income on our cash and cash equivalents and non-cash changes in the fair value of our warrant liability and the 2025 Trinity Term Loan.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for the Three Months ended March 31, 2026 and 2025</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March 31, 2026 and 2025 (in thousands):</w:t>
      </w:r>
    </w:p>
    <w:p>
      <w:pPr>
        <w:spacing w:after="0" w:line="219"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For the Three Months</w:t>
      </w: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Ended March 31,</w:t>
      </w:r>
    </w:p>
    <w:tbl>
      <w:tblPr>
        <w:tblLayout w:type="fixed"/>
        <w:tblInd w:w="0" w:type="dxa"/>
        <w:tblCellMar>
          <w:top w:w="0" w:type="dxa"/>
          <w:left w:w="0" w:type="dxa"/>
          <w:bottom w:w="0" w:type="dxa"/>
          <w:right w:w="0" w:type="dxa"/>
        </w:tblCellMar>
      </w:tblPr>
      <w:tr>
        <w:trPr>
          <w:trHeight w:val="142"/>
        </w:trPr>
        <w:tc>
          <w:tcPr>
            <w:tcW w:w="776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r>
      <w:tr>
        <w:trPr>
          <w:trHeight w:val="209"/>
        </w:trPr>
        <w:tc>
          <w:tcPr>
            <w:tcW w:w="77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940" w:type="dxa"/>
            <w:vAlign w:val="bottom"/>
            <w:shd w:val="clear" w:color="auto" w:fill="CFF0FC"/>
          </w:tcPr>
          <w:p>
            <w:pPr>
              <w:jc w:val="right"/>
              <w:ind w:right="78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2,302</w:t>
            </w:r>
          </w:p>
        </w:tc>
        <w:tc>
          <w:tcPr>
            <w:tcW w:w="120" w:type="dxa"/>
            <w:vAlign w:val="bottom"/>
            <w:shd w:val="clear" w:color="auto" w:fill="CFF0FC"/>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6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33,809</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15,565</w:t>
            </w:r>
          </w:p>
        </w:tc>
        <w:tc>
          <w:tcPr>
            <w:tcW w:w="120" w:type="dxa"/>
            <w:vAlign w:val="bottom"/>
            <w:shd w:val="clear" w:color="auto" w:fill="CFF0FC"/>
          </w:tcPr>
          <w:p>
            <w:pPr>
              <w:spacing w:after="0"/>
              <w:rPr>
                <w:sz w:val="18"/>
                <w:szCs w:val="18"/>
                <w:color w:val="auto"/>
              </w:rPr>
            </w:pPr>
          </w:p>
        </w:tc>
      </w:tr>
      <w:tr>
        <w:trPr>
          <w:trHeight w:val="216"/>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8,158</w:t>
            </w:r>
          </w:p>
        </w:tc>
        <w:tc>
          <w:tcPr>
            <w:tcW w:w="120" w:type="dxa"/>
            <w:vAlign w:val="bottom"/>
          </w:tcPr>
          <w:p>
            <w:pPr>
              <w:spacing w:after="0"/>
              <w:rPr>
                <w:sz w:val="18"/>
                <w:szCs w:val="18"/>
                <w:color w:val="auto"/>
              </w:rPr>
            </w:pPr>
          </w:p>
        </w:tc>
      </w:tr>
      <w:tr>
        <w:trPr>
          <w:trHeight w:val="209"/>
        </w:trPr>
        <w:tc>
          <w:tcPr>
            <w:tcW w:w="7760" w:type="dxa"/>
            <w:vAlign w:val="bottom"/>
            <w:tcBorders>
              <w:bottom w:val="single" w:sz="8" w:color="CFF0FC"/>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4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43,486</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23,723</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7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9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(43,486)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(21,421)</w:t>
            </w:r>
          </w:p>
        </w:tc>
      </w:tr>
      <w:tr>
        <w:trPr>
          <w:trHeight w:val="210"/>
        </w:trPr>
        <w:tc>
          <w:tcPr>
            <w:tcW w:w="77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94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94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8"/>
                <w:szCs w:val="18"/>
                <w:color w:val="auto"/>
              </w:rPr>
            </w:pPr>
          </w:p>
        </w:tc>
      </w:tr>
      <w:tr>
        <w:trPr>
          <w:trHeight w:val="216"/>
        </w:trPr>
        <w:tc>
          <w:tcPr>
            <w:tcW w:w="776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Change in fair value of term loan</w:t>
            </w:r>
          </w:p>
        </w:tc>
        <w:tc>
          <w:tcPr>
            <w:tcW w:w="9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(1,470)</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(1,530)</w:t>
            </w:r>
          </w:p>
        </w:tc>
      </w:tr>
      <w:tr>
        <w:trPr>
          <w:trHeight w:val="216"/>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120" w:type="dxa"/>
            <w:vAlign w:val="bottom"/>
          </w:tcPr>
          <w:p>
            <w:pPr>
              <w:spacing w:after="0"/>
              <w:rPr>
                <w:sz w:val="18"/>
                <w:szCs w:val="18"/>
                <w:color w:val="auto"/>
              </w:rPr>
            </w:pPr>
          </w:p>
        </w:tc>
      </w:tr>
      <w:tr>
        <w:trPr>
          <w:trHeight w:val="216"/>
        </w:trPr>
        <w:tc>
          <w:tcPr>
            <w:tcW w:w="776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9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 (expense)</w:t>
            </w:r>
          </w:p>
        </w:tc>
        <w:tc>
          <w:tcPr>
            <w:tcW w:w="9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8"/>
                <w:szCs w:val="18"/>
                <w:color w:val="auto"/>
              </w:rPr>
            </w:pPr>
          </w:p>
        </w:tc>
      </w:tr>
      <w:tr>
        <w:trPr>
          <w:trHeight w:val="20"/>
        </w:trPr>
        <w:tc>
          <w:tcPr>
            <w:tcW w:w="77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776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other income, net</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(108)</w:t>
            </w:r>
          </w:p>
        </w:tc>
      </w:tr>
      <w:tr>
        <w:trPr>
          <w:trHeight w:val="20"/>
        </w:trPr>
        <w:tc>
          <w:tcPr>
            <w:tcW w:w="7760" w:type="dxa"/>
            <w:vAlign w:val="bottom"/>
            <w:tcBorders>
              <w:right w:val="single" w:sz="8" w:color="CFF0FC"/>
            </w:tcBorders>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7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940" w:type="dxa"/>
            <w:vAlign w:val="bottom"/>
          </w:tcPr>
          <w:p>
            <w:pPr>
              <w:jc w:val="right"/>
              <w:ind w:right="78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(42,410)</w:t>
            </w: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(21,529)</w:t>
            </w:r>
          </w:p>
        </w:tc>
      </w:tr>
      <w:tr>
        <w:trPr>
          <w:trHeight w:val="20"/>
        </w:trPr>
        <w:tc>
          <w:tcPr>
            <w:tcW w:w="77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-1293495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-1293495</wp:posOffset>
            </wp:positionV>
            <wp:extent cx="7747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560" w:firstLine="749"/>
        <w:spacing w:after="0" w:line="266" w:lineRule="auto"/>
        <w:rPr>
          <w:sz w:val="20"/>
          <w:szCs w:val="20"/>
          <w:color w:val="auto"/>
        </w:rPr>
      </w:pPr>
      <w:r>
        <w:rPr>
          <w:rFonts w:ascii="Times New Roman" w:cs="Times New Roman" w:eastAsia="Times New Roman" w:hAnsi="Times New Roman"/>
          <w:sz w:val="18"/>
          <w:szCs w:val="18"/>
          <w:color w:val="auto"/>
        </w:rPr>
        <w:t>Revenue was zero for the three months ended March 31, 2026, compared to $2.3 million for the three months ended March 31, 2025. The revenue recorded for the three months ended March 31, 2025, was derived entirely from the Astellas Transactions as a result of Rett research and development activities performed during the period.</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jc w:val="both"/>
        <w:ind w:right="360" w:firstLine="749"/>
        <w:spacing w:after="0" w:line="272" w:lineRule="auto"/>
        <w:rPr>
          <w:sz w:val="20"/>
          <w:szCs w:val="20"/>
          <w:color w:val="auto"/>
        </w:rPr>
      </w:pPr>
      <w:r>
        <w:rPr>
          <w:rFonts w:ascii="Times New Roman" w:cs="Times New Roman" w:eastAsia="Times New Roman" w:hAnsi="Times New Roman"/>
          <w:sz w:val="17"/>
          <w:szCs w:val="17"/>
          <w:color w:val="auto"/>
        </w:rPr>
        <w:t>Research and development expenses were $33.8 million for the three months ended March 31, 2026, compared to $15.6 million for the three months ended March 31, 2025. The $18.2 million increase was primarily driven by BLA-enabling PPQ manufacturing initiatives performed during the three months ended March 31, 2026 and higher clinical expenses from the REVEAL Part A Phase 1/2, REVEAL Part B pivotal, and ASPIRE trials.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expenses, including non-cash stock-based compensation, also increased as a result of additional research and development headcount.</w:t>
      </w:r>
    </w:p>
    <w:p>
      <w:pPr>
        <w:spacing w:after="0" w:line="20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520" w:firstLine="74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were $9.7 million for the three months ended March 31, 2026, compared to $8.2 million for the three months ended March 31, 2025. The increase of $1.5 million was primarily due to higher compensation expenses, including non-cash stock-based compensation expense, and increases in consulting and professional fees, including commercial launch-readiness initiatives.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4" w:name="page35"/>
    <w:bookmarkEnd w:id="34"/>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Change in fair value of warrant liability</w:t>
      </w:r>
    </w:p>
    <w:p>
      <w:pPr>
        <w:spacing w:after="0" w:line="119" w:lineRule="exact"/>
        <w:rPr>
          <w:sz w:val="20"/>
          <w:szCs w:val="20"/>
          <w:color w:val="auto"/>
        </w:rPr>
      </w:pPr>
    </w:p>
    <w:p>
      <w:pPr>
        <w:jc w:val="both"/>
        <w:ind w:right="140" w:firstLine="749"/>
        <w:spacing w:after="0" w:line="266" w:lineRule="auto"/>
        <w:rPr>
          <w:sz w:val="20"/>
          <w:szCs w:val="20"/>
          <w:color w:val="auto"/>
        </w:rPr>
      </w:pPr>
      <w:r>
        <w:rPr>
          <w:rFonts w:ascii="Times New Roman" w:cs="Times New Roman" w:eastAsia="Times New Roman" w:hAnsi="Times New Roman"/>
          <w:sz w:val="18"/>
          <w:szCs w:val="18"/>
          <w:color w:val="auto"/>
        </w:rPr>
        <w:t>Change in fair value of warrant liability was a non-cash gain totaling $0.1 million for the three months ended March 31, 2025 related to the SSI Warrants. In December 2025, all vested and outstanding liability classified warrants were exercised, therefore the change in fair value of warrant liability was zero for the three months ended March 31, 2026.</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Change in fair value of term loan</w:t>
      </w:r>
    </w:p>
    <w:p>
      <w:pPr>
        <w:spacing w:after="0" w:line="119"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We elected the fair value option for the 2025 Trinity Term Loan and changes to fair value, other than changes that were directly attributed to instrument-specific credit risk, were recorded as a component of other income (expense). The change in fair value was $1.5 million of expense for each of the three months ended March 31, 2026 and 2025.</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ind w:right="320" w:firstLine="749"/>
        <w:spacing w:after="0" w:line="282" w:lineRule="auto"/>
        <w:rPr>
          <w:sz w:val="20"/>
          <w:szCs w:val="20"/>
          <w:color w:val="auto"/>
        </w:rPr>
      </w:pPr>
      <w:r>
        <w:rPr>
          <w:rFonts w:ascii="Times New Roman" w:cs="Times New Roman" w:eastAsia="Times New Roman" w:hAnsi="Times New Roman"/>
          <w:sz w:val="18"/>
          <w:szCs w:val="18"/>
          <w:color w:val="auto"/>
        </w:rPr>
        <w:t>Interest income was $2.6 million for the three months ended March 31, 2026 compared to $1.3 million for the three months ended March 31, 2025. The increase in income was attributable to higher dividends earned from our money market fund.</w:t>
      </w:r>
    </w:p>
    <w:p>
      <w:pPr>
        <w:spacing w:after="0" w:line="16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Interest expense was less than $0.1 million for each of the three months ended March 31, 2026 and 2025. No interest expense was recorded on the term loans for the three months ended March 31, 2026 and 2025 due to the election of the fair value option.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Since our inception, we have not generated any revenue from product sales and have incurred significant operating losses. As of March 31, 2026, we had cash and cash equivalents of $276.6 million. We have funded our operations primarily through equity financings, raising an aggregate of $961.0 million in gross proceeds from equity financings, including from pre-IPO private placements of convertible preferred stock, our IPO, and subsequent sales of common stock in public and private securities offerings, proceeds from a warrant exercise, our term loans and the Astellas Transactions.</w:t>
      </w:r>
    </w:p>
    <w:p>
      <w:pPr>
        <w:spacing w:after="0" w:line="180" w:lineRule="exact"/>
        <w:rPr>
          <w:sz w:val="20"/>
          <w:szCs w:val="20"/>
          <w:color w:val="auto"/>
        </w:rPr>
      </w:pPr>
    </w:p>
    <w:p>
      <w:pPr>
        <w:ind w:right="20" w:firstLine="749"/>
        <w:spacing w:after="0" w:line="252" w:lineRule="auto"/>
        <w:rPr>
          <w:sz w:val="20"/>
          <w:szCs w:val="20"/>
          <w:color w:val="auto"/>
        </w:rPr>
      </w:pPr>
      <w:r>
        <w:rPr>
          <w:rFonts w:ascii="Times New Roman" w:cs="Times New Roman" w:eastAsia="Times New Roman" w:hAnsi="Times New Roman"/>
          <w:sz w:val="18"/>
          <w:szCs w:val="18"/>
          <w:color w:val="auto"/>
        </w:rPr>
        <w:t>On August 7, 2025, or the Trinity Refinance Date, we entered into a Loan and Security Agreement, or the 2025 Trinity Term Loan Agreement, by and among us, the lenders party thereto from time to time, or the 2025 Trinity Lenders, and Trinity Capital Inc., as administrative agent and collateral agent for the 2025 Trinity Lenders, or Trinity. The 2025 Trinity Term Loan Agreement provides for (i) on the Trinity Refinance Date, $50.0 million aggregate principal amount of term loans, or Tranche A (ii) from the Trinity Refinance Date until March 31, 2028 an additional $25.0 million term loan facility contingent on delivering evidence satisfactory to Trinity that we have submitted a BLA acceptance to the FDA for TSHA-102 in Rett Syndrome, or Tranche B, (iii) from the Trinity Refinance Date until March 31, 2029, an additional $25.0 million term loan facility contingent on delivering evidence satisfactory to Trinity that we have received BLA approval from the FDA for TSHA-102 in Rett Syndrome, or collectively, the 2025 Trinity Term Loans, and, together with the 2023 Trinity Term Loans, the Trinity Term Loans. We drew $50.0 million in term loans on the Trinity Refinance Date. The existing 2023 Trinity Term Loan Agreement was terminated and the existing 2023 Trinity Term Loans were repaid concurrently with entry into the 2025 Trinity Term Loan Agreement and the draw of Tranche A. The interest rate applicable to the 2025 Trinity Term Loans is the greater of (a) the WSJ Prime Rate plus 4.00% or (b) 11.50% per annum. The 2025 Trinity Term Loans are interest only from the Trinity Refinance Date through 48 months from the Trinity Refinance Date, which may be extended to 60 months from the Trinity Refinance Date upon the satisfaction of certain milestones set forth in the 2025 Trinity Term Loan Agreement, after which we are required to pay equal monthly installments of principal through August 1, 2030, or the New Maturity Date.</w:t>
      </w:r>
    </w:p>
    <w:p>
      <w:pPr>
        <w:spacing w:after="0" w:line="197"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The 2025 Trinity Term Loans may be prepaid in full (i) from the Trinity Refinance Date through August 7, 2026, with payment of a 3.00% prepayment premium, (ii) from August 8, 2026 through August 7, 2027, with payment of a 2.00% prepayment premium, and (iii) from August 8, 2027 through, but excluding, the New Maturity Date, with payment of a 1.00% prepayment premium. Upon repayment in full of the 2025 Trinity Term Loans, we will pay to Trinity an end of term payment equal to 5.00% of the original principal amount of the 2025 Trinity Term Loans.</w:t>
      </w:r>
    </w:p>
    <w:p>
      <w:pPr>
        <w:spacing w:after="0" w:line="180"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In connection with the 2025 Trinity Term Loan Agreement, we entered into a Success Fee Agreement with Trinity which specifies the terms regarding a fee in the amount of $0.5 million plus 5% of the principal amount of the funded 2025 Trinity Term Loans under Tranche B, or the 2025 Success Fee. The 2025 Success Fee is payable upon the achievement of certain corporate development value-inflection milestones. The 2025 Success Fee survives the termination of the 2025 Trinity Term Loans and expires on the earlier of ten years from the Trinity Refinance Date, or payment in full in cash of the 2025 Success Fee.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35" w:name="page36"/>
    <w:bookmarkEnd w:id="35"/>
    <w:p>
      <w:pPr>
        <w:ind w:right="100" w:firstLine="749"/>
        <w:spacing w:after="0" w:line="255" w:lineRule="auto"/>
        <w:rPr>
          <w:sz w:val="20"/>
          <w:szCs w:val="20"/>
          <w:color w:val="auto"/>
        </w:rPr>
      </w:pPr>
      <w:r>
        <w:rPr>
          <w:rFonts w:ascii="Times New Roman" w:cs="Times New Roman" w:eastAsia="Times New Roman" w:hAnsi="Times New Roman"/>
          <w:sz w:val="18"/>
          <w:szCs w:val="18"/>
          <w:color w:val="auto"/>
        </w:rPr>
        <w:t>The obligations under the 2025 Trinity Term Loan Agreement are secured by a perfected security interest in all of our assets except for certain customarily excluded property pursuant to the terms of the 2025 Trinity Term Loan Agreement. There are no financial covenants and no warrants associated with the 2025 Trinity Term Loan Agreement. The 2025 Trinity Term Loan Agreement contains various covenants that limit our ability to engage in specified types of transactions without the consent of Trinity and the 2025 Trinity Lenders which include, among others, incurring or assuming certain debt; merging, consolidating or acquiring all or substantially all of the capital stock or property of another entity; changing the nature of our business; changing our organizational structure or type; licensing, transferring or disposing of certain assets; granting certain types of liens on our assets; making certain investments; paying cash dividends; and entering into certain transactions with our affiliates, in each case subject to customary exceptions.</w:t>
      </w:r>
    </w:p>
    <w:p>
      <w:pPr>
        <w:spacing w:after="0" w:line="18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In April 2023, we entered into a securities purchase agreement, or the SSI Securities Purchase Agreement, with two affiliates of SSI Strategy Holdings LLC, or SSI, named therein, or the SSI Investors, pursuant to which we issued and sold to the SSI Investors in a private placement, or the SSI Private Placement, 705,218 shares of our common stock, or the SSI Shares, and warrants, or the SSI Warrants, to purchase an aggregate of 525,000 shares of our common stock, or the Warrant Shares. SSI provides certain consulting services to us. Each SSI Warrant has an exercise price of $0.7090 per Warrant Share. The SSI Warrants issued in the SSI Private Placement provide that the holder of the SSI Warrants will not have the right to exercise any portion of its SSI Warrants until the achievement of certain clinical and regulatory milestones related to our clinical programs. Gross proceeds of the SSI Private Placement were $0.5 million. During the year ended December 31, 2025, SSI exercised all 316,667 vested and outstanding Warrant Shares. We received proceeds of $0.2 million upon exercise.</w:t>
      </w:r>
    </w:p>
    <w:p>
      <w:pPr>
        <w:spacing w:after="0" w:line="192"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On May 28, 2025, we entered into an underwriting agreement, or the May 2025 Underwriting Agreement, with Jefferies LLC, BofA Securities, Inc., Piper Sandler &amp; Co. and Barclays Capital Inc., as representatives of the several underwriters set forth therein, or, collectively, the Underwriters, to issue and sell 46,868,687 shares of our common stock and pre-funded warrants to purchase 25,858,586 shares of our common stock, or the May 2025 Pre-Funded Warrants, pursuant to an effective shelf registration statement on Form S-3 and a related prospectus and prospectus supplement, or the May 2025 Offering. The offering price to the public was $2.75 per share of common stock and $2.749 per May 2025 Pre-Funded Warrant, which is the price to the public of each share of common stock sold in the May 2025 Offering, minus the $0.001 exercise price per May 2025 Pre-Funded Warrant. The Underwriters purchased the shares and the May 2025 Pre-Funded Warrants from us pursuant to the May 2025 Underwriting Agreement at a price of $2.585 per share and $2.584 per pre-funded warrant, respectively. The initial closing of the May 2025 Offering occurred on May 30, 2025. In addition, we granted the Underwriters an option to purchase, for a period of 30 days, up to an additional 10,909,090 shares of our common stock, which the Underwriters exercised in full on June 6, 2025. The total net proceeds received from the May 2025 Offering were $215.6 million after deducting underwriting discounts, commissions and other offering expenses payable by us.</w:t>
      </w:r>
    </w:p>
    <w:p>
      <w:pPr>
        <w:spacing w:after="0" w:line="192"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In October 2021, we entered into a Sales Agreement, or the Sales Agreement, with SVB Securities LLC and Wells Fargo Securities, LLC, or the Sales Agents, pursuant to which we may issue and sell, from time to time at our discretion, shares of our common stock having an aggregate offering price of up to $150.0 million. In March 2022, we amended the Sales Agreement to, among other things, include Goldman Sachs &amp; Co. LLC as an additional Sales Agent. In April 2022, we sold 2,000,000 shares of common stock pursuant to the Sales Agreement and received net proceeds of $11.6 million. On November 4, 2025, we and Leerink Partners LLC entered into an Amendment to the Sales Agreement pursuant to which the Sales Agreement was terminated solely with respect to Leerink Partners LLC. In addition, on November 4, 2025, we and Goldman Sachs &amp; Co. LLC and Wells Fargo Securities, LLC, as sales agents, or the Remaining Sales Agents, entered into an amendment to the Sales Agreement and, together with the Sales Agreement, or, the Amended Sales Agreement, to provide for an increase in the aggregate offering amount under the Sales Agreement, such that as of November 4, 2025, we may offer and sell shares of common stock having an aggregate offering price of up to $212.0 million under the Amended Sales Agreement. The material terms and conditions of the Sales Agreement otherwise remain unchanged. In November and December 2025, we sold 10,230,186 shares of common stock under the Amended Sales Agreement and received $48.4 million in net proceeds. Also on November 4, 2025, we filed a new shelf registration statement on Form S-3ASR in relation to the registration of common stock, preferred stock, debt securities, warrants and units or any combination thereof, which became effective automatically upon filing.</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To date, we have not generated any revenues from the commercial sale of approved drug products, and we do not expect to generate substantial revenue for at least the next few years. If we fail to complete the development of our product candidates in a timely manner or fail to obtain their regulatory approval, our ability to generate future revenue will be compromised. We do not know when, or if, we will generate any revenue from our product candidates, and we do not expect to generate significant revenue unless and until we obtain regulatory approval of, and commercialize, our product candidates. We have increased and expect to continue to increase our research and development and general and administrative expenses, particularly with respect to the Rett clinical trials as we continue the development of our product candidates and manufacturing processes and conduct discovery and research activities for our preclinical programs. If we obtain approval for any of our product candidates, we expect to incur significant commercialization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6" w:name="page37"/>
    <w:bookmarkEnd w:id="36"/>
    <w:p>
      <w:pPr>
        <w:ind w:right="120"/>
        <w:spacing w:after="0" w:line="266" w:lineRule="auto"/>
        <w:rPr>
          <w:sz w:val="20"/>
          <w:szCs w:val="20"/>
          <w:color w:val="auto"/>
        </w:rPr>
      </w:pPr>
      <w:r>
        <w:rPr>
          <w:rFonts w:ascii="Times New Roman" w:cs="Times New Roman" w:eastAsia="Times New Roman" w:hAnsi="Times New Roman"/>
          <w:sz w:val="18"/>
          <w:szCs w:val="18"/>
          <w:color w:val="auto"/>
        </w:rPr>
        <w:t>expenses related to sales, marketing, manufacturing and distribution. We anticipate that we will need substantial additional funding in connection with our continuing operations. If we are unable to raise capital when needed or on attractive terms, we could be forced to delay, reduce or eliminate our research and development programs or future commercialization efforts.</w:t>
      </w:r>
    </w:p>
    <w:p>
      <w:pPr>
        <w:spacing w:after="0" w:line="176" w:lineRule="exact"/>
        <w:rPr>
          <w:sz w:val="20"/>
          <w:szCs w:val="20"/>
          <w:color w:val="auto"/>
        </w:rPr>
      </w:pPr>
    </w:p>
    <w:p>
      <w:pPr>
        <w:ind w:right="140" w:firstLine="749"/>
        <w:spacing w:after="0" w:line="281" w:lineRule="auto"/>
        <w:rPr>
          <w:sz w:val="20"/>
          <w:szCs w:val="20"/>
          <w:color w:val="auto"/>
        </w:rPr>
      </w:pPr>
      <w:r>
        <w:rPr>
          <w:rFonts w:ascii="Times New Roman" w:cs="Times New Roman" w:eastAsia="Times New Roman" w:hAnsi="Times New Roman"/>
          <w:sz w:val="17"/>
          <w:szCs w:val="17"/>
          <w:color w:val="auto"/>
        </w:rPr>
        <w:t>As of March 31, 2026, our material cash requirements consisted of $27.6 million in total lease payments under our noncancelable leases for equipment, laboratory space and office space. These leases are described in further detail in Note 5 to our unaudited condensed consolidated financial statements located in “Part I – Financial Information, Item 1. Financial Statements” in this Quarterly Report on Form 10-Q. Our most significant purchase commitments consist of approximately $34.1 million in cancellable purchase obligations to manufacturing vendors, CROs and other clinical trial vendors.</w:t>
      </w:r>
    </w:p>
    <w:p>
      <w:pPr>
        <w:spacing w:after="0" w:line="164"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We believe that our existing cash and cash equivalents will enable us to fund our operating expenses and capital requirements into 2028. We will require additional capital to fund the research and development of our product candidates, to fund our manufacturing activities, to fund precommercial activities of our programs and for working capital and general corporate purposes. The assessment of our ability to meet our future obligations is inherently judgmental, subjective and susceptible to change.</w:t>
      </w:r>
    </w:p>
    <w:p>
      <w:pPr>
        <w:spacing w:after="0" w:line="180"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research, development and commercialization of biological products, we are unable to estimate the exact amount of our operating capital requirements. Our future funding requirements will depend on many factors, including, but not limited to:</w:t>
      </w:r>
    </w:p>
    <w:p>
      <w:pPr>
        <w:spacing w:after="0" w:line="176" w:lineRule="exact"/>
        <w:rPr>
          <w:sz w:val="20"/>
          <w:szCs w:val="20"/>
          <w:color w:val="auto"/>
        </w:rPr>
      </w:pPr>
    </w:p>
    <w:p>
      <w:pPr>
        <w:ind w:left="1020" w:right="46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costs and results of discovery, preclinical development, laboratory testing and clinical trials for TSHA-102 and any current and future product candidates that we advance;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sufficient additional capital on a timely basis and on favorable terms;</w:t>
      </w:r>
    </w:p>
    <w:p>
      <w:pPr>
        <w:spacing w:after="0" w:line="117"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develop, in-license or acquire other product candidates and technologies in our gene therapy product candidate pipeline;</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process development and manufacturing scale-up activities associated with our product candidates and other programs as we advance them through preclinical and clinical development;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development requirements of product candidates that we may pursue;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17" w:lineRule="exact"/>
        <w:rPr>
          <w:rFonts w:ascii="Times New Roman" w:cs="Times New Roman" w:eastAsia="Times New Roman" w:hAnsi="Times New Roman"/>
          <w:sz w:val="18"/>
          <w:szCs w:val="18"/>
          <w:color w:val="auto"/>
        </w:rPr>
      </w:pPr>
    </w:p>
    <w:p>
      <w:pPr>
        <w:ind w:left="1020" w:right="106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headcount growth and associated costs as we expand our research and development capabilities and establish a commercial infrastructure;</w:t>
      </w:r>
    </w:p>
    <w:p>
      <w:pPr>
        <w:spacing w:after="0" w:line="5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marketing, sales, and distribution, for any of our product candidates for which we receive marketing approval;</w:t>
      </w:r>
    </w:p>
    <w:p>
      <w:pPr>
        <w:spacing w:after="0" w:line="53"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incurred in defending ourselves in any legal proceedings that we may be subject to;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our product candidates for which we receive marketing approval;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225"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studies and clinical trials is a time-consuming, expensive and uncertain process that takes many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 candidates that we do not expect to be commercially available in the near term, if at all. Accordingly, we will need to continue to rely on additional financing to achieve our business objectives. Adequate additional financing may not be available to us on acceptable terms, or at all. To the extent that we raise additional capital through the sale of equity or convertible debt securities, the terms of these equity securities may restrict our ability to operate. The 2025 Trinity Term Loan Agreement contains negative covenants, including, among other things, restrictions on indebtedness, liens investments, mergers, dispositions, prepayment of other indebtedness and dividends and other distributions. Any future additional debt financing and equity financing, if available, may involve agreements that include covenants limiting and restricting our ability to take specific actions, such as incurring additional debt, making capital expenditures, entering into profit-sharing or other arrangements or declaring dividends. If we raise additional funds through collaborations, strategic alliances or marketing, distribution or licensing</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7" w:name="page38"/>
    <w:bookmarkEnd w:id="37"/>
    <w:p>
      <w:pPr>
        <w:ind w:right="60"/>
        <w:spacing w:after="0" w:line="282" w:lineRule="auto"/>
        <w:rPr>
          <w:sz w:val="20"/>
          <w:szCs w:val="20"/>
          <w:color w:val="auto"/>
        </w:rPr>
      </w:pPr>
      <w:r>
        <w:rPr>
          <w:rFonts w:ascii="Times New Roman" w:cs="Times New Roman" w:eastAsia="Times New Roman" w:hAnsi="Times New Roman"/>
          <w:sz w:val="18"/>
          <w:szCs w:val="18"/>
          <w:color w:val="auto"/>
        </w:rPr>
        <w:t>arrangements with third parties, we may be required to relinquish valuable rights to our technologies, future revenue streams, research programs or product candidates or to grant licenses on terms that may not be favorable to us.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shows a summary of our cash flows for the three months ended March 31, 2026 and 2025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3500" w:type="dxa"/>
            <w:vAlign w:val="bottom"/>
            <w:gridSpan w:val="7"/>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173"/>
        </w:trPr>
        <w:tc>
          <w:tcPr>
            <w:tcW w:w="774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1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60" w:type="dxa"/>
            <w:vAlign w:val="bottom"/>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(40,878)</w:t>
            </w: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(22,020)</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(3,024)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(371)</w:t>
            </w: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(52)</w:t>
            </w:r>
          </w:p>
        </w:tc>
      </w:tr>
      <w:tr>
        <w:trPr>
          <w:trHeight w:val="20"/>
        </w:trPr>
        <w:tc>
          <w:tcPr>
            <w:tcW w:w="77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(43,191)</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(22,443)</w:t>
            </w:r>
          </w:p>
        </w:tc>
      </w:tr>
      <w:tr>
        <w:trPr>
          <w:trHeight w:val="20"/>
        </w:trPr>
        <w:tc>
          <w:tcPr>
            <w:tcW w:w="77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2026, our net cash used in operating activities of $40.9 million primarily consisted of a net loss of $42.4 million, primarily attributable to our spending on research and development expenses. The net loss of $42.4 million was partially offset by adjustments for non-cash items, primarily stock-based compensation expense of $5.5 million and other non-cash items of $0.6 million, net. Additional cash used in operating assets and liabilities of $4.6 million was primarily attributable to decreases in accrued expenses and other liabilities.</w:t>
      </w:r>
    </w:p>
    <w:p>
      <w:pPr>
        <w:spacing w:after="0" w:line="180"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2025, our net cash used in operating activities of $22.0 million primarily consisted of a net loss of $21.5 million, primarily attributable to our spending on research and development expenses. The net loss of $21.5 million was partially offset by adjustments for non-cash items, primarily stock-based compensation expense of $3.3 million and other non-cash items of $0.8 million, net. Additional cash used in operating assets and liabilities of $4.6 million was primarily attributable to deferred revenue and accrued expenses and other liabilities.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investing activities used $3.0 million of cash primarily attributable to the regulatory milestone payment of $3.0 million paid to Abeona pursuant to the Abeona Rett Agreement. This milestone payment related to the first patient dosed with TSHA-102 in the Phase 1/2 Part B REVEAL pivotal trial that occurred in 2025 and was paid in 2026.</w:t>
      </w:r>
    </w:p>
    <w:p>
      <w:pPr>
        <w:spacing w:after="0" w:line="176" w:lineRule="exact"/>
        <w:rPr>
          <w:sz w:val="20"/>
          <w:szCs w:val="20"/>
          <w:color w:val="auto"/>
        </w:rPr>
      </w:pPr>
    </w:p>
    <w:p>
      <w:pPr>
        <w:ind w:right="580" w:firstLine="74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investing activities used $0.4 million of cash primarily attributable to the purchase of lab equipment and computer equipment.</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280" w:firstLine="74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financing activities provided $0.7 million of cash, which is primarily attributable to proceeds from common stock issuances upon the exercise of stock options and the Employee Stock Purchase Plan, or ESPP.</w:t>
      </w:r>
    </w:p>
    <w:p>
      <w:pPr>
        <w:spacing w:after="0" w:line="162"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financing activities used $0.1 million of cash, which is primarily attributable to payment of shelf registration costs and payment of lease financing obligations which were partially offset by ESPP contributions.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420" w:firstLine="749"/>
        <w:spacing w:after="0" w:line="282" w:lineRule="auto"/>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arrangements, as defined in the rules and regulations of the SEC.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unaudited condensed consolidated financial statements and the reported amounts of expenses during the reporting period. A description of our significant accounting policies is included in our Annual Report. Please read the unaudited condensed consolidated financial statements in conjunction with our audited financial statements and accompanying notes in our Annual Report.</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Our critical accounting policies that require significant judgments and estimates are more fully described under the heading “Management’s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Discussion and Analysis of Financial Condition and Results of Operations—Critical Accounting Policies and Significant Judgments and Estimates” in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Report and in Note 2 to our audited consolidated financial statements contained</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8" w:name="page39"/>
    <w:bookmarkEnd w:id="38"/>
    <w:p>
      <w:pPr>
        <w:spacing w:after="0" w:line="282" w:lineRule="auto"/>
        <w:rPr>
          <w:sz w:val="20"/>
          <w:szCs w:val="20"/>
          <w:color w:val="auto"/>
        </w:rPr>
      </w:pPr>
      <w:r>
        <w:rPr>
          <w:rFonts w:ascii="Times New Roman" w:cs="Times New Roman" w:eastAsia="Times New Roman" w:hAnsi="Times New Roman"/>
          <w:sz w:val="18"/>
          <w:szCs w:val="18"/>
          <w:color w:val="auto"/>
        </w:rPr>
        <w:t>in our Annual Report. There have been no significant changes to our critical accounting policies that require significant judgments and estimates from those disclosed in our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540" w:firstLine="749"/>
        <w:spacing w:after="0" w:line="266" w:lineRule="auto"/>
        <w:rPr>
          <w:sz w:val="20"/>
          <w:szCs w:val="20"/>
          <w:color w:val="auto"/>
        </w:rPr>
      </w:pPr>
      <w:r>
        <w:rPr>
          <w:rFonts w:ascii="Times New Roman" w:cs="Times New Roman" w:eastAsia="Times New Roman" w:hAnsi="Times New Roman"/>
          <w:sz w:val="18"/>
          <w:szCs w:val="18"/>
          <w:color w:val="auto"/>
        </w:rPr>
        <w:t>See Note 2 to our unaudited condensed consolidated financial statements located in “Part I – Financial Information, Item 1. Financial Statements” in this Quarterly Report on Form 10-Q for a description of recent accounting pronouncements applicable to our condensed consolidated financial statements.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Smaller Reporting Company Status</w:t>
      </w:r>
    </w:p>
    <w:p>
      <w:pPr>
        <w:spacing w:after="0" w:line="121"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We are a “smaller reporting company,” meaning that the market value of our shares held by non-affiliates is less than $700 million and our annual revenue was less than $100 million during the most recently completed fiscal year. We may continue to be a smaller reporting company if either (i) the market value of our shares held by non-affiliates is less than $250 million or (ii) our annual revenue was less than $100 million during the most recently completed fiscal year and the market value of our shares held by non-affiliates is less than $700 million. We will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smaller reporting companies have reduced disclosure obligations regarding executive compensation.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420" w:firstLine="749"/>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required under this Item.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right="220" w:firstLine="749"/>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defined in Rules 13a-15(e) and 15d-15(e) under the Exchange Act ), as of the end of the period covered by this Quarterly Report on Form 10-Q. Based on such evaluation, our Chief Executive Officer and Chief Financial Officer have concluded that as of March 31, 2026, our disclosure controls and procedures were effective to provide reasonable assurance that the information required to be disclosed by us in this Quarterly Report on Form 10-Q was (a) reported within the time periods specified by SEC rules and regulations, and (b) communicated to our management, including our Chief Executive Officer and Chief Financial Officer, to allow timely decisions regarding any required disclosure.</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200" w:firstLine="749"/>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2026, we implemented an enterprise resource planning system, NetSuite, which resulted in certain changes to existing business processes and internal control over financial reporting. Other than this transition, there were no other changes in our internal control over financial reporting identified in management’s evaluation pursuant to Rules 13a-15(d) or 15d-15(d) of the Exchange Act during the period covered by this Quarterly Report on Form 10-Q that materially affected, or are reasonably likely to materially affect, our internal control over financial reporting.</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Internal Controls</w:t>
      </w:r>
    </w:p>
    <w:p>
      <w:pPr>
        <w:spacing w:after="0" w:line="121"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management recognizes that any controls and procedures, no matter how well designed and operated, can provide only reasonable, not absolute,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firstLine="849"/>
        <w:spacing w:after="0" w:line="253" w:lineRule="auto"/>
        <w:rPr>
          <w:sz w:val="20"/>
          <w:szCs w:val="20"/>
          <w:color w:val="auto"/>
        </w:rPr>
      </w:pPr>
      <w:r>
        <w:rPr>
          <w:rFonts w:ascii="Times New Roman" w:cs="Times New Roman" w:eastAsia="Times New Roman" w:hAnsi="Times New Roman"/>
          <w:sz w:val="18"/>
          <w:szCs w:val="18"/>
          <w:color w:val="auto"/>
        </w:rPr>
        <w:t>In January 2024 and April 2024, we were named a nominal defendant in two putative stockholder derivative actions filed by our stockholders in the Court of Chancery of the State of Delaware. The lawsuits have since been consolidated and a lead plaintiff has been appointed. In October 2024, the lead plaintiff filed an amended complaint asserting claims relating to our August 2023 Private Placement against (i) certain of our current and former directors and officers for breach of fiduciary duty and unjust enrichment; and (ii) certain participants in our August 2023 Private Placement for aiding and abetting breach of fiduciary duty and unjust enrichment. The complaints seek an unspecified award of damages in our favor, plus pre-judgment and post-judgment interest, and an award to the plaintiffs for the costs and disbursement of the action, including fees for their attorneys and experts. Our board of directors formed a special litigation committee to investigate the claims and allegations in the amended complaint. On March 3, 2026, the special litigation committee moved to terminate the action, stating its conclusion that dismissal is in the best interests of our stockholders and us. On April 1, 2026, the lead plaintiff filed a response stating that he does not oppose the motion to terminate the action. We have not recorded a liability related to these lawsuits because, at this time, we are unable to reasonably estimate possible losses or gains or determine whether an unfavorable outcome is either probable or remote.</w:t>
      </w:r>
    </w:p>
    <w:p>
      <w:pPr>
        <w:spacing w:after="0" w:line="192"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In connection with an investigation captioned In the Matter of Taysha Gene Therapies, Inc. (D-04192), Taysha and certain of its officers and directors received subpoenas in late 2024 from the United States Securities and Exchange Commission, or the SEC, for materials relating to Taysha’s August 2023 Private Placement and certain public offerings. Production of materials in response to the subpoenas was completed in April 2025. The SEC investigation is neither a determination that the Company or any individuals have violated any law nor a charge of any wrongdoing.</w:t>
      </w:r>
    </w:p>
    <w:p>
      <w:pPr>
        <w:spacing w:after="0" w:line="180" w:lineRule="exact"/>
        <w:rPr>
          <w:sz w:val="20"/>
          <w:szCs w:val="20"/>
          <w:color w:val="auto"/>
        </w:rPr>
      </w:pPr>
    </w:p>
    <w:p>
      <w:pPr>
        <w:ind w:right="420" w:firstLine="749"/>
        <w:spacing w:after="0" w:line="282" w:lineRule="auto"/>
        <w:rPr>
          <w:sz w:val="20"/>
          <w:szCs w:val="20"/>
          <w:color w:val="auto"/>
        </w:rPr>
      </w:pPr>
      <w:r>
        <w:rPr>
          <w:rFonts w:ascii="Times New Roman" w:cs="Times New Roman" w:eastAsia="Times New Roman" w:hAnsi="Times New Roman"/>
          <w:sz w:val="18"/>
          <w:szCs w:val="18"/>
          <w:color w:val="auto"/>
        </w:rPr>
        <w:t>From time to time, we may be involved in additional legal or regulatory proceedings. Regardless of outcome, litigation can have an adverse impact on us because of defense and settlement costs, diversion of management resources and other factors.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400" w:firstLine="749"/>
        <w:spacing w:after="0" w:line="261" w:lineRule="auto"/>
        <w:rPr>
          <w:sz w:val="20"/>
          <w:szCs w:val="20"/>
          <w:color w:val="auto"/>
        </w:rPr>
      </w:pPr>
      <w:r>
        <w:rPr>
          <w:rFonts w:ascii="Times New Roman" w:cs="Times New Roman" w:eastAsia="Times New Roman" w:hAnsi="Times New Roman"/>
          <w:sz w:val="18"/>
          <w:szCs w:val="18"/>
          <w:color w:val="auto"/>
        </w:rPr>
        <w:t>Our business is subject to risks and events that, if they occur, could adversely affect our financial condition and results of operations and the trading price of our securities. In addition to the other information set forth in this Quarterly Report on Form 10-Q, you should carefully consider the factors described in Part I, Item 1A. “Risk Factors” of our Annual Report for the fiscal year ended December 31, 2025, filed with the Securities and Exchange Commission on March 19, 2026.</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(a) Recent Sales of Unregistered Equity Securities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(b) Use of Proceeds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(c) Issuer Purchases of Equity Securities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none of our directors or officers (as defined in Rule 16a-1(f) under the Exchange Act) adopted or terminated any “Rule 10b5-1 trading arrangement” or “non-Rule 10b5-1 trading arrangement,” as those terms are defined in Item 408 of Regulation S-K.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exhibits listed on the Exhibit Index are either filed or furnished with this report or incorporated herein by reference.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8"/>
        </w:trPr>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9300" w:type="dxa"/>
            <w:vAlign w:val="bottom"/>
            <w:tcBorders>
              <w:bottom w:val="single" w:sz="8" w:color="auto"/>
            </w:tcBorders>
            <w:gridSpan w:val="11"/>
          </w:tcPr>
          <w:p>
            <w:pPr>
              <w:ind w:left="37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92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Pr>
          <w:p>
            <w:pPr>
              <w:spacing w:after="0"/>
              <w:rPr>
                <w:sz w:val="14"/>
                <w:szCs w:val="14"/>
                <w:color w:val="auto"/>
              </w:rPr>
            </w:pPr>
          </w:p>
        </w:tc>
        <w:tc>
          <w:tcPr>
            <w:tcW w:w="10160" w:type="dxa"/>
            <w:vAlign w:val="bottom"/>
            <w:tcBorders>
              <w:bottom w:val="single" w:sz="8" w:color="0000FF"/>
            </w:tcBorders>
            <w:gridSpan w:val="11"/>
          </w:tcPr>
          <w:p>
            <w:pPr>
              <w:spacing w:after="0" w:line="169" w:lineRule="exact"/>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Amended and Restated Certificate of Incorporation (incorporated by reference to Exhibit 3.1 to the Company’s Current Report on Form 8-K</w:t>
              </w:r>
            </w:hyperlink>
          </w:p>
        </w:tc>
        <w:tc>
          <w:tcPr>
            <w:tcW w:w="40" w:type="dxa"/>
            <w:vAlign w:val="bottom"/>
          </w:tcPr>
          <w:p>
            <w:pPr>
              <w:spacing w:after="0"/>
              <w:rPr>
                <w:sz w:val="14"/>
                <w:szCs w:val="14"/>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2"/>
          </w:tcPr>
          <w:p>
            <w:pPr>
              <w:spacing w:after="0" w:line="196" w:lineRule="exact"/>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(File No. 001-39536), filed with the Securities and Exchange Commission on September 29, 2020).</w:t>
              </w:r>
            </w:hyperlink>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3.2</w:t>
            </w:r>
          </w:p>
        </w:tc>
        <w:tc>
          <w:tcPr>
            <w:tcW w:w="120" w:type="dxa"/>
            <w:vAlign w:val="bottom"/>
          </w:tcPr>
          <w:p>
            <w:pPr>
              <w:spacing w:after="0"/>
              <w:rPr>
                <w:sz w:val="17"/>
                <w:szCs w:val="17"/>
                <w:color w:val="auto"/>
              </w:rPr>
            </w:pPr>
          </w:p>
        </w:tc>
        <w:tc>
          <w:tcPr>
            <w:tcW w:w="10200" w:type="dxa"/>
            <w:vAlign w:val="bottom"/>
            <w:gridSpan w:val="12"/>
          </w:tcPr>
          <w:p>
            <w:pPr>
              <w:spacing w:after="0" w:line="196" w:lineRule="exact"/>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Amended and Restated Bylaws (incorporated by reference to Exhibit 3.4 to the Company’s Current Report on Form 8-K (File No. 001-</w:t>
              </w:r>
            </w:hyperlink>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24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2"/>
          </w:tcPr>
          <w:p>
            <w:pPr>
              <w:spacing w:after="0" w:line="196" w:lineRule="exact"/>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39536)</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 xml:space="preserve"> filed with the Securities and Exchange Commission on September 29, 2020).</w:t>
              </w:r>
            </w:hyperlink>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3.3</w:t>
            </w:r>
          </w:p>
        </w:tc>
        <w:tc>
          <w:tcPr>
            <w:tcW w:w="120" w:type="dxa"/>
            <w:vAlign w:val="bottom"/>
          </w:tcPr>
          <w:p>
            <w:pPr>
              <w:spacing w:after="0"/>
              <w:rPr>
                <w:sz w:val="17"/>
                <w:szCs w:val="17"/>
                <w:color w:val="auto"/>
              </w:rPr>
            </w:pPr>
          </w:p>
        </w:tc>
        <w:tc>
          <w:tcPr>
            <w:tcW w:w="10200" w:type="dxa"/>
            <w:vAlign w:val="bottom"/>
            <w:gridSpan w:val="12"/>
          </w:tcPr>
          <w:p>
            <w:pPr>
              <w:spacing w:after="0" w:line="196" w:lineRule="exact"/>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Certificate of Amendment to the Amended and Restated Certificate of Incorporation of (incorporated by reference to Exhibit 3.1 to the</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shd w:val="clear" w:color="auto" w:fill="0000FF"/>
          </w:tcPr>
          <w:p>
            <w:pPr>
              <w:spacing w:after="0" w:line="20" w:lineRule="exact"/>
              <w:rPr>
                <w:sz w:val="1"/>
                <w:szCs w:val="1"/>
                <w:color w:val="auto"/>
              </w:rPr>
            </w:pPr>
          </w:p>
        </w:tc>
        <w:tc>
          <w:tcPr>
            <w:tcW w:w="2100" w:type="dxa"/>
            <w:vAlign w:val="bottom"/>
            <w:tcBorders>
              <w:right w:val="single" w:sz="8" w:color="0000FF"/>
            </w:tcBorders>
            <w:gridSpan w:val="2"/>
            <w:shd w:val="clear" w:color="auto" w:fill="0000FF"/>
          </w:tcPr>
          <w:p>
            <w:pPr>
              <w:spacing w:after="0" w:line="20" w:lineRule="exact"/>
              <w:rPr>
                <w:sz w:val="1"/>
                <w:szCs w:val="1"/>
                <w:color w:val="auto"/>
              </w:rPr>
            </w:pPr>
          </w:p>
        </w:tc>
        <w:tc>
          <w:tcPr>
            <w:tcW w:w="24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2"/>
          </w:tcPr>
          <w:p>
            <w:pPr>
              <w:spacing w:after="0" w:line="196" w:lineRule="exact"/>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Company’s Current Report on Form 8-K (File No. 001-39536), filed with the Securities and Exchange Commission on November 15, 2023).</w:t>
              </w:r>
            </w:hyperlink>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shd w:val="clear" w:color="auto" w:fill="0000FF"/>
          </w:tcPr>
          <w:p>
            <w:pPr>
              <w:spacing w:after="0" w:line="20" w:lineRule="exact"/>
              <w:rPr>
                <w:sz w:val="1"/>
                <w:szCs w:val="1"/>
                <w:color w:val="auto"/>
              </w:rPr>
            </w:pPr>
          </w:p>
        </w:tc>
        <w:tc>
          <w:tcPr>
            <w:tcW w:w="2100" w:type="dxa"/>
            <w:vAlign w:val="bottom"/>
            <w:tcBorders>
              <w:right w:val="single" w:sz="8" w:color="0000FF"/>
            </w:tcBorders>
            <w:gridSpan w:val="2"/>
            <w:shd w:val="clear" w:color="auto" w:fill="0000FF"/>
          </w:tcPr>
          <w:p>
            <w:pPr>
              <w:spacing w:after="0" w:line="20" w:lineRule="exact"/>
              <w:rPr>
                <w:sz w:val="1"/>
                <w:szCs w:val="1"/>
                <w:color w:val="auto"/>
              </w:rPr>
            </w:pPr>
          </w:p>
        </w:tc>
        <w:tc>
          <w:tcPr>
            <w:tcW w:w="24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gridSpan w:val="2"/>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3.4</w:t>
            </w:r>
          </w:p>
        </w:tc>
        <w:tc>
          <w:tcPr>
            <w:tcW w:w="120" w:type="dxa"/>
            <w:vAlign w:val="bottom"/>
          </w:tcPr>
          <w:p>
            <w:pPr>
              <w:spacing w:after="0"/>
              <w:rPr>
                <w:sz w:val="17"/>
                <w:szCs w:val="17"/>
                <w:color w:val="auto"/>
              </w:rPr>
            </w:pPr>
          </w:p>
        </w:tc>
        <w:tc>
          <w:tcPr>
            <w:tcW w:w="10200" w:type="dxa"/>
            <w:vAlign w:val="bottom"/>
            <w:gridSpan w:val="12"/>
          </w:tcPr>
          <w:p>
            <w:pPr>
              <w:spacing w:after="0" w:line="196" w:lineRule="exact"/>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Certificate of amendment to the Amended and Restated Certificate of Incorporation (incorporated by reference to Exhibit 3.1 to the</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shd w:val="clear" w:color="auto" w:fill="0000FF"/>
          </w:tcPr>
          <w:p>
            <w:pPr>
              <w:spacing w:after="0" w:line="20" w:lineRule="exact"/>
              <w:rPr>
                <w:sz w:val="1"/>
                <w:szCs w:val="1"/>
                <w:color w:val="auto"/>
              </w:rPr>
            </w:pPr>
          </w:p>
        </w:tc>
        <w:tc>
          <w:tcPr>
            <w:tcW w:w="2100" w:type="dxa"/>
            <w:vAlign w:val="bottom"/>
            <w:tcBorders>
              <w:right w:val="single" w:sz="8" w:color="0000FF"/>
            </w:tcBorders>
            <w:gridSpan w:val="2"/>
            <w:shd w:val="clear" w:color="auto" w:fill="0000FF"/>
          </w:tcPr>
          <w:p>
            <w:pPr>
              <w:spacing w:after="0" w:line="20" w:lineRule="exact"/>
              <w:rPr>
                <w:sz w:val="1"/>
                <w:szCs w:val="1"/>
                <w:color w:val="auto"/>
              </w:rPr>
            </w:pPr>
          </w:p>
        </w:tc>
        <w:tc>
          <w:tcPr>
            <w:tcW w:w="242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2"/>
          </w:tcPr>
          <w:p>
            <w:pPr>
              <w:spacing w:after="0" w:line="196" w:lineRule="exact"/>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Company’s Current Report on Form 8-K (File No. 001-39536), filed with the Securities and Exchange Commission on June 3, 2025).</w:t>
              </w:r>
            </w:hyperlink>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shd w:val="clear" w:color="auto" w:fill="0000FF"/>
          </w:tcPr>
          <w:p>
            <w:pPr>
              <w:spacing w:after="0" w:line="20" w:lineRule="exact"/>
              <w:rPr>
                <w:sz w:val="1"/>
                <w:szCs w:val="1"/>
                <w:color w:val="auto"/>
              </w:rPr>
            </w:pPr>
          </w:p>
        </w:tc>
        <w:tc>
          <w:tcPr>
            <w:tcW w:w="2100" w:type="dxa"/>
            <w:vAlign w:val="bottom"/>
            <w:tcBorders>
              <w:right w:val="single" w:sz="8" w:color="0000FF"/>
            </w:tcBorders>
            <w:gridSpan w:val="2"/>
            <w:shd w:val="clear" w:color="auto" w:fill="0000FF"/>
          </w:tcPr>
          <w:p>
            <w:pPr>
              <w:spacing w:after="0" w:line="20" w:lineRule="exact"/>
              <w:rPr>
                <w:sz w:val="1"/>
                <w:szCs w:val="1"/>
                <w:color w:val="auto"/>
              </w:rPr>
            </w:pPr>
          </w:p>
        </w:tc>
        <w:tc>
          <w:tcPr>
            <w:tcW w:w="2540" w:type="dxa"/>
            <w:vAlign w:val="bottom"/>
            <w:gridSpan w:val="3"/>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7"/>
                <w:szCs w:val="17"/>
                <w:color w:val="auto"/>
              </w:rPr>
            </w:pPr>
          </w:p>
        </w:tc>
        <w:tc>
          <w:tcPr>
            <w:tcW w:w="10200" w:type="dxa"/>
            <w:vAlign w:val="bottom"/>
            <w:gridSpan w:val="12"/>
          </w:tcPr>
          <w:p>
            <w:pPr>
              <w:spacing w:after="0" w:line="196" w:lineRule="exact"/>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Amendment No. 2 to 2023 Inducement Plan (incorporated by reference to Exhibit 99.7 to the Company’s Registration Statement on Form S-</w:t>
              </w:r>
            </w:hyperlink>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shd w:val="clear" w:color="auto" w:fill="0000FF"/>
          </w:tcPr>
          <w:p>
            <w:pPr>
              <w:spacing w:after="0" w:line="20" w:lineRule="exact"/>
              <w:rPr>
                <w:sz w:val="1"/>
                <w:szCs w:val="1"/>
                <w:color w:val="auto"/>
              </w:rPr>
            </w:pPr>
          </w:p>
        </w:tc>
        <w:tc>
          <w:tcPr>
            <w:tcW w:w="2100" w:type="dxa"/>
            <w:vAlign w:val="bottom"/>
            <w:tcBorders>
              <w:right w:val="single" w:sz="8" w:color="0000FF"/>
            </w:tcBorders>
            <w:gridSpan w:val="2"/>
            <w:shd w:val="clear" w:color="auto" w:fill="0000FF"/>
          </w:tcPr>
          <w:p>
            <w:pPr>
              <w:spacing w:after="0" w:line="20" w:lineRule="exact"/>
              <w:rPr>
                <w:sz w:val="1"/>
                <w:szCs w:val="1"/>
                <w:color w:val="auto"/>
              </w:rPr>
            </w:pPr>
          </w:p>
        </w:tc>
        <w:tc>
          <w:tcPr>
            <w:tcW w:w="2540" w:type="dxa"/>
            <w:vAlign w:val="bottom"/>
            <w:gridSpan w:val="3"/>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2"/>
          </w:tcPr>
          <w:p>
            <w:pPr>
              <w:spacing w:after="0" w:line="196" w:lineRule="exact"/>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8 (File No. 333-284167) filed with the Securities and Exchange Commission on January 6, 2026).</w:t>
              </w:r>
            </w:hyperlink>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shd w:val="clear" w:color="auto" w:fill="0000FF"/>
          </w:tcPr>
          <w:p>
            <w:pPr>
              <w:spacing w:after="0" w:line="20" w:lineRule="exact"/>
              <w:rPr>
                <w:sz w:val="1"/>
                <w:szCs w:val="1"/>
                <w:color w:val="auto"/>
              </w:rPr>
            </w:pPr>
          </w:p>
        </w:tc>
        <w:tc>
          <w:tcPr>
            <w:tcW w:w="2100" w:type="dxa"/>
            <w:vAlign w:val="bottom"/>
            <w:tcBorders>
              <w:right w:val="single" w:sz="8" w:color="0000EE"/>
            </w:tcBorders>
            <w:gridSpan w:val="2"/>
            <w:shd w:val="clear" w:color="auto" w:fill="0000FF"/>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31.1*</w:t>
            </w:r>
          </w:p>
        </w:tc>
        <w:tc>
          <w:tcPr>
            <w:tcW w:w="120" w:type="dxa"/>
            <w:vAlign w:val="bottom"/>
          </w:tcPr>
          <w:p>
            <w:pPr>
              <w:spacing w:after="0"/>
              <w:rPr>
                <w:sz w:val="17"/>
                <w:szCs w:val="17"/>
                <w:color w:val="auto"/>
              </w:rPr>
            </w:pPr>
          </w:p>
        </w:tc>
        <w:tc>
          <w:tcPr>
            <w:tcW w:w="102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shd w:val="clear" w:color="auto" w:fill="0000FF"/>
          </w:tcPr>
          <w:p>
            <w:pPr>
              <w:spacing w:after="0" w:line="20" w:lineRule="exact"/>
              <w:rPr>
                <w:sz w:val="1"/>
                <w:szCs w:val="1"/>
                <w:color w:val="auto"/>
              </w:rPr>
            </w:pPr>
          </w:p>
        </w:tc>
        <w:tc>
          <w:tcPr>
            <w:tcW w:w="4640" w:type="dxa"/>
            <w:vAlign w:val="bottom"/>
            <w:gridSpan w:val="5"/>
            <w:shd w:val="clear" w:color="auto" w:fill="0000FF"/>
          </w:tcPr>
          <w:p>
            <w:pPr>
              <w:spacing w:after="0" w:line="20" w:lineRule="exact"/>
              <w:rPr>
                <w:sz w:val="1"/>
                <w:szCs w:val="1"/>
                <w:color w:val="auto"/>
              </w:rPr>
            </w:pPr>
          </w:p>
        </w:tc>
        <w:tc>
          <w:tcPr>
            <w:tcW w:w="420" w:type="dxa"/>
            <w:vAlign w:val="bottom"/>
            <w:tcBorders>
              <w:left w:val="single" w:sz="8" w:color="0000FF"/>
            </w:tcBorders>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shd w:val="clear" w:color="auto" w:fill="0000FF"/>
          </w:tcPr>
          <w:p>
            <w:pPr>
              <w:spacing w:after="0" w:line="20" w:lineRule="exact"/>
              <w:rPr>
                <w:sz w:val="1"/>
                <w:szCs w:val="1"/>
                <w:color w:val="auto"/>
              </w:rPr>
            </w:pPr>
          </w:p>
        </w:tc>
        <w:tc>
          <w:tcPr>
            <w:tcW w:w="4640" w:type="dxa"/>
            <w:vAlign w:val="bottom"/>
            <w:gridSpan w:val="5"/>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31.2*</w:t>
            </w:r>
          </w:p>
        </w:tc>
        <w:tc>
          <w:tcPr>
            <w:tcW w:w="120" w:type="dxa"/>
            <w:vAlign w:val="bottom"/>
          </w:tcPr>
          <w:p>
            <w:pPr>
              <w:spacing w:after="0"/>
              <w:rPr>
                <w:sz w:val="17"/>
                <w:szCs w:val="17"/>
                <w:color w:val="auto"/>
              </w:rPr>
            </w:pPr>
          </w:p>
        </w:tc>
        <w:tc>
          <w:tcPr>
            <w:tcW w:w="102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8700" w:type="dxa"/>
            <w:vAlign w:val="bottom"/>
            <w:gridSpan w:val="6"/>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shd w:val="clear" w:color="auto" w:fill="0000FF"/>
          </w:tcPr>
          <w:p>
            <w:pPr>
              <w:spacing w:after="0" w:line="20" w:lineRule="exact"/>
              <w:rPr>
                <w:sz w:val="1"/>
                <w:szCs w:val="1"/>
                <w:color w:val="auto"/>
              </w:rPr>
            </w:pPr>
          </w:p>
        </w:tc>
        <w:tc>
          <w:tcPr>
            <w:tcW w:w="5060" w:type="dxa"/>
            <w:vAlign w:val="bottom"/>
            <w:gridSpan w:val="7"/>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32.1#</w:t>
            </w:r>
          </w:p>
        </w:tc>
        <w:tc>
          <w:tcPr>
            <w:tcW w:w="120" w:type="dxa"/>
            <w:vAlign w:val="bottom"/>
          </w:tcPr>
          <w:p>
            <w:pPr>
              <w:spacing w:after="0"/>
              <w:rPr>
                <w:sz w:val="17"/>
                <w:szCs w:val="17"/>
                <w:color w:val="auto"/>
              </w:rPr>
            </w:pPr>
          </w:p>
        </w:tc>
        <w:tc>
          <w:tcPr>
            <w:tcW w:w="102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Sarbanes-Oxley</w:t>
            </w: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9120" w:type="dxa"/>
            <w:vAlign w:val="bottom"/>
            <w:gridSpan w:val="8"/>
            <w:shd w:val="clear" w:color="auto" w:fill="0000FF"/>
          </w:tcPr>
          <w:p>
            <w:pPr>
              <w:spacing w:after="0" w:line="20" w:lineRule="exact"/>
              <w:rPr>
                <w:sz w:val="1"/>
                <w:szCs w:val="1"/>
                <w:color w:val="auto"/>
              </w:rPr>
            </w:pPr>
          </w:p>
        </w:tc>
        <w:tc>
          <w:tcPr>
            <w:tcW w:w="180" w:type="dxa"/>
            <w:vAlign w:val="bottom"/>
            <w:tcBorders>
              <w:left w:val="single" w:sz="8" w:color="0000FF"/>
            </w:tcBorders>
            <w:gridSpan w:val="3"/>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EE"/>
            </w:tcBorders>
            <w:shd w:val="clear" w:color="auto" w:fill="0000FF"/>
          </w:tcPr>
          <w:p>
            <w:pPr>
              <w:spacing w:after="0" w:line="20" w:lineRule="exact"/>
              <w:rPr>
                <w:sz w:val="1"/>
                <w:szCs w:val="1"/>
                <w:color w:val="auto"/>
              </w:rPr>
            </w:pPr>
          </w:p>
        </w:tc>
        <w:tc>
          <w:tcPr>
            <w:tcW w:w="9120" w:type="dxa"/>
            <w:vAlign w:val="bottom"/>
            <w:gridSpan w:val="8"/>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32.2#</w:t>
            </w:r>
          </w:p>
        </w:tc>
        <w:tc>
          <w:tcPr>
            <w:tcW w:w="120" w:type="dxa"/>
            <w:vAlign w:val="bottom"/>
          </w:tcPr>
          <w:p>
            <w:pPr>
              <w:spacing w:after="0"/>
              <w:rPr>
                <w:sz w:val="17"/>
                <w:szCs w:val="17"/>
                <w:color w:val="auto"/>
              </w:rPr>
            </w:pPr>
          </w:p>
        </w:tc>
        <w:tc>
          <w:tcPr>
            <w:tcW w:w="102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Sarbanes-Oxley</w:t>
            </w: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20" w:type="dxa"/>
            <w:vAlign w:val="bottom"/>
            <w:gridSpan w:val="9"/>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EE"/>
            </w:tcBorders>
            <w:shd w:val="clear" w:color="auto" w:fill="0000FF"/>
          </w:tcPr>
          <w:p>
            <w:pPr>
              <w:spacing w:after="0" w:line="20" w:lineRule="exact"/>
              <w:rPr>
                <w:sz w:val="1"/>
                <w:szCs w:val="1"/>
                <w:color w:val="auto"/>
              </w:rPr>
            </w:pPr>
          </w:p>
        </w:tc>
        <w:tc>
          <w:tcPr>
            <w:tcW w:w="9300" w:type="dxa"/>
            <w:vAlign w:val="bottom"/>
            <w:gridSpan w:val="11"/>
          </w:tcPr>
          <w:p>
            <w:pPr>
              <w:spacing w:after="0" w:line="20" w:lineRule="exact"/>
              <w:rPr>
                <w:sz w:val="1"/>
                <w:szCs w:val="1"/>
                <w:color w:val="auto"/>
              </w:rPr>
            </w:pPr>
          </w:p>
        </w:tc>
      </w:tr>
      <w:tr>
        <w:trPr>
          <w:trHeight w:val="218"/>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101.INS</w:t>
            </w:r>
          </w:p>
        </w:tc>
        <w:tc>
          <w:tcPr>
            <w:tcW w:w="120" w:type="dxa"/>
            <w:vAlign w:val="bottom"/>
          </w:tcPr>
          <w:p>
            <w:pPr>
              <w:spacing w:after="0"/>
              <w:rPr>
                <w:sz w:val="18"/>
                <w:szCs w:val="18"/>
                <w:color w:val="auto"/>
              </w:rPr>
            </w:pPr>
          </w:p>
        </w:tc>
        <w:tc>
          <w:tcPr>
            <w:tcW w:w="102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 within</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the Inline XBRL document</w:t>
            </w: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101.SCH</w:t>
            </w:r>
          </w:p>
        </w:tc>
        <w:tc>
          <w:tcPr>
            <w:tcW w:w="120" w:type="dxa"/>
            <w:vAlign w:val="bottom"/>
          </w:tcPr>
          <w:p>
            <w:pPr>
              <w:spacing w:after="0"/>
              <w:rPr>
                <w:sz w:val="18"/>
                <w:szCs w:val="18"/>
                <w:color w:val="auto"/>
              </w:rPr>
            </w:pPr>
          </w:p>
        </w:tc>
        <w:tc>
          <w:tcPr>
            <w:tcW w:w="102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101.CAL</w:t>
            </w:r>
          </w:p>
        </w:tc>
        <w:tc>
          <w:tcPr>
            <w:tcW w:w="120" w:type="dxa"/>
            <w:vAlign w:val="bottom"/>
          </w:tcPr>
          <w:p>
            <w:pPr>
              <w:spacing w:after="0"/>
              <w:rPr>
                <w:sz w:val="18"/>
                <w:szCs w:val="18"/>
                <w:color w:val="auto"/>
              </w:rPr>
            </w:pPr>
          </w:p>
        </w:tc>
        <w:tc>
          <w:tcPr>
            <w:tcW w:w="102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101.DEF</w:t>
            </w:r>
          </w:p>
        </w:tc>
        <w:tc>
          <w:tcPr>
            <w:tcW w:w="120" w:type="dxa"/>
            <w:vAlign w:val="bottom"/>
          </w:tcPr>
          <w:p>
            <w:pPr>
              <w:spacing w:after="0"/>
              <w:rPr>
                <w:sz w:val="18"/>
                <w:szCs w:val="18"/>
                <w:color w:val="auto"/>
              </w:rPr>
            </w:pPr>
          </w:p>
        </w:tc>
        <w:tc>
          <w:tcPr>
            <w:tcW w:w="102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101.LAB</w:t>
            </w:r>
          </w:p>
        </w:tc>
        <w:tc>
          <w:tcPr>
            <w:tcW w:w="120" w:type="dxa"/>
            <w:vAlign w:val="bottom"/>
          </w:tcPr>
          <w:p>
            <w:pPr>
              <w:spacing w:after="0"/>
              <w:rPr>
                <w:sz w:val="18"/>
                <w:szCs w:val="18"/>
                <w:color w:val="auto"/>
              </w:rPr>
            </w:pPr>
          </w:p>
        </w:tc>
        <w:tc>
          <w:tcPr>
            <w:tcW w:w="102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34"/>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101.PRE</w:t>
            </w:r>
          </w:p>
        </w:tc>
        <w:tc>
          <w:tcPr>
            <w:tcW w:w="120" w:type="dxa"/>
            <w:vAlign w:val="bottom"/>
          </w:tcPr>
          <w:p>
            <w:pPr>
              <w:spacing w:after="0"/>
              <w:rPr>
                <w:sz w:val="20"/>
                <w:szCs w:val="20"/>
                <w:color w:val="auto"/>
              </w:rPr>
            </w:pPr>
          </w:p>
        </w:tc>
        <w:tc>
          <w:tcPr>
            <w:tcW w:w="102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ind w:right="3660" w:firstLine="319"/>
        <w:spacing w:after="0" w:line="372" w:lineRule="auto"/>
        <w:tabs>
          <w:tab w:leader="none" w:pos="1012"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158559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5">
                      <a:extLst>
                        <a:ext uri="{28A0092B-C50C-407E-A947-70E740481C1C}"/>
                      </a:extLst>
                    </a:blip>
                    <a:srcRect/>
                    <a:stretch>
                      <a:fillRect/>
                    </a:stretch>
                  </pic:blipFill>
                  <pic:spPr bwMode="auto">
                    <a:xfrm>
                      <a:off x="0" y="0"/>
                      <a:ext cx="158559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Indicates management contract or compensatory plan.</w:t>
      </w:r>
    </w:p>
    <w:p>
      <w:pPr>
        <w:spacing w:after="0" w:line="117" w:lineRule="exact"/>
        <w:rPr>
          <w:sz w:val="20"/>
          <w:szCs w:val="20"/>
          <w:color w:val="auto"/>
        </w:rPr>
      </w:pPr>
    </w:p>
    <w:p>
      <w:pPr>
        <w:ind w:firstLine="8"/>
        <w:spacing w:after="0" w:line="266" w:lineRule="auto"/>
        <w:tabs>
          <w:tab w:leader="none" w:pos="1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certifications are being furnished solely to accompany this quarterly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p>
        </w:tc>
        <w:tc>
          <w:tcPr>
            <w:tcW w:w="404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Taysha Gene Therapies, Inc.</w:t>
            </w:r>
          </w:p>
        </w:tc>
        <w:tc>
          <w:tcPr>
            <w:tcW w:w="3940" w:type="dxa"/>
            <w:vAlign w:val="bottom"/>
          </w:tcPr>
          <w:p>
            <w:pPr>
              <w:spacing w:after="0"/>
              <w:rPr>
                <w:sz w:val="20"/>
                <w:szCs w:val="20"/>
                <w:color w:val="auto"/>
              </w:rPr>
            </w:pPr>
          </w:p>
        </w:tc>
      </w:tr>
      <w:tr>
        <w:trPr>
          <w:trHeight w:val="432"/>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2026</w:t>
            </w:r>
          </w:p>
        </w:tc>
        <w:tc>
          <w:tcPr>
            <w:tcW w:w="404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3940" w:type="dxa"/>
            <w:vAlign w:val="bottom"/>
          </w:tcPr>
          <w:p>
            <w:pPr>
              <w:jc w:val="center"/>
              <w:ind w:right="1590"/>
              <w:spacing w:after="0"/>
              <w:rPr>
                <w:sz w:val="20"/>
                <w:szCs w:val="20"/>
                <w:color w:val="auto"/>
              </w:rPr>
            </w:pPr>
            <w:r>
              <w:rPr>
                <w:rFonts w:ascii="Times New Roman" w:cs="Times New Roman" w:eastAsia="Times New Roman" w:hAnsi="Times New Roman"/>
                <w:sz w:val="18"/>
                <w:szCs w:val="18"/>
                <w:color w:val="auto"/>
              </w:rPr>
              <w:t>/s/ Sean Nolan</w:t>
            </w:r>
          </w:p>
        </w:tc>
      </w:tr>
      <w:tr>
        <w:trPr>
          <w:trHeight w:val="187"/>
        </w:trPr>
        <w:tc>
          <w:tcPr>
            <w:tcW w:w="32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680" w:type="dxa"/>
            <w:vAlign w:val="bottom"/>
            <w:tcBorders>
              <w:top w:val="single" w:sz="8" w:color="auto"/>
            </w:tcBorders>
          </w:tcPr>
          <w:p>
            <w:pPr>
              <w:spacing w:after="0"/>
              <w:rPr>
                <w:sz w:val="16"/>
                <w:szCs w:val="16"/>
                <w:color w:val="auto"/>
              </w:rPr>
            </w:pPr>
          </w:p>
        </w:tc>
        <w:tc>
          <w:tcPr>
            <w:tcW w:w="3940" w:type="dxa"/>
            <w:vAlign w:val="bottom"/>
            <w:tcBorders>
              <w:top w:val="single" w:sz="8" w:color="auto"/>
            </w:tcBorders>
          </w:tcPr>
          <w:p>
            <w:pPr>
              <w:jc w:val="center"/>
              <w:ind w:right="1610"/>
              <w:spacing w:after="0" w:line="188" w:lineRule="exact"/>
              <w:rPr>
                <w:sz w:val="20"/>
                <w:szCs w:val="20"/>
                <w:color w:val="auto"/>
              </w:rPr>
            </w:pPr>
            <w:r>
              <w:rPr>
                <w:rFonts w:ascii="Times New Roman" w:cs="Times New Roman" w:eastAsia="Times New Roman" w:hAnsi="Times New Roman"/>
                <w:sz w:val="18"/>
                <w:szCs w:val="18"/>
                <w:b w:val="1"/>
                <w:bCs w:val="1"/>
                <w:color w:val="auto"/>
              </w:rPr>
              <w:t>Sean Nolan</w:t>
            </w:r>
          </w:p>
        </w:tc>
      </w:tr>
      <w:tr>
        <w:trPr>
          <w:trHeight w:val="218"/>
        </w:trPr>
        <w:tc>
          <w:tcPr>
            <w:tcW w:w="32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940" w:type="dxa"/>
            <w:vAlign w:val="bottom"/>
          </w:tcPr>
          <w:p>
            <w:pPr>
              <w:jc w:val="center"/>
              <w:ind w:right="1610"/>
              <w:spacing w:after="0"/>
              <w:rPr>
                <w:sz w:val="20"/>
                <w:szCs w:val="20"/>
                <w:color w:val="auto"/>
              </w:rPr>
            </w:pPr>
            <w:r>
              <w:rPr>
                <w:rFonts w:ascii="Times New Roman" w:cs="Times New Roman" w:eastAsia="Times New Roman" w:hAnsi="Times New Roman"/>
                <w:sz w:val="18"/>
                <w:szCs w:val="18"/>
                <w:b w:val="1"/>
                <w:bCs w:val="1"/>
                <w:color w:val="auto"/>
                <w:w w:val="99"/>
              </w:rPr>
              <w:t>Chief Executive Officer</w:t>
            </w:r>
          </w:p>
        </w:tc>
      </w:tr>
      <w:tr>
        <w:trPr>
          <w:trHeight w:val="236"/>
        </w:trPr>
        <w:tc>
          <w:tcPr>
            <w:tcW w:w="32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940" w:type="dxa"/>
            <w:vAlign w:val="bottom"/>
          </w:tcPr>
          <w:p>
            <w:pPr>
              <w:jc w:val="center"/>
              <w:ind w:right="1590"/>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432"/>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2026</w:t>
            </w:r>
          </w:p>
        </w:tc>
        <w:tc>
          <w:tcPr>
            <w:tcW w:w="404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3940" w:type="dxa"/>
            <w:vAlign w:val="bottom"/>
          </w:tcPr>
          <w:p>
            <w:pPr>
              <w:jc w:val="center"/>
              <w:ind w:right="1610"/>
              <w:spacing w:after="0"/>
              <w:rPr>
                <w:sz w:val="20"/>
                <w:szCs w:val="20"/>
                <w:color w:val="auto"/>
              </w:rPr>
            </w:pPr>
            <w:r>
              <w:rPr>
                <w:rFonts w:ascii="Times New Roman" w:cs="Times New Roman" w:eastAsia="Times New Roman" w:hAnsi="Times New Roman"/>
                <w:sz w:val="18"/>
                <w:szCs w:val="18"/>
                <w:color w:val="auto"/>
                <w:w w:val="99"/>
              </w:rPr>
              <w:t>/s/ Kamran Alam</w:t>
            </w:r>
          </w:p>
        </w:tc>
      </w:tr>
      <w:tr>
        <w:trPr>
          <w:trHeight w:val="187"/>
        </w:trPr>
        <w:tc>
          <w:tcPr>
            <w:tcW w:w="32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680" w:type="dxa"/>
            <w:vAlign w:val="bottom"/>
            <w:tcBorders>
              <w:top w:val="single" w:sz="8" w:color="auto"/>
            </w:tcBorders>
          </w:tcPr>
          <w:p>
            <w:pPr>
              <w:spacing w:after="0"/>
              <w:rPr>
                <w:sz w:val="16"/>
                <w:szCs w:val="16"/>
                <w:color w:val="auto"/>
              </w:rPr>
            </w:pPr>
          </w:p>
        </w:tc>
        <w:tc>
          <w:tcPr>
            <w:tcW w:w="3940" w:type="dxa"/>
            <w:vAlign w:val="bottom"/>
            <w:tcBorders>
              <w:top w:val="single" w:sz="8" w:color="auto"/>
            </w:tcBorders>
          </w:tcPr>
          <w:p>
            <w:pPr>
              <w:jc w:val="center"/>
              <w:ind w:right="1610"/>
              <w:spacing w:after="0" w:line="188" w:lineRule="exact"/>
              <w:rPr>
                <w:sz w:val="20"/>
                <w:szCs w:val="20"/>
                <w:color w:val="auto"/>
              </w:rPr>
            </w:pPr>
            <w:r>
              <w:rPr>
                <w:rFonts w:ascii="Times New Roman" w:cs="Times New Roman" w:eastAsia="Times New Roman" w:hAnsi="Times New Roman"/>
                <w:sz w:val="18"/>
                <w:szCs w:val="18"/>
                <w:b w:val="1"/>
                <w:bCs w:val="1"/>
                <w:color w:val="auto"/>
              </w:rPr>
              <w:t>Kamran Alam</w:t>
            </w:r>
          </w:p>
        </w:tc>
      </w:tr>
      <w:tr>
        <w:trPr>
          <w:trHeight w:val="238"/>
        </w:trPr>
        <w:tc>
          <w:tcPr>
            <w:tcW w:w="32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940" w:type="dxa"/>
            <w:vAlign w:val="bottom"/>
          </w:tcPr>
          <w:p>
            <w:pPr>
              <w:jc w:val="center"/>
              <w:ind w:right="1590"/>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r>
    </w:tbl>
    <w:p>
      <w:pPr>
        <w:ind w:left="678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Sean Nolan, certify that:</w:t>
      </w:r>
    </w:p>
    <w:p>
      <w:pPr>
        <w:spacing w:after="0" w:line="117" w:lineRule="exact"/>
        <w:rPr>
          <w:sz w:val="20"/>
          <w:szCs w:val="20"/>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Taysha Gene Therapies,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80" w:hanging="512"/>
        <w:spacing w:after="0" w:line="266"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5620" w:val="left"/>
          <w:tab w:leader="none" w:pos="8120" w:val="left"/>
        </w:tabs>
        <w:rPr>
          <w:sz w:val="20"/>
          <w:szCs w:val="20"/>
          <w:color w:val="auto"/>
        </w:rPr>
      </w:pPr>
      <w:r>
        <w:rPr>
          <w:rFonts w:ascii="Times New Roman" w:cs="Times New Roman" w:eastAsia="Times New Roman" w:hAnsi="Times New Roman"/>
          <w:sz w:val="18"/>
          <w:szCs w:val="18"/>
          <w:color w:val="auto"/>
        </w:rPr>
        <w:t>Date: May 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Sean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8">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21"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b w:val="1"/>
          <w:bCs w:val="1"/>
          <w:color w:val="auto"/>
        </w:rPr>
        <w:t>Sean Nolan</w:t>
      </w:r>
    </w:p>
    <w:p>
      <w:pPr>
        <w:spacing w:after="0" w:line="9"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Kamran Alam, certify that:</w:t>
      </w:r>
    </w:p>
    <w:p>
      <w:pPr>
        <w:spacing w:after="0" w:line="117" w:lineRule="exact"/>
        <w:rPr>
          <w:sz w:val="20"/>
          <w:szCs w:val="20"/>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Taysha Gene Therapies,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80" w:hanging="512"/>
        <w:spacing w:after="0" w:line="266"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5620" w:val="left"/>
          <w:tab w:leader="none" w:pos="8020" w:val="left"/>
        </w:tabs>
        <w:rPr>
          <w:sz w:val="20"/>
          <w:szCs w:val="20"/>
          <w:color w:val="auto"/>
        </w:rPr>
      </w:pPr>
      <w:r>
        <w:rPr>
          <w:rFonts w:ascii="Times New Roman" w:cs="Times New Roman" w:eastAsia="Times New Roman" w:hAnsi="Times New Roman"/>
          <w:sz w:val="18"/>
          <w:szCs w:val="18"/>
          <w:color w:val="auto"/>
        </w:rPr>
        <w:t>Date: May 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Kamran Alam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21"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b w:val="1"/>
          <w:bCs w:val="1"/>
          <w:color w:val="auto"/>
        </w:rPr>
        <w:t>Kamran Alam</w:t>
      </w:r>
    </w:p>
    <w:p>
      <w:pPr>
        <w:spacing w:after="0" w:line="9"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Sean Nolan, Chief Executive Officer of Taysha Gene Therapies, Inc. (the “Company”) hereby certifies that, to the best of his knowledge:</w:t>
      </w:r>
    </w:p>
    <w:p>
      <w:pPr>
        <w:spacing w:after="0" w:line="176" w:lineRule="exact"/>
        <w:rPr>
          <w:sz w:val="20"/>
          <w:szCs w:val="20"/>
          <w:color w:val="auto"/>
        </w:rPr>
      </w:pPr>
    </w:p>
    <w:p>
      <w:pPr>
        <w:ind w:left="1020" w:right="1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period ended March 31, 2026, to which this Certification is attached as Exhibit 32.1 (the “Periodic Report”) fully complies with the requirements of Section 13(a) or Section 15(d) of the Exchange Act; and</w:t>
      </w:r>
    </w:p>
    <w:p>
      <w:pPr>
        <w:spacing w:after="0" w:line="161"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fairly presents, in all material respects, the financial condition and results of operations of the Company.</w:t>
      </w:r>
    </w:p>
    <w:p>
      <w:pPr>
        <w:spacing w:after="0" w:line="189" w:lineRule="exact"/>
        <w:rPr>
          <w:sz w:val="20"/>
          <w:szCs w:val="20"/>
          <w:color w:val="auto"/>
        </w:rPr>
      </w:pPr>
    </w:p>
    <w:p>
      <w:pPr>
        <w:spacing w:after="0"/>
        <w:tabs>
          <w:tab w:leader="none" w:pos="5680" w:val="left"/>
          <w:tab w:leader="none" w:pos="8140" w:val="left"/>
        </w:tabs>
        <w:rPr>
          <w:sz w:val="20"/>
          <w:szCs w:val="20"/>
          <w:color w:val="auto"/>
        </w:rPr>
      </w:pPr>
      <w:r>
        <w:rPr>
          <w:rFonts w:ascii="Times New Roman" w:cs="Times New Roman" w:eastAsia="Times New Roman" w:hAnsi="Times New Roman"/>
          <w:sz w:val="18"/>
          <w:szCs w:val="18"/>
          <w:color w:val="auto"/>
        </w:rPr>
        <w:t>Date: May 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Sean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324040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2">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21"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Sean Nolan</w:t>
      </w:r>
    </w:p>
    <w:p>
      <w:pPr>
        <w:spacing w:after="0" w:line="9"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Kamran Alam, Chief Financial Officer of Taysha Gene Therapies, Inc. (the “Company”) hereby certifies that, to the best of his knowledge:</w:t>
      </w:r>
    </w:p>
    <w:p>
      <w:pPr>
        <w:spacing w:after="0" w:line="176" w:lineRule="exact"/>
        <w:rPr>
          <w:sz w:val="20"/>
          <w:szCs w:val="20"/>
          <w:color w:val="auto"/>
        </w:rPr>
      </w:pPr>
    </w:p>
    <w:p>
      <w:pPr>
        <w:ind w:left="1020" w:right="1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period ended March 31, 2026, to which this Certification is attached as Exhibit 32.2 (the “Periodic Report”) fully complies with the requirements of Section 13(a) or Section 15(d) of the Exchange Act; and</w:t>
      </w:r>
    </w:p>
    <w:p>
      <w:pPr>
        <w:spacing w:after="0" w:line="161"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fairly presents, in all material respects, the financial condition and results of operations of the Company.</w:t>
      </w:r>
    </w:p>
    <w:p>
      <w:pPr>
        <w:spacing w:after="0" w:line="189" w:lineRule="exact"/>
        <w:rPr>
          <w:sz w:val="20"/>
          <w:szCs w:val="20"/>
          <w:color w:val="auto"/>
        </w:rPr>
      </w:pPr>
    </w:p>
    <w:p>
      <w:pPr>
        <w:spacing w:after="0"/>
        <w:tabs>
          <w:tab w:leader="none" w:pos="5680" w:val="left"/>
          <w:tab w:leader="none" w:pos="8040" w:val="left"/>
        </w:tabs>
        <w:rPr>
          <w:sz w:val="20"/>
          <w:szCs w:val="20"/>
          <w:color w:val="auto"/>
        </w:rPr>
      </w:pPr>
      <w:r>
        <w:rPr>
          <w:rFonts w:ascii="Times New Roman" w:cs="Times New Roman" w:eastAsia="Times New Roman" w:hAnsi="Times New Roman"/>
          <w:sz w:val="18"/>
          <w:szCs w:val="18"/>
          <w:color w:val="auto"/>
        </w:rPr>
        <w:t>Date: May 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Kamran Alam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324040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4">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21"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Kamran Alam</w:t>
      </w:r>
    </w:p>
    <w:p>
      <w:pPr>
        <w:spacing w:after="0" w:line="9"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6" w:name="page47"/>
    <w:bookmarkEnd w:id="4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lowerLetter"/>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lvl w:ilvl="1">
      <w:lvlJc w:val="left"/>
      <w:lvlText w:val="%2"/>
      <w:numFmt w:val="decimal"/>
      <w:start w:val="104"/>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5" Type="http://schemas.openxmlformats.org/officeDocument/2006/relationships/image" Target="media/image203.png"/><Relationship Id="rId216" Type="http://schemas.openxmlformats.org/officeDocument/2006/relationships/image" Target="media/image204.png"/><Relationship Id="rId217" Type="http://schemas.openxmlformats.org/officeDocument/2006/relationships/image" Target="media/image205.png"/><Relationship Id="rId218" Type="http://schemas.openxmlformats.org/officeDocument/2006/relationships/image" Target="media/image206.png"/><Relationship Id="rId219" Type="http://schemas.openxmlformats.org/officeDocument/2006/relationships/image" Target="media/image207.png"/><Relationship Id="rId220" Type="http://schemas.openxmlformats.org/officeDocument/2006/relationships/image" Target="media/image208.png"/><Relationship Id="rId221" Type="http://schemas.openxmlformats.org/officeDocument/2006/relationships/image" Target="media/image209.png"/><Relationship Id="rId222" Type="http://schemas.openxmlformats.org/officeDocument/2006/relationships/image" Target="media/image210.png"/><Relationship Id="rId223" Type="http://schemas.openxmlformats.org/officeDocument/2006/relationships/image" Target="media/image211.png"/><Relationship Id="rId224" Type="http://schemas.openxmlformats.org/officeDocument/2006/relationships/image" Target="media/image212.png"/><Relationship Id="rId225" Type="http://schemas.openxmlformats.org/officeDocument/2006/relationships/image" Target="media/image213.png"/><Relationship Id="rId210" Type="http://schemas.openxmlformats.org/officeDocument/2006/relationships/hyperlink" Target="https://www.sec.gov/Archives/edgar/data/1806310/000119312520257858/d78879dex31.htm" TargetMode="External"/><Relationship Id="rId211" Type="http://schemas.openxmlformats.org/officeDocument/2006/relationships/hyperlink" Target="https://www.sec.gov/Archives/edgar/data/1806310/000119312520247565/d938924dex34.htm" TargetMode="External"/><Relationship Id="rId212" Type="http://schemas.openxmlformats.org/officeDocument/2006/relationships/hyperlink" Target="https://www.sec.gov/Archives/edgar/data/1806310/000119312523277914/d941656dex31.htm" TargetMode="External"/><Relationship Id="rId213" Type="http://schemas.openxmlformats.org/officeDocument/2006/relationships/hyperlink" Target="https://www.sec.gov/Archives/edgar/data/1806310/000119312525133745/d843671dex31.htm" TargetMode="External"/><Relationship Id="rId214" Type="http://schemas.openxmlformats.org/officeDocument/2006/relationships/hyperlink" Target="https://www.sec.gov/Archives/edgar/data/1806310/000119312525002868/d879414dex99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2026-05-06T07:34:32Z</dcterms:created>
  <dcterms:modified xsi:type="dcterms:W3CDTF">2026-05-06T07:34:32Z</dcterms:modified>
</cp:coreProperties>
</file>