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4" w:space="1" w:color="000000"/>
        </w:pBdr>
        <w:bidi w:val="0"/>
        <w:jc w:val="left"/>
        <w:rPr/>
      </w:pPr>
      <w:bookmarkStart w:id="0" w:name="tsha-20240331.htm"/>
      <w:bookmarkStart w:id="1" w:name="kstsha20240331"/>
      <w:bookmarkEnd w:id="0"/>
      <w:bookmarkEnd w:id="1"/>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120" w:after="283"/>
              <w:jc w:val="left"/>
              <w:rPr>
                <w:color w:val="000000"/>
              </w:rPr>
            </w:pPr>
            <w:r>
              <w:rPr>
                <w:color w:val="000000"/>
              </w:rPr>
              <w:t>☐</w:t>
            </w:r>
          </w:p>
        </w:tc>
        <w:tc>
          <w:tcPr>
            <w:tcW w:w="9874" w:type="dxa"/>
            <w:tcBorders/>
            <w:vAlign w:val="center"/>
          </w:tcPr>
          <w:p>
            <w:pPr>
              <w:pStyle w:val="TableContents"/>
              <w:bidi w:val="0"/>
              <w:spacing w:before="16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___________ to 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001-39536</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Taysha Gene Therapies,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262" w:type="dxa"/>
        <w:jc w:val="left"/>
        <w:tblInd w:w="0" w:type="dxa"/>
        <w:tblLayout w:type="fixed"/>
        <w:tblCellMar>
          <w:top w:w="28" w:type="dxa"/>
          <w:left w:w="28" w:type="dxa"/>
          <w:bottom w:w="28" w:type="dxa"/>
          <w:right w:w="28" w:type="dxa"/>
        </w:tblCellMar>
      </w:tblPr>
      <w:tblGrid>
        <w:gridCol w:w="3016"/>
        <w:gridCol w:w="1246"/>
      </w:tblGrid>
      <w:tr>
        <w:trPr/>
        <w:tc>
          <w:tcPr>
            <w:tcW w:w="301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84-3199512</w:t>
            </w:r>
          </w:p>
        </w:tc>
      </w:tr>
      <w:tr>
        <w:trPr/>
        <w:tc>
          <w:tcPr>
            <w:tcW w:w="3016" w:type="dxa"/>
            <w:tcBorders/>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016" w:type="dxa"/>
            <w:tcBorders/>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20"/>
              </w:rPr>
              <w:t>3000 Pegasus Park Drive</w:t>
            </w:r>
            <w:r>
              <w:rPr>
                <w:rFonts w:ascii="Times New Roman" w:hAnsi="Times New Roman"/>
                <w:color w:val="000000"/>
                <w:sz w:val="20"/>
              </w:rPr>
              <w:t xml:space="preserve"> </w:t>
            </w:r>
            <w:r>
              <w:rPr>
                <w:rFonts w:ascii="Times New Roman" w:hAnsi="Times New Roman"/>
                <w:b/>
                <w:color w:val="000000"/>
                <w:sz w:val="20"/>
              </w:rPr>
              <w:t>Ste 1430</w:t>
            </w:r>
          </w:p>
          <w:p>
            <w:pPr>
              <w:pStyle w:val="TableContents"/>
              <w:bidi w:val="0"/>
              <w:spacing w:before="0" w:after="15"/>
              <w:jc w:val="center"/>
              <w:rPr>
                <w:rFonts w:ascii="Times New Roman" w:hAnsi="Times New Roman"/>
                <w:sz w:val="20"/>
              </w:rPr>
            </w:pPr>
            <w:r>
              <w:rPr>
                <w:rFonts w:ascii="Times New Roman" w:hAnsi="Times New Roman"/>
                <w:b/>
                <w:color w:val="000000"/>
                <w:sz w:val="20"/>
              </w:rPr>
              <w:t>Dallas, Texas</w:t>
            </w:r>
            <w:r>
              <w:rPr>
                <w:rFonts w:ascii="Times New Roman" w:hAnsi="Times New Roman"/>
                <w:color w:val="000000"/>
                <w:sz w:val="20"/>
              </w:rPr>
              <w:t xml:space="preserve"> </w:t>
            </w:r>
          </w:p>
        </w:tc>
        <w:tc>
          <w:tcPr>
            <w:tcW w:w="124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75247</w:t>
            </w:r>
          </w:p>
        </w:tc>
      </w:tr>
      <w:tr>
        <w:trPr/>
        <w:tc>
          <w:tcPr>
            <w:tcW w:w="301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(214) 612-0000</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80" w:type="dxa"/>
        <w:jc w:val="left"/>
        <w:tblInd w:w="0" w:type="dxa"/>
        <w:tblLayout w:type="fixed"/>
        <w:tblCellMar>
          <w:top w:w="28" w:type="dxa"/>
          <w:left w:w="28" w:type="dxa"/>
          <w:bottom w:w="28" w:type="dxa"/>
          <w:right w:w="28" w:type="dxa"/>
        </w:tblCellMar>
      </w:tblPr>
      <w:tblGrid>
        <w:gridCol w:w="3346"/>
        <w:gridCol w:w="146"/>
        <w:gridCol w:w="826"/>
        <w:gridCol w:w="146"/>
        <w:gridCol w:w="3316"/>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4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TSHA</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56" w:type="dxa"/>
            <w:tcBorders/>
            <w:vAlign w:val="center"/>
          </w:tcPr>
          <w:p>
            <w:pPr>
              <w:pStyle w:val="TableContents"/>
              <w:bidi w:val="0"/>
              <w:spacing w:before="0" w:after="283"/>
              <w:jc w:val="left"/>
              <w:rPr/>
            </w:pPr>
            <w:r>
              <w:rPr/>
              <w:t> </w:t>
            </w:r>
          </w:p>
        </w:tc>
        <w:tc>
          <w:tcPr>
            <w:tcW w:w="462" w:type="dxa"/>
            <w:gridSpan w:val="2"/>
            <w:tcBorders/>
            <w:vAlign w:val="center"/>
          </w:tcPr>
          <w:p>
            <w:pPr>
              <w:pStyle w:val="TableContents"/>
              <w:bidi w:val="0"/>
              <w:spacing w:before="0" w:after="283"/>
              <w:jc w:val="left"/>
              <w:rPr/>
            </w:pPr>
            <w:r>
              <w:rPr/>
              <w:t> </w:t>
            </w:r>
          </w:p>
        </w:tc>
        <w:tc>
          <w:tcPr>
            <w:tcW w:w="2172" w:type="dxa"/>
            <w:gridSpan w:val="2"/>
            <w:tcBorders/>
            <w:vAlign w:val="center"/>
          </w:tcPr>
          <w:p>
            <w:pPr>
              <w:pStyle w:val="TableContents"/>
              <w:bidi w:val="0"/>
              <w:spacing w:before="0" w:after="283"/>
              <w:jc w:val="left"/>
              <w:rPr/>
            </w:pPr>
            <w:r>
              <w:rPr/>
              <w:t> </w:t>
            </w:r>
          </w:p>
        </w:tc>
        <w:tc>
          <w:tcPr>
            <w:tcW w:w="507" w:type="dxa"/>
            <w:gridSpan w:val="2"/>
            <w:tcBorders/>
            <w:vAlign w:val="center"/>
          </w:tcPr>
          <w:p>
            <w:pPr>
              <w:pStyle w:val="TableContents"/>
              <w:bidi w:val="0"/>
              <w:spacing w:before="0" w:after="283"/>
              <w:jc w:val="left"/>
              <w:rPr/>
            </w:pPr>
            <w:r>
              <w:rPr/>
              <w:t> </w:t>
            </w:r>
          </w:p>
        </w:tc>
      </w:tr>
      <w:tr>
        <w:trPr/>
        <w:tc>
          <w:tcPr>
            <w:tcW w:w="205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05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As of May 14, 2024, the registrant had 187,018,275</w:t>
      </w:r>
      <w:r>
        <w:rPr>
          <w:rFonts w:ascii="Times New Roman" w:hAnsi="Times New Roman"/>
          <w:color w:val="000000"/>
          <w:sz w:val="20"/>
        </w:rPr>
        <w:t xml:space="preserve"> </w:t>
      </w:r>
      <w:r>
        <w:rPr>
          <w:rFonts w:ascii="Times New Roman" w:hAnsi="Times New Roman"/>
          <w:color w:val="000000"/>
          <w:sz w:val="18"/>
        </w:rPr>
        <w:t>shares of common stock, $0.00001 par value per share, outstanding.</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00" w:type="dxa"/>
        <w:jc w:val="left"/>
        <w:tblInd w:w="0" w:type="dxa"/>
        <w:tblLayout w:type="fixed"/>
        <w:tblCellMar>
          <w:top w:w="28" w:type="dxa"/>
          <w:left w:w="28" w:type="dxa"/>
          <w:bottom w:w="28" w:type="dxa"/>
          <w:right w:w="28" w:type="dxa"/>
        </w:tblCellMar>
      </w:tblPr>
      <w:tblGrid>
        <w:gridCol w:w="886"/>
        <w:gridCol w:w="7366"/>
        <w:gridCol w:w="64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137"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Condensed Consolidated Financial Statements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Balance Sheets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Statements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stockh">
              <w:r>
                <w:rPr>
                  <w:rStyle w:val="InternetLink"/>
                  <w:rFonts w:ascii="Times New Roman" w:hAnsi="Times New Roman"/>
                  <w:color w:val="0000FF"/>
                  <w:sz w:val="20"/>
                  <w:u w:val="single"/>
                </w:rPr>
                <w:t>Statements of Stockholders’ (Deficit) Equity</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Statements of Cash Flows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_1organization_description_business_">
              <w:r>
                <w:rPr>
                  <w:rStyle w:val="InternetLink"/>
                  <w:rFonts w:ascii="Times New Roman" w:hAnsi="Times New Roman"/>
                  <w:color w:val="0000FF"/>
                  <w:sz w:val="20"/>
                  <w:u w:val="single"/>
                </w:rPr>
                <w:t>Notes to Financial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Taysha Gene Therapies,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215"/>
        <w:gridCol w:w="146"/>
        <w:gridCol w:w="211"/>
        <w:gridCol w:w="841"/>
        <w:gridCol w:w="166"/>
        <w:gridCol w:w="146"/>
        <w:gridCol w:w="214"/>
        <w:gridCol w:w="854"/>
        <w:gridCol w:w="412"/>
      </w:tblGrid>
      <w:tr>
        <w:trPr/>
        <w:tc>
          <w:tcPr>
            <w:tcW w:w="72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72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8" w:type="dxa"/>
            <w:gridSpan w:val="2"/>
            <w:tcBorders/>
            <w:shd w:fill="FFFFFF" w:val="clear"/>
            <w:vAlign w:val="center"/>
          </w:tcPr>
          <w:p>
            <w:pPr>
              <w:pStyle w:val="TableContents"/>
              <w:bidi w:val="0"/>
              <w:spacing w:before="0" w:after="283"/>
              <w:jc w:val="center"/>
              <w:rPr/>
            </w:pPr>
            <w:r>
              <w:rPr/>
              <w:t> </w:t>
            </w:r>
          </w:p>
        </w:tc>
        <w:tc>
          <w:tcPr>
            <w:tcW w:w="412" w:type="dxa"/>
            <w:tcBorders/>
            <w:shd w:fill="FFFFFF" w:val="clear"/>
            <w:vAlign w:val="center"/>
          </w:tcPr>
          <w:p>
            <w:pPr>
              <w:pStyle w:val="TableContents"/>
              <w:bidi w:val="0"/>
              <w:spacing w:before="0" w:after="283"/>
              <w:jc w:val="center"/>
              <w:rPr/>
            </w:pPr>
            <w:r>
              <w:rPr/>
              <w:t> </w:t>
            </w:r>
          </w:p>
        </w:tc>
      </w:tr>
      <w:tr>
        <w:trPr/>
        <w:tc>
          <w:tcPr>
            <w:tcW w:w="72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8" w:type="dxa"/>
            <w:gridSpan w:val="2"/>
            <w:tcBorders/>
            <w:shd w:fill="CFF0FC" w:val="clear"/>
            <w:vAlign w:val="center"/>
          </w:tcPr>
          <w:p>
            <w:pPr>
              <w:pStyle w:val="TableContents"/>
              <w:bidi w:val="0"/>
              <w:spacing w:before="0" w:after="283"/>
              <w:jc w:val="right"/>
              <w:rPr/>
            </w:pPr>
            <w:r>
              <w:rPr/>
              <w:t> </w:t>
            </w:r>
          </w:p>
        </w:tc>
        <w:tc>
          <w:tcPr>
            <w:tcW w:w="412" w:type="dxa"/>
            <w:tcBorders/>
            <w:shd w:fill="CFF0FC" w:val="clear"/>
            <w:vAlign w:val="center"/>
          </w:tcPr>
          <w:p>
            <w:pPr>
              <w:pStyle w:val="TableContents"/>
              <w:bidi w:val="0"/>
              <w:spacing w:before="0" w:after="283"/>
              <w:jc w:val="right"/>
              <w:rPr/>
            </w:pPr>
            <w:r>
              <w:rPr/>
              <w:t> </w:t>
            </w:r>
          </w:p>
        </w:tc>
      </w:tr>
      <w:tr>
        <w:trPr/>
        <w:tc>
          <w:tcPr>
            <w:tcW w:w="72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shd w:fill="FFFFFF" w:val="clear"/>
            <w:vAlign w:val="center"/>
          </w:tcPr>
          <w:p>
            <w:pPr>
              <w:pStyle w:val="TableContents"/>
              <w:bidi w:val="0"/>
              <w:spacing w:before="0" w:after="283"/>
              <w:jc w:val="right"/>
              <w:rPr/>
            </w:pPr>
            <w:r>
              <w:rPr/>
              <w:t> </w:t>
            </w:r>
          </w:p>
        </w:tc>
        <w:tc>
          <w:tcPr>
            <w:tcW w:w="412" w:type="dxa"/>
            <w:tcBorders/>
            <w:shd w:fill="FFFFFF" w:val="clear"/>
            <w:vAlign w:val="center"/>
          </w:tcPr>
          <w:p>
            <w:pPr>
              <w:pStyle w:val="TableContents"/>
              <w:bidi w:val="0"/>
              <w:spacing w:before="0" w:after="283"/>
              <w:ind w:left="0" w:right="0" w:firstLine="200"/>
              <w:jc w:val="right"/>
              <w:rPr/>
            </w:pPr>
            <w:r>
              <w:rPr/>
              <w:t> </w:t>
            </w:r>
          </w:p>
        </w:tc>
      </w:tr>
      <w:tr>
        <w:trPr/>
        <w:tc>
          <w:tcPr>
            <w:tcW w:w="72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143,940</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721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72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721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149,868</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412" w:type="dxa"/>
            <w:tcBorders/>
            <w:shd w:fill="FFFFFF" w:val="clear"/>
            <w:vAlign w:val="center"/>
          </w:tcPr>
          <w:p>
            <w:pPr>
              <w:pStyle w:val="TableContents"/>
              <w:bidi w:val="0"/>
              <w:spacing w:before="0" w:after="283"/>
              <w:jc w:val="left"/>
              <w:rPr/>
            </w:pPr>
            <w:r>
              <w:rPr/>
              <w:t> </w:t>
            </w:r>
          </w:p>
        </w:tc>
      </w:tr>
      <w:tr>
        <w:trPr/>
        <w:tc>
          <w:tcPr>
            <w:tcW w:w="7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10,826</w:t>
            </w:r>
          </w:p>
        </w:tc>
        <w:tc>
          <w:tcPr>
            <w:tcW w:w="412" w:type="dxa"/>
            <w:tcBorders/>
            <w:shd w:fill="CFF0FC" w:val="clear"/>
            <w:vAlign w:val="center"/>
          </w:tcPr>
          <w:p>
            <w:pPr>
              <w:pStyle w:val="TableContents"/>
              <w:bidi w:val="0"/>
              <w:spacing w:before="0" w:after="283"/>
              <w:jc w:val="left"/>
              <w:rPr/>
            </w:pPr>
            <w:r>
              <w:rPr/>
              <w:t> </w:t>
            </w:r>
          </w:p>
        </w:tc>
      </w:tr>
      <w:tr>
        <w:trPr/>
        <w:tc>
          <w:tcPr>
            <w:tcW w:w="72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9,582</w:t>
            </w:r>
          </w:p>
        </w:tc>
        <w:tc>
          <w:tcPr>
            <w:tcW w:w="412" w:type="dxa"/>
            <w:tcBorders/>
            <w:shd w:fill="FFFFFF" w:val="clear"/>
            <w:vAlign w:val="center"/>
          </w:tcPr>
          <w:p>
            <w:pPr>
              <w:pStyle w:val="TableContents"/>
              <w:bidi w:val="0"/>
              <w:spacing w:before="0" w:after="283"/>
              <w:jc w:val="left"/>
              <w:rPr/>
            </w:pPr>
            <w:r>
              <w:rPr/>
              <w:t> </w:t>
            </w:r>
          </w:p>
        </w:tc>
      </w:tr>
      <w:tr>
        <w:trPr/>
        <w:tc>
          <w:tcPr>
            <w:tcW w:w="7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152,999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172,731</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8" w:type="dxa"/>
            <w:gridSpan w:val="2"/>
            <w:tcBorders/>
            <w:shd w:fill="CFF0FC" w:val="clear"/>
            <w:vAlign w:val="center"/>
          </w:tcPr>
          <w:p>
            <w:pPr>
              <w:pStyle w:val="TableContents"/>
              <w:bidi w:val="0"/>
              <w:spacing w:before="0" w:after="283"/>
              <w:jc w:val="right"/>
              <w:rPr/>
            </w:pPr>
            <w:r>
              <w:rPr/>
              <w:t> </w:t>
            </w:r>
          </w:p>
        </w:tc>
        <w:tc>
          <w:tcPr>
            <w:tcW w:w="412" w:type="dxa"/>
            <w:tcBorders/>
            <w:shd w:fill="CFF0FC" w:val="clear"/>
            <w:vAlign w:val="center"/>
          </w:tcPr>
          <w:p>
            <w:pPr>
              <w:pStyle w:val="TableContents"/>
              <w:bidi w:val="0"/>
              <w:spacing w:before="0" w:after="283"/>
              <w:jc w:val="right"/>
              <w:rPr/>
            </w:pPr>
            <w:r>
              <w:rPr/>
              <w:t> </w:t>
            </w:r>
          </w:p>
        </w:tc>
      </w:tr>
      <w:tr>
        <w:trPr/>
        <w:tc>
          <w:tcPr>
            <w:tcW w:w="72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shd w:fill="FFFFFF" w:val="clear"/>
            <w:vAlign w:val="center"/>
          </w:tcPr>
          <w:p>
            <w:pPr>
              <w:pStyle w:val="TableContents"/>
              <w:bidi w:val="0"/>
              <w:spacing w:before="0" w:after="283"/>
              <w:jc w:val="right"/>
              <w:rPr/>
            </w:pPr>
            <w:r>
              <w:rPr/>
              <w:t> </w:t>
            </w:r>
          </w:p>
        </w:tc>
        <w:tc>
          <w:tcPr>
            <w:tcW w:w="412" w:type="dxa"/>
            <w:tcBorders/>
            <w:shd w:fill="FFFFFF" w:val="clear"/>
            <w:vAlign w:val="center"/>
          </w:tcPr>
          <w:p>
            <w:pPr>
              <w:pStyle w:val="TableContents"/>
              <w:bidi w:val="0"/>
              <w:spacing w:before="0" w:after="283"/>
              <w:ind w:left="0" w:right="0" w:firstLine="200"/>
              <w:jc w:val="right"/>
              <w:rPr/>
            </w:pPr>
            <w:r>
              <w:rPr/>
              <w:t> </w:t>
            </w:r>
          </w:p>
        </w:tc>
      </w:tr>
      <w:tr>
        <w:trPr/>
        <w:tc>
          <w:tcPr>
            <w:tcW w:w="72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6,366</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721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12,284</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721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18,106</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36,756</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40,508</w:t>
            </w:r>
          </w:p>
        </w:tc>
        <w:tc>
          <w:tcPr>
            <w:tcW w:w="412" w:type="dxa"/>
            <w:tcBorders/>
            <w:shd w:fill="CFF0FC" w:val="clear"/>
            <w:vAlign w:val="center"/>
          </w:tcPr>
          <w:p>
            <w:pPr>
              <w:pStyle w:val="TableContents"/>
              <w:bidi w:val="0"/>
              <w:spacing w:before="0" w:after="283"/>
              <w:jc w:val="left"/>
              <w:rPr/>
            </w:pPr>
            <w:r>
              <w:rPr/>
              <w:t> </w:t>
            </w:r>
          </w:p>
        </w:tc>
      </w:tr>
      <w:tr>
        <w:trPr/>
        <w:tc>
          <w:tcPr>
            <w:tcW w:w="72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18,953</w:t>
            </w:r>
          </w:p>
        </w:tc>
        <w:tc>
          <w:tcPr>
            <w:tcW w:w="412" w:type="dxa"/>
            <w:tcBorders/>
            <w:shd w:fill="FFFFFF" w:val="clear"/>
            <w:vAlign w:val="center"/>
          </w:tcPr>
          <w:p>
            <w:pPr>
              <w:pStyle w:val="TableContents"/>
              <w:bidi w:val="0"/>
              <w:spacing w:before="0" w:after="283"/>
              <w:jc w:val="left"/>
              <w:rPr/>
            </w:pPr>
            <w:r>
              <w:rPr/>
              <w:t> </w:t>
            </w:r>
          </w:p>
        </w:tc>
      </w:tr>
      <w:tr>
        <w:trPr/>
        <w:tc>
          <w:tcPr>
            <w:tcW w:w="7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97,794</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 - Note 13</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8" w:type="dxa"/>
            <w:gridSpan w:val="2"/>
            <w:tcBorders/>
            <w:shd w:fill="CFF0FC" w:val="clear"/>
            <w:vAlign w:val="center"/>
          </w:tcPr>
          <w:p>
            <w:pPr>
              <w:pStyle w:val="TableContents"/>
              <w:bidi w:val="0"/>
              <w:spacing w:before="0" w:after="283"/>
              <w:jc w:val="right"/>
              <w:rPr/>
            </w:pPr>
            <w:r>
              <w:rPr/>
              <w:t> </w:t>
            </w:r>
          </w:p>
        </w:tc>
        <w:tc>
          <w:tcPr>
            <w:tcW w:w="412" w:type="dxa"/>
            <w:tcBorders/>
            <w:shd w:fill="CFF0FC" w:val="clear"/>
            <w:vAlign w:val="center"/>
          </w:tcPr>
          <w:p>
            <w:pPr>
              <w:pStyle w:val="TableContents"/>
              <w:bidi w:val="0"/>
              <w:spacing w:before="0" w:after="283"/>
              <w:jc w:val="right"/>
              <w:rPr/>
            </w:pPr>
            <w:r>
              <w:rPr/>
              <w:t> </w:t>
            </w:r>
          </w:p>
        </w:tc>
      </w:tr>
      <w:tr>
        <w:trPr/>
        <w:tc>
          <w:tcPr>
            <w:tcW w:w="721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shd w:fill="FFFFFF" w:val="clear"/>
            <w:vAlign w:val="center"/>
          </w:tcPr>
          <w:p>
            <w:pPr>
              <w:pStyle w:val="TableContents"/>
              <w:bidi w:val="0"/>
              <w:spacing w:before="0" w:after="283"/>
              <w:jc w:val="right"/>
              <w:rPr/>
            </w:pPr>
            <w:r>
              <w:rPr/>
              <w:t> </w:t>
            </w:r>
          </w:p>
        </w:tc>
        <w:tc>
          <w:tcPr>
            <w:tcW w:w="412" w:type="dxa"/>
            <w:tcBorders/>
            <w:shd w:fill="FFFFFF" w:val="clear"/>
            <w:vAlign w:val="center"/>
          </w:tcPr>
          <w:p>
            <w:pPr>
              <w:pStyle w:val="TableContents"/>
              <w:bidi w:val="0"/>
              <w:spacing w:before="0" w:after="283"/>
              <w:jc w:val="right"/>
              <w:rPr/>
            </w:pPr>
            <w:r>
              <w:rPr/>
              <w:t> </w:t>
            </w:r>
          </w:p>
        </w:tc>
      </w:tr>
      <w:tr>
        <w:trPr/>
        <w:tc>
          <w:tcPr>
            <w:tcW w:w="7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$0.00001 par value per share; 10,000,000 shares authorized and no shares issued and outstanding as of March 31, 2024 and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color w:val="000000"/>
              </w:rPr>
            </w:pPr>
            <w:r>
              <w:rPr>
                <w:color w:val="000000"/>
              </w:rPr>
              <w:t>—</w:t>
            </w:r>
          </w:p>
        </w:tc>
        <w:tc>
          <w:tcPr>
            <w:tcW w:w="412" w:type="dxa"/>
            <w:tcBorders/>
            <w:shd w:fill="CFF0FC" w:val="clear"/>
            <w:vAlign w:val="center"/>
          </w:tcPr>
          <w:p>
            <w:pPr>
              <w:pStyle w:val="TableContents"/>
              <w:bidi w:val="0"/>
              <w:spacing w:before="0" w:after="283"/>
              <w:jc w:val="left"/>
              <w:rPr/>
            </w:pPr>
            <w:r>
              <w:rPr/>
              <w:t> </w:t>
            </w:r>
          </w:p>
        </w:tc>
      </w:tr>
      <w:tr>
        <w:trPr/>
        <w:tc>
          <w:tcPr>
            <w:tcW w:w="72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$0.00001 par value per share; 400,000,000 shares authorized and 187,018,275 and 186,960,193 issued and outstanding as of March 31,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2" w:type="dxa"/>
            <w:tcBorders/>
            <w:shd w:fill="FFFFFF" w:val="clear"/>
            <w:vAlign w:val="center"/>
          </w:tcPr>
          <w:p>
            <w:pPr>
              <w:pStyle w:val="TableContents"/>
              <w:bidi w:val="0"/>
              <w:spacing w:before="0" w:after="283"/>
              <w:jc w:val="left"/>
              <w:rPr/>
            </w:pPr>
            <w:r>
              <w:rPr/>
              <w:t> </w:t>
            </w:r>
          </w:p>
        </w:tc>
      </w:tr>
      <w:tr>
        <w:trPr/>
        <w:tc>
          <w:tcPr>
            <w:tcW w:w="7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591,166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587,942</w:t>
            </w:r>
          </w:p>
        </w:tc>
        <w:tc>
          <w:tcPr>
            <w:tcW w:w="412" w:type="dxa"/>
            <w:tcBorders/>
            <w:shd w:fill="CFF0FC" w:val="clear"/>
            <w:vAlign w:val="center"/>
          </w:tcPr>
          <w:p>
            <w:pPr>
              <w:pStyle w:val="TableContents"/>
              <w:bidi w:val="0"/>
              <w:spacing w:before="0" w:after="283"/>
              <w:jc w:val="left"/>
              <w:rPr/>
            </w:pPr>
            <w:r>
              <w:rPr/>
              <w:t> </w:t>
            </w:r>
          </w:p>
        </w:tc>
      </w:tr>
      <w:tr>
        <w:trPr/>
        <w:tc>
          <w:tcPr>
            <w:tcW w:w="72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color w:val="000000"/>
              </w:rPr>
            </w:pPr>
            <w:r>
              <w:rPr>
                <w:color w:val="000000"/>
              </w:rPr>
              <w:t>—</w:t>
            </w:r>
          </w:p>
        </w:tc>
        <w:tc>
          <w:tcPr>
            <w:tcW w:w="412" w:type="dxa"/>
            <w:tcBorders/>
            <w:shd w:fill="FFFFFF" w:val="clear"/>
            <w:vAlign w:val="center"/>
          </w:tcPr>
          <w:p>
            <w:pPr>
              <w:pStyle w:val="TableContents"/>
              <w:bidi w:val="0"/>
              <w:spacing w:before="0" w:after="283"/>
              <w:jc w:val="left"/>
              <w:rPr/>
            </w:pPr>
            <w:r>
              <w:rPr/>
              <w:t> </w:t>
            </w:r>
          </w:p>
        </w:tc>
      </w:tr>
      <w:tr>
        <w:trPr/>
        <w:tc>
          <w:tcPr>
            <w:tcW w:w="7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(513,007</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1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74,937</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152,999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172,731</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Taysha Gene Therapies,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statements_operat"/>
      <w:bookmarkEnd w:id="5"/>
      <w:r>
        <w:rPr>
          <w:rFonts w:ascii="Times New Roman" w:hAnsi="Times New Roman"/>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center"/>
        <w:rPr/>
      </w:pPr>
      <w:r>
        <w:rPr/>
        <w:t> </w:t>
      </w:r>
    </w:p>
    <w:tbl>
      <w:tblPr>
        <w:tblW w:w="8854" w:type="dxa"/>
        <w:jc w:val="left"/>
        <w:tblInd w:w="0" w:type="dxa"/>
        <w:tblLayout w:type="fixed"/>
        <w:tblCellMar>
          <w:top w:w="28" w:type="dxa"/>
          <w:left w:w="28" w:type="dxa"/>
          <w:bottom w:w="28" w:type="dxa"/>
          <w:right w:w="28" w:type="dxa"/>
        </w:tblCellMar>
      </w:tblPr>
      <w:tblGrid>
        <w:gridCol w:w="5386"/>
        <w:gridCol w:w="146"/>
        <w:gridCol w:w="211"/>
        <w:gridCol w:w="1141"/>
        <w:gridCol w:w="166"/>
        <w:gridCol w:w="146"/>
        <w:gridCol w:w="211"/>
        <w:gridCol w:w="1036"/>
        <w:gridCol w:w="411"/>
      </w:tblGrid>
      <w:tr>
        <w:trPr/>
        <w:tc>
          <w:tcPr>
            <w:tcW w:w="5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w:t>
            </w:r>
          </w:p>
        </w:tc>
        <w:tc>
          <w:tcPr>
            <w:tcW w:w="411" w:type="dxa"/>
            <w:tcBorders/>
            <w:shd w:fill="CFF0FC" w:val="clear"/>
            <w:vAlign w:val="center"/>
          </w:tcPr>
          <w:p>
            <w:pPr>
              <w:pStyle w:val="TableContents"/>
              <w:bidi w:val="0"/>
              <w:spacing w:before="0" w:after="283"/>
              <w:jc w:val="left"/>
              <w:rPr/>
            </w:pPr>
            <w:r>
              <w:rPr/>
              <w:t> </w:t>
            </w:r>
          </w:p>
        </w:tc>
      </w:tr>
      <w:tr>
        <w:trPr/>
        <w:tc>
          <w:tcPr>
            <w:tcW w:w="53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ind w:left="0" w:right="0" w:firstLine="200"/>
              <w:jc w:val="center"/>
              <w:rPr/>
            </w:pPr>
            <w:r>
              <w:rPr/>
              <w:t> </w:t>
            </w:r>
          </w:p>
        </w:tc>
      </w:tr>
      <w:tr>
        <w:trPr/>
        <w:tc>
          <w:tcPr>
            <w:tcW w:w="53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3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3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3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term loan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3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3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(17,622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231,249,344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63,260,905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Taysha Gene Therapies,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ensed_consolidated_statements_oper_1"/>
      <w:bookmarkEnd w:id="6"/>
      <w:r>
        <w:rPr>
          <w:rFonts w:ascii="Times New Roman" w:hAnsi="Times New Roman"/>
          <w:b/>
          <w:color w:val="000000"/>
          <w:sz w:val="20"/>
        </w:rPr>
        <w:t>Condensed Consolidated Statements of Comprehensive Loss</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88"/>
        <w:gridCol w:w="146"/>
        <w:gridCol w:w="284"/>
        <w:gridCol w:w="994"/>
        <w:gridCol w:w="223"/>
        <w:gridCol w:w="196"/>
        <w:gridCol w:w="284"/>
        <w:gridCol w:w="994"/>
        <w:gridCol w:w="396"/>
      </w:tblGrid>
      <w:tr>
        <w:trPr/>
        <w:tc>
          <w:tcPr>
            <w:tcW w:w="6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668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8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8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(24,061</w:t>
            </w:r>
          </w:p>
        </w:tc>
        <w:tc>
          <w:tcPr>
            <w:tcW w:w="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(17,622</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8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loss:</w:t>
            </w:r>
          </w:p>
        </w:tc>
        <w:tc>
          <w:tcPr>
            <w:tcW w:w="146" w:type="dxa"/>
            <w:tcBorders/>
            <w:shd w:fill="FFFFFF" w:val="clear"/>
            <w:vAlign w:val="center"/>
          </w:tcPr>
          <w:p>
            <w:pPr>
              <w:pStyle w:val="TableContents"/>
              <w:bidi w:val="0"/>
              <w:spacing w:before="0" w:after="283"/>
              <w:jc w:val="left"/>
              <w:rPr/>
            </w:pPr>
            <w:r>
              <w:rPr/>
              <w:t> </w:t>
            </w:r>
          </w:p>
        </w:tc>
        <w:tc>
          <w:tcPr>
            <w:tcW w:w="1278" w:type="dxa"/>
            <w:gridSpan w:val="2"/>
            <w:tcBorders/>
            <w:shd w:fill="FFFFFF" w:val="clear"/>
            <w:vAlign w:val="center"/>
          </w:tcPr>
          <w:p>
            <w:pPr>
              <w:pStyle w:val="TableContents"/>
              <w:bidi w:val="0"/>
              <w:spacing w:before="0" w:after="283"/>
              <w:jc w:val="center"/>
              <w:rPr/>
            </w:pPr>
            <w:r>
              <w:rPr/>
              <w:t> </w:t>
            </w:r>
          </w:p>
        </w:tc>
        <w:tc>
          <w:tcPr>
            <w:tcW w:w="223"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1278" w:type="dxa"/>
            <w:gridSpan w:val="2"/>
            <w:tcBorders/>
            <w:shd w:fill="FFFFFF" w:val="clear"/>
            <w:vAlign w:val="center"/>
          </w:tcPr>
          <w:p>
            <w:pPr>
              <w:pStyle w:val="TableContents"/>
              <w:bidi w:val="0"/>
              <w:spacing w:before="0" w:after="283"/>
              <w:jc w:val="center"/>
              <w:rPr/>
            </w:pPr>
            <w:r>
              <w:rPr/>
              <w:t> </w:t>
            </w:r>
          </w:p>
        </w:tc>
        <w:tc>
          <w:tcPr>
            <w:tcW w:w="396" w:type="dxa"/>
            <w:tcBorders/>
            <w:shd w:fill="FFFFFF" w:val="clear"/>
            <w:vAlign w:val="center"/>
          </w:tcPr>
          <w:p>
            <w:pPr>
              <w:pStyle w:val="TableContents"/>
              <w:bidi w:val="0"/>
              <w:spacing w:before="0" w:after="283"/>
              <w:ind w:left="0" w:right="0" w:firstLine="200"/>
              <w:jc w:val="center"/>
              <w:rPr/>
            </w:pPr>
            <w:r>
              <w:rPr/>
              <w:t> </w:t>
            </w:r>
          </w:p>
        </w:tc>
      </w:tr>
      <w:tr>
        <w:trPr/>
        <w:tc>
          <w:tcPr>
            <w:tcW w:w="668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terms loan attributable to instrument specific credit risk</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8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(24,312</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(17,622</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Taysha Gene Therapies,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atements_stockh"/>
      <w:bookmarkEnd w:id="7"/>
      <w:r>
        <w:rPr>
          <w:rFonts w:ascii="Times New Roman" w:hAnsi="Times New Roman"/>
          <w:b/>
          <w:color w:val="000000"/>
          <w:sz w:val="20"/>
        </w:rPr>
        <w:t>Condensed Consolidated Statements of Stockholders’ (Deficit)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March 31, 2024</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442"/>
        <w:gridCol w:w="146"/>
        <w:gridCol w:w="146"/>
        <w:gridCol w:w="1006"/>
        <w:gridCol w:w="146"/>
        <w:gridCol w:w="146"/>
        <w:gridCol w:w="228"/>
        <w:gridCol w:w="403"/>
        <w:gridCol w:w="146"/>
        <w:gridCol w:w="146"/>
        <w:gridCol w:w="196"/>
        <w:gridCol w:w="691"/>
        <w:gridCol w:w="146"/>
        <w:gridCol w:w="146"/>
        <w:gridCol w:w="196"/>
        <w:gridCol w:w="751"/>
        <w:gridCol w:w="166"/>
        <w:gridCol w:w="146"/>
        <w:gridCol w:w="428"/>
        <w:gridCol w:w="750"/>
        <w:gridCol w:w="166"/>
        <w:gridCol w:w="146"/>
        <w:gridCol w:w="252"/>
        <w:gridCol w:w="857"/>
        <w:gridCol w:w="213"/>
      </w:tblGrid>
      <w:tr>
        <w:trPr/>
        <w:tc>
          <w:tcPr>
            <w:tcW w:w="2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8"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9" w:type="dxa"/>
            <w:gridSpan w:val="2"/>
            <w:tcBorders/>
            <w:shd w:fill="FFFFFF" w:val="cle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center"/>
              <w:rPr/>
            </w:pPr>
            <w:r>
              <w:rPr/>
              <w:t> </w:t>
            </w:r>
          </w:p>
        </w:tc>
      </w:tr>
      <w:tr>
        <w:trPr/>
        <w:tc>
          <w:tcPr>
            <w:tcW w:w="24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8"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9"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3" w:type="dxa"/>
            <w:tcBorders/>
            <w:shd w:fill="FFFFFF" w:val="clear"/>
            <w:vAlign w:val="center"/>
          </w:tcPr>
          <w:p>
            <w:pPr>
              <w:pStyle w:val="TableContents"/>
              <w:bidi w:val="0"/>
              <w:spacing w:before="0" w:after="283"/>
              <w:jc w:val="center"/>
              <w:rPr/>
            </w:pPr>
            <w:r>
              <w:rPr/>
              <w:t> </w:t>
            </w:r>
          </w:p>
        </w:tc>
      </w:tr>
      <w:tr>
        <w:trPr/>
        <w:tc>
          <w:tcPr>
            <w:tcW w:w="24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2"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186,960,193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03"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587,942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(513,007</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42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57"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74,937</w:t>
            </w:r>
          </w:p>
        </w:tc>
        <w:tc>
          <w:tcPr>
            <w:tcW w:w="213" w:type="dxa"/>
            <w:tcBorders/>
            <w:shd w:fill="CFF0FC" w:val="clear"/>
            <w:vAlign w:val="center"/>
          </w:tcPr>
          <w:p>
            <w:pPr>
              <w:pStyle w:val="TableContents"/>
              <w:bidi w:val="0"/>
              <w:spacing w:before="0" w:after="283"/>
              <w:jc w:val="left"/>
              <w:rPr/>
            </w:pPr>
            <w:r>
              <w:rPr/>
              <w:t> </w:t>
            </w:r>
          </w:p>
        </w:tc>
      </w:tr>
      <w:tr>
        <w:trPr/>
        <w:tc>
          <w:tcPr>
            <w:tcW w:w="24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8"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3,198</w:t>
            </w:r>
          </w:p>
        </w:tc>
        <w:tc>
          <w:tcPr>
            <w:tcW w:w="213" w:type="dxa"/>
            <w:tcBorders/>
            <w:shd w:fill="FFFFFF" w:val="clear"/>
            <w:vAlign w:val="center"/>
          </w:tcPr>
          <w:p>
            <w:pPr>
              <w:pStyle w:val="TableContents"/>
              <w:bidi w:val="0"/>
              <w:spacing w:before="0" w:after="283"/>
              <w:jc w:val="left"/>
              <w:rPr/>
            </w:pPr>
            <w:r>
              <w:rPr/>
              <w:t> </w:t>
            </w:r>
          </w:p>
        </w:tc>
      </w:tr>
      <w:tr>
        <w:trPr/>
        <w:tc>
          <w:tcPr>
            <w:tcW w:w="24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vesting and settlement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8"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24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8"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13" w:type="dxa"/>
            <w:tcBorders/>
            <w:shd w:fill="FFFFFF" w:val="clear"/>
            <w:vAlign w:val="center"/>
          </w:tcPr>
          <w:p>
            <w:pPr>
              <w:pStyle w:val="TableContents"/>
              <w:bidi w:val="0"/>
              <w:spacing w:before="0" w:after="283"/>
              <w:jc w:val="left"/>
              <w:rPr/>
            </w:pPr>
            <w:r>
              <w:rPr/>
              <w:t> </w:t>
            </w:r>
          </w:p>
        </w:tc>
      </w:tr>
      <w:tr>
        <w:trPr/>
        <w:tc>
          <w:tcPr>
            <w:tcW w:w="24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on instrument-specific credit risk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8"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21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(24,061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42"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187,018,275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591,166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(537,068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53,849</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March 31, 2023</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639"/>
        <w:gridCol w:w="146"/>
        <w:gridCol w:w="146"/>
        <w:gridCol w:w="916"/>
        <w:gridCol w:w="146"/>
        <w:gridCol w:w="146"/>
        <w:gridCol w:w="228"/>
        <w:gridCol w:w="403"/>
        <w:gridCol w:w="146"/>
        <w:gridCol w:w="146"/>
        <w:gridCol w:w="196"/>
        <w:gridCol w:w="691"/>
        <w:gridCol w:w="146"/>
        <w:gridCol w:w="146"/>
        <w:gridCol w:w="196"/>
        <w:gridCol w:w="751"/>
        <w:gridCol w:w="166"/>
        <w:gridCol w:w="146"/>
        <w:gridCol w:w="501"/>
        <w:gridCol w:w="706"/>
        <w:gridCol w:w="146"/>
        <w:gridCol w:w="146"/>
        <w:gridCol w:w="227"/>
        <w:gridCol w:w="767"/>
        <w:gridCol w:w="212"/>
      </w:tblGrid>
      <w:tr>
        <w:trPr/>
        <w:tc>
          <w:tcPr>
            <w:tcW w:w="2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63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4" w:type="dxa"/>
            <w:gridSpan w:val="2"/>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center"/>
              <w:rPr/>
            </w:pPr>
            <w:r>
              <w:rPr/>
              <w:t> </w:t>
            </w:r>
          </w:p>
        </w:tc>
      </w:tr>
      <w:tr>
        <w:trPr/>
        <w:tc>
          <w:tcPr>
            <w:tcW w:w="263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4"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2" w:type="dxa"/>
            <w:tcBorders/>
            <w:shd w:fill="FFFFFF" w:val="clear"/>
            <w:vAlign w:val="center"/>
          </w:tcPr>
          <w:p>
            <w:pPr>
              <w:pStyle w:val="TableContents"/>
              <w:bidi w:val="0"/>
              <w:spacing w:before="0" w:after="283"/>
              <w:jc w:val="center"/>
              <w:rPr/>
            </w:pPr>
            <w:r>
              <w:rPr/>
              <w:t> </w:t>
            </w:r>
          </w:p>
        </w:tc>
      </w:tr>
      <w:tr>
        <w:trPr/>
        <w:tc>
          <w:tcPr>
            <w:tcW w:w="263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4"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w:t>
            </w:r>
          </w:p>
        </w:tc>
        <w:tc>
          <w:tcPr>
            <w:tcW w:w="212" w:type="dxa"/>
            <w:tcBorders/>
            <w:shd w:fill="FFFFFF" w:val="clear"/>
            <w:vAlign w:val="center"/>
          </w:tcPr>
          <w:p>
            <w:pPr>
              <w:pStyle w:val="TableContents"/>
              <w:bidi w:val="0"/>
              <w:spacing w:before="0" w:after="283"/>
              <w:jc w:val="center"/>
              <w:rPr/>
            </w:pPr>
            <w:r>
              <w:rPr/>
              <w:t> </w:t>
            </w:r>
          </w:p>
        </w:tc>
      </w:tr>
      <w:tr>
        <w:trPr/>
        <w:tc>
          <w:tcPr>
            <w:tcW w:w="263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Comprehensive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 (Deficit)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9"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63,207,507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03"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402,389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(401,441</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50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67"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949</w:t>
            </w:r>
          </w:p>
        </w:tc>
        <w:tc>
          <w:tcPr>
            <w:tcW w:w="212" w:type="dxa"/>
            <w:tcBorders/>
            <w:shd w:fill="CFF0FC" w:val="clear"/>
            <w:vAlign w:val="center"/>
          </w:tcPr>
          <w:p>
            <w:pPr>
              <w:pStyle w:val="TableContents"/>
              <w:bidi w:val="0"/>
              <w:spacing w:before="0" w:after="283"/>
              <w:jc w:val="left"/>
              <w:rPr/>
            </w:pPr>
            <w:r>
              <w:rPr/>
              <w:t> </w:t>
            </w:r>
          </w:p>
        </w:tc>
      </w:tr>
      <w:tr>
        <w:trPr/>
        <w:tc>
          <w:tcPr>
            <w:tcW w:w="263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01"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1,675</w:t>
            </w:r>
          </w:p>
        </w:tc>
        <w:tc>
          <w:tcPr>
            <w:tcW w:w="212" w:type="dxa"/>
            <w:tcBorders/>
            <w:shd w:fill="FFFFFF" w:val="clear"/>
            <w:vAlign w:val="center"/>
          </w:tcPr>
          <w:p>
            <w:pPr>
              <w:pStyle w:val="TableContents"/>
              <w:bidi w:val="0"/>
              <w:spacing w:before="0" w:after="283"/>
              <w:jc w:val="left"/>
              <w:rPr/>
            </w:pPr>
            <w:r>
              <w:rPr/>
              <w:t> </w:t>
            </w:r>
          </w:p>
        </w:tc>
      </w:tr>
      <w:tr>
        <w:trPr/>
        <w:tc>
          <w:tcPr>
            <w:tcW w:w="263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vesting and settlement of restricted stock units, net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229,922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01"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color w:val="000000"/>
              </w:rPr>
            </w:pPr>
            <w:r>
              <w:rPr>
                <w:color w:val="000000"/>
              </w:rPr>
              <w:t>—</w:t>
            </w:r>
          </w:p>
        </w:tc>
        <w:tc>
          <w:tcPr>
            <w:tcW w:w="212" w:type="dxa"/>
            <w:tcBorders/>
            <w:shd w:fill="CFF0FC" w:val="clear"/>
            <w:vAlign w:val="center"/>
          </w:tcPr>
          <w:p>
            <w:pPr>
              <w:pStyle w:val="TableContents"/>
              <w:bidi w:val="0"/>
              <w:spacing w:before="0" w:after="283"/>
              <w:jc w:val="left"/>
              <w:rPr/>
            </w:pPr>
            <w:r>
              <w:rPr/>
              <w:t> </w:t>
            </w:r>
          </w:p>
        </w:tc>
      </w:tr>
      <w:tr>
        <w:trPr/>
        <w:tc>
          <w:tcPr>
            <w:tcW w:w="263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01"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212" w:type="dxa"/>
            <w:tcBorders/>
            <w:shd w:fill="FFFFFF" w:val="clear"/>
            <w:vAlign w:val="center"/>
          </w:tcPr>
          <w:p>
            <w:pPr>
              <w:pStyle w:val="TableContents"/>
              <w:bidi w:val="0"/>
              <w:spacing w:before="0" w:after="283"/>
              <w:jc w:val="left"/>
              <w:rPr/>
            </w:pPr>
            <w:r>
              <w:rPr/>
              <w:t> </w:t>
            </w:r>
          </w:p>
        </w:tc>
      </w:tr>
      <w:tr>
        <w:trPr/>
        <w:tc>
          <w:tcPr>
            <w:tcW w:w="263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(17,622</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39"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63,473,349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404,114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(419,063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(14,948</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Taysha Gene Therapies,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ondensed_consolidated_statements_cash_f"/>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9891" w:type="dxa"/>
        <w:jc w:val="left"/>
        <w:tblInd w:w="0" w:type="dxa"/>
        <w:tblLayout w:type="fixed"/>
        <w:tblCellMar>
          <w:top w:w="28" w:type="dxa"/>
          <w:left w:w="28" w:type="dxa"/>
          <w:bottom w:w="28" w:type="dxa"/>
          <w:right w:w="28" w:type="dxa"/>
        </w:tblCellMar>
      </w:tblPr>
      <w:tblGrid>
        <w:gridCol w:w="6151"/>
        <w:gridCol w:w="146"/>
        <w:gridCol w:w="279"/>
        <w:gridCol w:w="1036"/>
        <w:gridCol w:w="220"/>
        <w:gridCol w:w="193"/>
        <w:gridCol w:w="279"/>
        <w:gridCol w:w="976"/>
        <w:gridCol w:w="611"/>
      </w:tblGrid>
      <w:tr>
        <w:trPr/>
        <w:tc>
          <w:tcPr>
            <w:tcW w:w="6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vAlign w:val="center"/>
          </w:tcPr>
          <w:p>
            <w:pPr>
              <w:pStyle w:val="TableContents"/>
              <w:bidi w:val="0"/>
              <w:spacing w:before="0" w:after="283"/>
              <w:jc w:val="center"/>
              <w:rPr/>
            </w:pPr>
            <w:r>
              <w:rPr/>
              <w:t> </w:t>
            </w:r>
          </w:p>
        </w:tc>
        <w:tc>
          <w:tcPr>
            <w:tcW w:w="12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315" w:type="dxa"/>
            <w:gridSpan w:val="2"/>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125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(24,061</w:t>
            </w:r>
          </w:p>
        </w:tc>
        <w:tc>
          <w:tcPr>
            <w:tcW w:w="2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(17,622</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315" w:type="dxa"/>
            <w:gridSpan w:val="2"/>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125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1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22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1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w:t>
            </w:r>
          </w:p>
        </w:tc>
        <w:tc>
          <w:tcPr>
            <w:tcW w:w="220"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1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22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1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change in fair value of term loan</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2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1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22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1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20"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1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315" w:type="dxa"/>
            <w:gridSpan w:val="2"/>
            <w:tcBorders/>
            <w:shd w:fill="FFFFFF" w:val="clear"/>
            <w:vAlign w:val="center"/>
          </w:tcPr>
          <w:p>
            <w:pPr>
              <w:pStyle w:val="TableContents"/>
              <w:bidi w:val="0"/>
              <w:spacing w:before="0" w:after="283"/>
              <w:jc w:val="right"/>
              <w:rPr/>
            </w:pPr>
            <w:r>
              <w:rPr/>
              <w:t> </w:t>
            </w:r>
          </w:p>
        </w:tc>
        <w:tc>
          <w:tcPr>
            <w:tcW w:w="220"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left"/>
              <w:rPr/>
            </w:pPr>
            <w:r>
              <w:rPr/>
              <w:t> </w:t>
            </w:r>
          </w:p>
        </w:tc>
        <w:tc>
          <w:tcPr>
            <w:tcW w:w="125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15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2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w:t>
            </w:r>
          </w:p>
        </w:tc>
        <w:tc>
          <w:tcPr>
            <w:tcW w:w="22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15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220"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(19,798</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315" w:type="dxa"/>
            <w:gridSpan w:val="2"/>
            <w:tcBorders/>
            <w:shd w:fill="FFFFFF" w:val="clear"/>
            <w:vAlign w:val="center"/>
          </w:tcPr>
          <w:p>
            <w:pPr>
              <w:pStyle w:val="TableContents"/>
              <w:bidi w:val="0"/>
              <w:spacing w:before="0" w:after="283"/>
              <w:jc w:val="right"/>
              <w:rPr/>
            </w:pPr>
            <w:r>
              <w:rPr/>
              <w:t> </w:t>
            </w:r>
          </w:p>
        </w:tc>
        <w:tc>
          <w:tcPr>
            <w:tcW w:w="220"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left"/>
              <w:rPr/>
            </w:pPr>
            <w:r>
              <w:rPr/>
              <w:t> </w:t>
            </w:r>
          </w:p>
        </w:tc>
        <w:tc>
          <w:tcPr>
            <w:tcW w:w="125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61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plant and equipment</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1315" w:type="dxa"/>
            <w:gridSpan w:val="2"/>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125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 for term loan</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jc w:val="left"/>
              <w:rPr/>
            </w:pPr>
            <w:r>
              <w:rPr/>
              <w:t> </w:t>
            </w:r>
          </w:p>
        </w:tc>
      </w:tr>
      <w:tr>
        <w:trPr/>
        <w:tc>
          <w:tcPr>
            <w:tcW w:w="61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offering costs</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220"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common stock issuances under ESPP</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2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611" w:type="dxa"/>
            <w:tcBorders/>
            <w:shd w:fill="FFFFFF" w:val="clear"/>
            <w:vAlign w:val="center"/>
          </w:tcPr>
          <w:p>
            <w:pPr>
              <w:pStyle w:val="TableContents"/>
              <w:bidi w:val="0"/>
              <w:spacing w:before="0" w:after="283"/>
              <w:jc w:val="left"/>
              <w:rPr/>
            </w:pPr>
            <w:r>
              <w:rPr/>
              <w:t> </w:t>
            </w:r>
          </w:p>
        </w:tc>
      </w:tr>
      <w:tr>
        <w:trPr/>
        <w:tc>
          <w:tcPr>
            <w:tcW w:w="61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financing activities</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(19,960</w:t>
            </w:r>
          </w:p>
        </w:tc>
        <w:tc>
          <w:tcPr>
            <w:tcW w:w="2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(24,455</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the beginning of the period</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146,540</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90,517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the end of the period</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126,580</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66,062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5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123,980</w:t>
            </w:r>
          </w:p>
        </w:tc>
        <w:tc>
          <w:tcPr>
            <w:tcW w:w="22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63,425</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15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the end of the period</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126,580</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66,062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vAlign w:val="center"/>
          </w:tcPr>
          <w:p>
            <w:pPr>
              <w:pStyle w:val="TableContents"/>
              <w:bidi w:val="0"/>
              <w:spacing w:before="0" w:after="283"/>
              <w:jc w:val="left"/>
              <w:rPr/>
            </w:pPr>
            <w:r>
              <w:rPr/>
              <w:t> </w:t>
            </w:r>
          </w:p>
        </w:tc>
        <w:tc>
          <w:tcPr>
            <w:tcW w:w="1315" w:type="dxa"/>
            <w:gridSpan w:val="2"/>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125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22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w:t>
            </w:r>
          </w:p>
        </w:tc>
        <w:tc>
          <w:tcPr>
            <w:tcW w:w="611" w:type="dxa"/>
            <w:tcBorders/>
            <w:shd w:fill="FFFFFF" w:val="clear"/>
            <w:vAlign w:val="center"/>
          </w:tcPr>
          <w:p>
            <w:pPr>
              <w:pStyle w:val="TableContents"/>
              <w:bidi w:val="0"/>
              <w:spacing w:before="0" w:after="283"/>
              <w:jc w:val="left"/>
              <w:rPr/>
            </w:pPr>
            <w:r>
              <w:rPr/>
              <w:t> </w:t>
            </w:r>
          </w:p>
        </w:tc>
      </w:tr>
      <w:tr>
        <w:trPr/>
        <w:tc>
          <w:tcPr>
            <w:tcW w:w="61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1315" w:type="dxa"/>
            <w:gridSpan w:val="2"/>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125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in accounts payable and accrued expenses</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2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6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note_1organization_description_business_"/>
      <w:bookmarkEnd w:id="9"/>
      <w:r>
        <w:rPr>
          <w:rFonts w:ascii="Times New Roman" w:hAnsi="Times New Roman"/>
          <w:b/>
          <w:color w:val="000000"/>
          <w:sz w:val="20"/>
        </w:rPr>
        <w:t>Note 1—Organization and Description of Business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Taysha Gene Therapies, Inc. (the “Company” or “Taysha”) was originally formed under the laws of the State of Texas on September 20, 2019. Taysha converted to a Delaware corporation on February 13, 2020, which had no impact to the Company’s par value or issued and authorized capital structure.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Taysha is a clinical-stage biotechnology company focused on advancing AAV-based gene therapies for severe monogenic diseases of the central nervous system.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5, 2021, the Company entered into a Sales Agreement (the “Sales Agreement”) with SVB Securities LLC (f/k/a SVB Leerink LLC) and Wells Fargo Securities, LLC (collectively, the “Sales Agents”), pursuant to which the Company may issue and sell, from time to time in its sole discretion, shares of its common stock having an aggregate offering price of up to $150.0 million through the Sales Agents. In March 2022, the Company amended the Sales Agreement to, among other things, include Goldman Sachs &amp; Co. LLC as an additional Sales Agent. The Sales Agents may sell common stock by any method permitted by law deemed to be an “at-the-market offering” as defined in Rule 415(a)(4) of the Securities Act, including sales made directly on or through the Nasdaq Global Select Market or any other existing trade market for the common stock, in negotiated transactions at market prices prevailing at the time of sale or at prices related to prevailing market prices, or any other method permitted by law. The Sales Agents are entitled to receive 3.0% of the gross sales price per share of common stock sold under the Sales Agreement. In April 2022, the Company sold 2,000,000 shares of common stock under the Sales Agreement and received $11.6 million in net proceeds. No other shares of common stock have been issued and sold pursuant to the Sales Agreement as of March 31, 2024.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incurred operating losses since inception and expects to continue to incur significant operating losses for the foreseeable future and may never become profitable. Losses are expected to continue as the Company continues to invest in its research and development activities. As of March 31, 2024, the Company had an accumulated deficit of $537.1 million. We expect to continue to incur significant expenses and operating losses for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capital requirements will depend on many factors, including the timing and extent of spending on research and development and the market acceptance of the Company’s products. The Company will need to obtain additional financing in order to complete clinical studies and launch and commercialize any product candidates for which it receives regulatory approval. There can be no assurance that such financing will be available or will be on terms acceptable to the Company. As of March 31, 2024, the Company had cash and cash equivalents of $124.0 million, which the Company believes will be sufficient to fund its planned operations for a period of at least twelve months from the date of issuance of these unaudited condensed consolidated financial statements. The Company has based this estimate on assumptions that may prove to be wrong, and its operating plan may change as a result of many factors currently unknown to it. As a result, the Company could deplete its capital resources sooner than it currently expects. The Company expects to finance its future cash needs through a combination of equity offerings, debt financings, collaborations, strategic alliances or licensing arrangements. If the Company is unable to obtain funding, the Company would be forced to delay, reduce or eliminate some or all of its research and development programs, preclinical and clinical testing or commercialization efforts, which could adversely affect its business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2—Summary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condensed consolidated financial statements have been prepared in conformity with accounting principles generally accepted in the United States (“GAAP”) as determined by the Financial Accounting Standards Board (“FASB”) Accounting Standards Codification (“ASC”) for interim financial information and the instructions to Form 10-Q and Article 10 of Regulation S-X and are consistent in all material respects with those included in the Company’s Annual Report on Form 10-K for the year ended December 31, 2023, filed with the Securities and Exchange Commission (“SEC”) on March 19, 2024 (the “2023 Annual Report”). In the opinion of management, the unaudited condensed consolidated financial statements reflect all adjustments, which include only normal recurring adjustments necessary for the fair statement of the balances and results for the periods presented. The condensed consolidated balance sheet as of December 31, 2023 is derived from audited financial statements, however, it does not include all of the information and footnotes required by GAAP for complete financial statements. These unaudited condensed consolidated financial statements should be read in conjunction with the consolidated financial statements and related notes in the Company’s 2023 Annual Report.</w:t>
      </w:r>
    </w:p>
    <w:p>
      <w:pPr>
        <w:pStyle w:val="TextBody"/>
        <w:bidi w:val="0"/>
        <w:spacing w:before="360" w:after="283"/>
        <w:jc w:val="left"/>
        <w:rPr>
          <w:rFonts w:ascii="Times New Roman" w:hAnsi="Times New Roman"/>
          <w:sz w:val="20"/>
        </w:rPr>
      </w:pPr>
      <w:r>
        <w:rPr>
          <w:rFonts w:ascii="Times New Roman" w:hAnsi="Times New Roman"/>
          <w:b/>
          <w:color w:val="000000"/>
          <w:sz w:val="20"/>
        </w:rPr>
        <w:t>Principles of Consolidation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interim condensed consolidated financial statements include the accounts of Taysha and its wholly owned subsidiaries. All intercompany transactions and balances have been eliminated in consolidation. </w:t>
      </w:r>
    </w:p>
    <w:p>
      <w:pPr>
        <w:pStyle w:val="TextBody"/>
        <w:bidi w:val="0"/>
        <w:spacing w:before="36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and assumptions in the Company’s financial statements relate to the determination of the fair value of the common stock prior to the initial public offering (“IPO”) (as an input into stock-based compensation), estimating manufacturing accruals and accrued or prepaid research and development expenses, the measurement of impairment of long-lived assets, </w:t>
      </w:r>
      <w:r>
        <w:rPr>
          <w:rFonts w:ascii="Times New Roman" w:hAnsi="Times New Roman"/>
          <w:color w:val="000000"/>
          <w:sz w:val="18"/>
        </w:rPr>
        <w:t>the valuation of the Trinity Term Loans that are carried at fair value</w:t>
      </w:r>
      <w:r>
        <w:rPr>
          <w:rFonts w:ascii="Times New Roman" w:hAnsi="Times New Roman"/>
          <w:color w:val="000000"/>
          <w:sz w:val="20"/>
        </w:rPr>
        <w:t xml:space="preserve"> and the allocation of consideration received in connection with the Astellas Transactions (as defined below).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from these estimates. To the extent there are material differences between the estimates and actual results, the Company’s future results of operations will be affected. </w:t>
      </w:r>
    </w:p>
    <w:p>
      <w:pPr>
        <w:pStyle w:val="TextBody"/>
        <w:bidi w:val="0"/>
        <w:spacing w:before="360" w:after="283"/>
        <w:jc w:val="left"/>
        <w:rPr>
          <w:rFonts w:ascii="Times New Roman" w:hAnsi="Times New Roman"/>
          <w:sz w:val="20"/>
        </w:rPr>
      </w:pPr>
      <w:r>
        <w:rPr>
          <w:rFonts w:ascii="Times New Roman" w:hAnsi="Times New Roman"/>
          <w:b/>
          <w:color w:val="000000"/>
          <w:sz w:val="20"/>
        </w:rPr>
        <w:t>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the Company’s significant accounting policies as disclosed in Note 2 to the audited consolidated financial statements included in the 2023 Annual Report.</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significant changes in recently adopted accounting pronouncements from those disclosed in the section titled “Financial Statements and Supplementary Data” included in the Company’s Annual Report on Form 10-K for the year ended December 31, 2023, as filed with the SEC.</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2023, the FASB issued ASU No. 2023-07, </w:t>
      </w:r>
      <w:r>
        <w:rPr>
          <w:rFonts w:ascii="Times New Roman" w:hAnsi="Times New Roman"/>
          <w:i/>
          <w:color w:val="000000"/>
          <w:sz w:val="20"/>
        </w:rPr>
        <w:t>Segment Reporting – Improvements to Reportable Segment Disclosures</w:t>
      </w:r>
      <w:r>
        <w:rPr>
          <w:rFonts w:ascii="Times New Roman" w:hAnsi="Times New Roman"/>
          <w:color w:val="000000"/>
          <w:sz w:val="20"/>
        </w:rPr>
        <w:t xml:space="preserve">, to improve segment disclosure requirements under ASC 280, Segment Reporting, through enhancing disclosures about significant segment expenses. The guidance requires entities to provide significant segment expenses that are regularly provided to the chief operating decision maker and other segment expenses included in each reported measure of segment profitability. The ASU also enhances interim segment reporting requirements by aligning interim disclosures with information that must be disclosed annually in accordance with ASC 280. The guidance is effective for annual periods beginning after December 15, 2023, and interim periods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beginning after December 15, 2024, applied retrospectively with early adoption permitted. The Company is still evaluating the impact this ASU will have on its consolidated financial statements and related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3—Fair Value Measurements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financial instruments that are measured at fair value on a recurring basis consist of money market funds, the Trinity Term Loans, a success fee derivative liability and certain of the Company’s warrant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present information about the Company’s financial assets and liabilities measured at fair value on a recurring basis and indicate the level of the fair value hierarchy used to determine such fair values (in thousands):</w:t>
      </w:r>
    </w:p>
    <w:p>
      <w:pPr>
        <w:pStyle w:val="TextBody"/>
        <w:bidi w:val="0"/>
        <w:jc w:val="left"/>
        <w:rPr/>
      </w:pPr>
      <w:r>
        <w:rPr/>
        <w:t> </w:t>
      </w:r>
    </w:p>
    <w:tbl>
      <w:tblPr>
        <w:tblW w:w="8214" w:type="dxa"/>
        <w:jc w:val="left"/>
        <w:tblInd w:w="0" w:type="dxa"/>
        <w:tblLayout w:type="fixed"/>
        <w:tblCellMar>
          <w:top w:w="28" w:type="dxa"/>
          <w:left w:w="28" w:type="dxa"/>
          <w:bottom w:w="28" w:type="dxa"/>
          <w:right w:w="28" w:type="dxa"/>
        </w:tblCellMar>
      </w:tblPr>
      <w:tblGrid>
        <w:gridCol w:w="3541"/>
        <w:gridCol w:w="211"/>
        <w:gridCol w:w="781"/>
        <w:gridCol w:w="146"/>
        <w:gridCol w:w="146"/>
        <w:gridCol w:w="211"/>
        <w:gridCol w:w="781"/>
        <w:gridCol w:w="146"/>
        <w:gridCol w:w="146"/>
        <w:gridCol w:w="277"/>
        <w:gridCol w:w="458"/>
        <w:gridCol w:w="146"/>
        <w:gridCol w:w="146"/>
        <w:gridCol w:w="211"/>
        <w:gridCol w:w="676"/>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vAlign w:val="center"/>
          </w:tcPr>
          <w:p>
            <w:pPr>
              <w:pStyle w:val="TableContents"/>
              <w:bidi w:val="0"/>
              <w:spacing w:before="0" w:after="283"/>
              <w:jc w:val="center"/>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91" w:type="dxa"/>
            <w:tcBorders/>
            <w:shd w:fill="FFFFFF" w:val="clear"/>
            <w:vAlign w:val="center"/>
          </w:tcPr>
          <w:p>
            <w:pPr>
              <w:pStyle w:val="TableContents"/>
              <w:bidi w:val="0"/>
              <w:spacing w:before="0" w:after="283"/>
              <w:jc w:val="center"/>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equivalents – money market funds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Trinity Term Loans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40,512</w:t>
            </w:r>
          </w:p>
        </w:tc>
        <w:tc>
          <w:tcPr>
            <w:tcW w:w="19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Success Fee Derivative liability</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7"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91" w:type="dxa"/>
            <w:tcBorders/>
            <w:shd w:fill="FFFFFF" w:val="cle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SSI Warrant liability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214" w:type="dxa"/>
        <w:jc w:val="left"/>
        <w:tblInd w:w="0" w:type="dxa"/>
        <w:tblLayout w:type="fixed"/>
        <w:tblCellMar>
          <w:top w:w="28" w:type="dxa"/>
          <w:left w:w="28" w:type="dxa"/>
          <w:bottom w:w="28" w:type="dxa"/>
          <w:right w:w="28" w:type="dxa"/>
        </w:tblCellMar>
      </w:tblPr>
      <w:tblGrid>
        <w:gridCol w:w="3541"/>
        <w:gridCol w:w="211"/>
        <w:gridCol w:w="781"/>
        <w:gridCol w:w="146"/>
        <w:gridCol w:w="146"/>
        <w:gridCol w:w="211"/>
        <w:gridCol w:w="781"/>
        <w:gridCol w:w="146"/>
        <w:gridCol w:w="146"/>
        <w:gridCol w:w="277"/>
        <w:gridCol w:w="458"/>
        <w:gridCol w:w="146"/>
        <w:gridCol w:w="146"/>
        <w:gridCol w:w="211"/>
        <w:gridCol w:w="676"/>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vAlign w:val="center"/>
          </w:tcPr>
          <w:p>
            <w:pPr>
              <w:pStyle w:val="TableContents"/>
              <w:bidi w:val="0"/>
              <w:spacing w:before="0" w:after="283"/>
              <w:jc w:val="center"/>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91" w:type="dxa"/>
            <w:tcBorders/>
            <w:shd w:fill="FFFFFF" w:val="clear"/>
            <w:vAlign w:val="center"/>
          </w:tcPr>
          <w:p>
            <w:pPr>
              <w:pStyle w:val="TableContents"/>
              <w:bidi w:val="0"/>
              <w:spacing w:before="0" w:after="283"/>
              <w:jc w:val="center"/>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jc w:val="left"/>
              <w:rPr>
                <w:color w:val="000000"/>
              </w:rPr>
            </w:pPr>
            <w:r>
              <w:rPr>
                <w:color w:val="000000"/>
              </w:rPr>
              <w:t>   </w:t>
            </w:r>
            <w:r>
              <w:rPr>
                <w:rFonts w:ascii="Times New Roman" w:hAnsi="Times New Roman"/>
                <w:color w:val="000000"/>
                <w:sz w:val="20"/>
              </w:rPr>
              <w:t>Cash equivalents – money market funds</w:t>
            </w:r>
          </w:p>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Trinity Term Loans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40,508</w:t>
            </w:r>
          </w:p>
        </w:tc>
        <w:tc>
          <w:tcPr>
            <w:tcW w:w="19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Success Fee Derivative liability</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7"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91" w:type="dxa"/>
            <w:tcBorders/>
            <w:shd w:fill="FFFFFF" w:val="cle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SSI Warrant liability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classifies its money market funds, which are valued based on quoted market prices in an active market with no valuation adjustment, as Level 1 assets within the fair value hierarchy.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Trinity Term Loans and Success Fee liability are classified as Level 3 measurements under the fair value hierarchy as the fair values were determined based on significant inputs not observable in the market. The fair values were determined utilizing a probability-weighted income approach, including variables for the timing of a success event and other probability estimates. See Note 7 for additional information on the Trinity Term Loans and Success Fee.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SSI Warrant liability is classified as Level 3 measurements under the fair value hierarchy as the fair values were determined based on significant inputs not observable in the market. The fair values were determined using the Black-Scholes-Merton option pricing model to determine the fair value of the SSI Warrants (as defined below). See Note 10 for additional information on the SSI Warrants.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4—Balance Sheet Components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consisted of the following (in thousands):</w:t>
      </w:r>
    </w:p>
    <w:p>
      <w:pPr>
        <w:pStyle w:val="TextBody"/>
        <w:bidi w:val="0"/>
        <w:jc w:val="left"/>
        <w:rPr/>
      </w:pPr>
      <w:r>
        <w:rPr/>
        <w:t> </w:t>
      </w:r>
    </w:p>
    <w:tbl>
      <w:tblPr>
        <w:tblW w:w="6795" w:type="dxa"/>
        <w:jc w:val="left"/>
        <w:tblInd w:w="0" w:type="dxa"/>
        <w:tblLayout w:type="fixed"/>
        <w:tblCellMar>
          <w:top w:w="28" w:type="dxa"/>
          <w:left w:w="28" w:type="dxa"/>
          <w:bottom w:w="28" w:type="dxa"/>
          <w:right w:w="28" w:type="dxa"/>
        </w:tblCellMar>
      </w:tblPr>
      <w:tblGrid>
        <w:gridCol w:w="3931"/>
        <w:gridCol w:w="146"/>
        <w:gridCol w:w="263"/>
        <w:gridCol w:w="712"/>
        <w:gridCol w:w="146"/>
        <w:gridCol w:w="146"/>
        <w:gridCol w:w="339"/>
        <w:gridCol w:w="921"/>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191" w:type="dxa"/>
            <w:tcBorders/>
            <w:shd w:fill="CFF0FC"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clinical trial</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91" w:type="dxa"/>
            <w:tcBorders/>
            <w:shd w:fill="FFFFFF" w:val="cle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offering costs</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91" w:type="dxa"/>
            <w:tcBorders/>
            <w:shd w:fill="CFF0FC"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91" w:type="dxa"/>
            <w:tcBorders/>
            <w:shd w:fill="FFFFFF" w:val="cle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bonus</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vAlign w:val="center"/>
          </w:tcPr>
          <w:p>
            <w:pPr>
              <w:pStyle w:val="TableContents"/>
              <w:bidi w:val="0"/>
              <w:spacing w:before="0" w:after="283"/>
              <w:jc w:val="righ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Property, plant and equipment, net consisted of the following (in thousands): </w:t>
      </w:r>
    </w:p>
    <w:p>
      <w:pPr>
        <w:pStyle w:val="TextBody"/>
        <w:bidi w:val="0"/>
        <w:jc w:val="left"/>
        <w:rPr/>
      </w:pPr>
      <w:r>
        <w:rPr/>
        <w:t> </w:t>
      </w:r>
    </w:p>
    <w:tbl>
      <w:tblPr>
        <w:tblW w:w="5830" w:type="dxa"/>
        <w:jc w:val="left"/>
        <w:tblInd w:w="0" w:type="dxa"/>
        <w:tblLayout w:type="fixed"/>
        <w:tblCellMar>
          <w:top w:w="28" w:type="dxa"/>
          <w:left w:w="28" w:type="dxa"/>
          <w:bottom w:w="28" w:type="dxa"/>
          <w:right w:w="28" w:type="dxa"/>
        </w:tblCellMar>
      </w:tblPr>
      <w:tblGrid>
        <w:gridCol w:w="2926"/>
        <w:gridCol w:w="146"/>
        <w:gridCol w:w="232"/>
        <w:gridCol w:w="743"/>
        <w:gridCol w:w="166"/>
        <w:gridCol w:w="146"/>
        <w:gridCol w:w="299"/>
        <w:gridCol w:w="961"/>
        <w:gridCol w:w="21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21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w:t>
            </w:r>
          </w:p>
        </w:tc>
        <w:tc>
          <w:tcPr>
            <w:tcW w:w="21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21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21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13,805</w:t>
            </w:r>
          </w:p>
        </w:tc>
        <w:tc>
          <w:tcPr>
            <w:tcW w:w="21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Property, plant and equipment, net includes $0.9 million and $1.0 million of assets capitalized as finance leases as of March 31, 2024 and December 31, 2023,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Depreciation expense was $0.3 million for each of the three months ended March 31, 2024 and 2023,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(in thousands): </w:t>
      </w:r>
    </w:p>
    <w:p>
      <w:pPr>
        <w:pStyle w:val="TextBody"/>
        <w:bidi w:val="0"/>
        <w:jc w:val="left"/>
        <w:rPr/>
      </w:pPr>
      <w:r>
        <w:rPr/>
        <w:t> </w:t>
      </w:r>
    </w:p>
    <w:tbl>
      <w:tblPr>
        <w:tblW w:w="7125" w:type="dxa"/>
        <w:jc w:val="left"/>
        <w:tblInd w:w="0" w:type="dxa"/>
        <w:tblLayout w:type="fixed"/>
        <w:tblCellMar>
          <w:top w:w="28" w:type="dxa"/>
          <w:left w:w="28" w:type="dxa"/>
          <w:bottom w:w="28" w:type="dxa"/>
          <w:right w:w="28" w:type="dxa"/>
        </w:tblCellMar>
      </w:tblPr>
      <w:tblGrid>
        <w:gridCol w:w="4261"/>
        <w:gridCol w:w="146"/>
        <w:gridCol w:w="232"/>
        <w:gridCol w:w="743"/>
        <w:gridCol w:w="146"/>
        <w:gridCol w:w="146"/>
        <w:gridCol w:w="299"/>
        <w:gridCol w:w="96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current portion</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and consulting fees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severance</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vAlign w:val="center"/>
          </w:tcPr>
          <w:p>
            <w:pPr>
              <w:pStyle w:val="TableContents"/>
              <w:bidi w:val="0"/>
              <w:spacing w:before="0" w:after="283"/>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certain office, laboratory, and manufacturing space.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Dallas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11, 2021, the Company entered into a lease agreement (the “Dallas Lease”) with Pegasus Park, LLC, a Delaware limited liability company (the “Dallas Landlord”), pursuant to which the Company will lease approximately 15,000 square feet of office space at 3000 Pegasus Park Drive, Dallas, Texas 75247 (the “Office Space”).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Dallas Lease commenced on May 27, 2021, and has a term of approximately ten years. The Company has an option to extend the term of the Dallas Lease for one additional period of five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Dallas Landlord has the right to terminate the Dallas Lease, or the Company’s right to possess the Office Space without terminating the Dallas Lease, upon specified events of default, including the Company’s failure to pay rent in a timely manner and upon the occurrence of certain events of insolvency with respect to the Company.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Dallas Lease Expansion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14, 2021, the Company amended the Dallas Lease (the “Dallas Lease Amendment”) with the Dallas Landlord, pursuant to which the Company will lease approximately 18,000 square feet of office space adjacent to the Office Space at 3000 Pegasus Park Drive, Dallas, Texas 75247 (the “Expansion Premises”).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Dallas Lease Amendment commenced on July 1, 2022, and has a term of approximately ten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obligated to pay operating costs and utilities applicable to the Expansion Premises. Total future minimum lease payments under the Dallas Lease Amendment over the initial 10 year term are approximately $6.0 million. The Company will be responsible for costs of constructing interior improvements within the Expansion Premises that exceed a $40.00 per rentable square foot construction allowance provided by the Dallas Landlord. </w:t>
      </w:r>
    </w:p>
    <w:p>
      <w:pPr>
        <w:pStyle w:val="TextBody"/>
        <w:bidi w:val="0"/>
        <w:spacing w:before="240" w:after="283"/>
        <w:jc w:val="left"/>
        <w:rPr>
          <w:rFonts w:ascii="Times New Roman" w:hAnsi="Times New Roman"/>
          <w:sz w:val="20"/>
        </w:rPr>
      </w:pPr>
      <w:r>
        <w:rPr>
          <w:rFonts w:ascii="Times New Roman" w:hAnsi="Times New Roman"/>
          <w:color w:val="000000"/>
          <w:sz w:val="20"/>
        </w:rPr>
        <w:t>The Company has a right of first refusal with respect to certain additional office space on the 15</w:t>
      </w:r>
      <w:r>
        <w:rPr>
          <w:rFonts w:ascii="Times New Roman" w:hAnsi="Times New Roman"/>
          <w:color w:val="000000"/>
          <w:sz w:val="13"/>
        </w:rPr>
        <w:t>th</w:t>
      </w:r>
      <w:r>
        <w:rPr>
          <w:rFonts w:ascii="Times New Roman" w:hAnsi="Times New Roman"/>
          <w:color w:val="000000"/>
          <w:sz w:val="20"/>
        </w:rPr>
        <w:t xml:space="preserve"> floor at 3000 Pegasus Park Drive, Dallas, Texas 75247 before the Dallas Landlord accepts any offer for such space.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Durham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17, 2020, the Company entered into a lease agreement (the “Durham Lease”) with Patriot Park Partners II, LLC, a Delaware limited liability company (the “Durham Landlord”), pursuant to which the Company agreed to lease approximately 187,500 square feet of a manufacturing facility located at 5 National Way, Durham, North Carolina (the “Facility”). The Durham Lease commenced on April 1, 2021 and is expected to have a term of approximately fifteen years and six months. The Company has two options to extend the term of the Durham Lease, each for a period of an additional five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was not required to provide a security deposit in connection with its entry into the Durham Lease. The Company was responsible for constructing interior improvements within the Facility. The Company was required to place $2.6 million in an escrow account which was to be released when the improvements were substantially complete. In December 2023, the Company entered into an agreement with the landlord whereby the Company agreed to remove specified leasehold improvements which will be funded by the escrowed funds. The escrow funds are recorded as restricted cash on the condensed consolidated balance sheets as of March 31, 2024 with $0.5 million recorded in current assets and $2.1 million in noncurrent assets. The Durham Landlord has the right to terminate the Durham Lease upon specified events of default, including the Company’s failure to pay rent in a timely manner and upon the occurrence of certain events of insolvency with respect to the Company.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Summary of all lease costs recognized under ASC 842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lease costs recognized under ASC 842 and other information pertaining to the Company’s operating leases for the three months ended March 31, 2024 and 2023 (in thousands):</w:t>
      </w:r>
    </w:p>
    <w:p>
      <w:pPr>
        <w:pStyle w:val="TextBody"/>
        <w:bidi w:val="0"/>
        <w:spacing w:before="120" w:after="283"/>
        <w:jc w:val="left"/>
        <w:rPr/>
      </w:pPr>
      <w:r>
        <w:rPr/>
        <w:t> </w:t>
      </w:r>
    </w:p>
    <w:tbl>
      <w:tblPr>
        <w:tblW w:w="5075" w:type="dxa"/>
        <w:jc w:val="left"/>
        <w:tblInd w:w="0" w:type="dxa"/>
        <w:tblLayout w:type="fixed"/>
        <w:tblCellMar>
          <w:top w:w="28" w:type="dxa"/>
          <w:left w:w="28" w:type="dxa"/>
          <w:bottom w:w="28" w:type="dxa"/>
          <w:right w:w="28" w:type="dxa"/>
        </w:tblCellMar>
      </w:tblPr>
      <w:tblGrid>
        <w:gridCol w:w="1756"/>
        <w:gridCol w:w="146"/>
        <w:gridCol w:w="404"/>
        <w:gridCol w:w="807"/>
        <w:gridCol w:w="280"/>
        <w:gridCol w:w="280"/>
        <w:gridCol w:w="404"/>
        <w:gridCol w:w="807"/>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28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91" w:type="dxa"/>
            <w:tcBorders/>
            <w:shd w:fill="FFFFFF" w:val="clear"/>
            <w:vAlign w:val="center"/>
          </w:tcPr>
          <w:p>
            <w:pPr>
              <w:pStyle w:val="TableContents"/>
              <w:bidi w:val="0"/>
              <w:spacing w:before="0" w:after="283"/>
              <w:jc w:val="left"/>
              <w:rPr/>
            </w:pPr>
            <w:r>
              <w:rPr/>
              <w:t> </w:t>
            </w:r>
          </w:p>
        </w:tc>
      </w:tr>
      <w:tr>
        <w:trPr/>
        <w:tc>
          <w:tcPr>
            <w:tcW w:w="1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Supplemental information related to the remaining lease term and discount rate are as follows:</w:t>
      </w:r>
    </w:p>
    <w:p>
      <w:pPr>
        <w:pStyle w:val="TextBody"/>
        <w:bidi w:val="0"/>
        <w:spacing w:before="120" w:after="283"/>
        <w:jc w:val="left"/>
        <w:rPr/>
      </w:pPr>
      <w:r>
        <w:rPr/>
        <w:t> </w:t>
      </w:r>
    </w:p>
    <w:tbl>
      <w:tblPr>
        <w:tblW w:w="9539" w:type="dxa"/>
        <w:jc w:val="left"/>
        <w:tblInd w:w="0" w:type="dxa"/>
        <w:tblLayout w:type="fixed"/>
        <w:tblCellMar>
          <w:top w:w="28" w:type="dxa"/>
          <w:left w:w="28" w:type="dxa"/>
          <w:bottom w:w="28" w:type="dxa"/>
          <w:right w:w="28" w:type="dxa"/>
        </w:tblCellMar>
      </w:tblPr>
      <w:tblGrid>
        <w:gridCol w:w="5641"/>
        <w:gridCol w:w="146"/>
        <w:gridCol w:w="293"/>
        <w:gridCol w:w="1147"/>
        <w:gridCol w:w="271"/>
        <w:gridCol w:w="350"/>
        <w:gridCol w:w="1375"/>
        <w:gridCol w:w="316"/>
      </w:tblGrid>
      <w:tr>
        <w:trPr/>
        <w:tc>
          <w:tcPr>
            <w:tcW w:w="5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 – Finance leases</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11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71"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3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316" w:type="dxa"/>
            <w:tcBorders/>
            <w:shd w:fill="CFF0FC" w:val="clear"/>
            <w:vAlign w:val="center"/>
          </w:tcPr>
          <w:p>
            <w:pPr>
              <w:pStyle w:val="TableContents"/>
              <w:bidi w:val="0"/>
              <w:spacing w:before="0" w:after="283"/>
              <w:jc w:val="left"/>
              <w:rPr/>
            </w:pPr>
            <w:r>
              <w:rPr/>
              <w:t> </w:t>
            </w:r>
          </w:p>
        </w:tc>
      </w:tr>
      <w:tr>
        <w:trPr/>
        <w:tc>
          <w:tcPr>
            <w:tcW w:w="5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 – Operating leases</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271"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3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316" w:type="dxa"/>
            <w:tcBorders/>
            <w:shd w:fill="FFFFFF" w:val="clear"/>
            <w:vAlign w:val="center"/>
          </w:tcPr>
          <w:p>
            <w:pPr>
              <w:pStyle w:val="TableContents"/>
              <w:bidi w:val="0"/>
              <w:spacing w:before="0" w:after="283"/>
              <w:jc w:val="left"/>
              <w:rPr/>
            </w:pPr>
            <w:r>
              <w:rPr/>
              <w:t> </w:t>
            </w:r>
          </w:p>
        </w:tc>
      </w:tr>
      <w:tr>
        <w:trPr/>
        <w:tc>
          <w:tcPr>
            <w:tcW w:w="5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725"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r>
      <w:tr>
        <w:trPr/>
        <w:tc>
          <w:tcPr>
            <w:tcW w:w="5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 – Finance leases</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11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0" w:type="dxa"/>
            <w:tcBorders/>
            <w:shd w:fill="CFF0FC" w:val="clear"/>
            <w:vAlign w:val="center"/>
          </w:tcPr>
          <w:p>
            <w:pPr>
              <w:pStyle w:val="TableContents"/>
              <w:bidi w:val="0"/>
              <w:spacing w:before="0" w:after="283"/>
              <w:jc w:val="left"/>
              <w:rPr/>
            </w:pPr>
            <w:r>
              <w:rPr/>
              <w:t> </w:t>
            </w:r>
          </w:p>
        </w:tc>
        <w:tc>
          <w:tcPr>
            <w:tcW w:w="13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 – Operating leases</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0" w:type="dxa"/>
            <w:tcBorders/>
            <w:shd w:fill="FFFFFF" w:val="clear"/>
            <w:vAlign w:val="center"/>
          </w:tcPr>
          <w:p>
            <w:pPr>
              <w:pStyle w:val="TableContents"/>
              <w:bidi w:val="0"/>
              <w:spacing w:before="0" w:after="283"/>
              <w:jc w:val="left"/>
              <w:rPr/>
            </w:pPr>
            <w:r>
              <w:rPr/>
              <w:t> </w:t>
            </w:r>
          </w:p>
        </w:tc>
        <w:tc>
          <w:tcPr>
            <w:tcW w:w="13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Supplemental cash flow information related to the Company’s operating leases are as follows (in thousands):</w:t>
      </w:r>
    </w:p>
    <w:p>
      <w:pPr>
        <w:pStyle w:val="TextBody"/>
        <w:bidi w:val="0"/>
        <w:jc w:val="left"/>
        <w:rPr/>
      </w:pPr>
      <w:r>
        <w:rPr/>
        <w:t> </w:t>
      </w:r>
    </w:p>
    <w:tbl>
      <w:tblPr>
        <w:tblW w:w="7075" w:type="dxa"/>
        <w:jc w:val="left"/>
        <w:tblInd w:w="0" w:type="dxa"/>
        <w:tblLayout w:type="fixed"/>
        <w:tblCellMar>
          <w:top w:w="28" w:type="dxa"/>
          <w:left w:w="28" w:type="dxa"/>
          <w:bottom w:w="28" w:type="dxa"/>
          <w:right w:w="28" w:type="dxa"/>
        </w:tblCellMar>
      </w:tblPr>
      <w:tblGrid>
        <w:gridCol w:w="3436"/>
        <w:gridCol w:w="426"/>
        <w:gridCol w:w="1155"/>
        <w:gridCol w:w="295"/>
        <w:gridCol w:w="295"/>
        <w:gridCol w:w="426"/>
        <w:gridCol w:w="851"/>
        <w:gridCol w:w="191"/>
      </w:tblGrid>
      <w:tr>
        <w:trPr/>
        <w:tc>
          <w:tcPr>
            <w:tcW w:w="343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vAlign w:val="center"/>
          </w:tcPr>
          <w:p>
            <w:pPr>
              <w:pStyle w:val="TableContents"/>
              <w:bidi w:val="0"/>
              <w:spacing w:before="0" w:after="283"/>
              <w:jc w:val="left"/>
              <w:rPr/>
            </w:pPr>
            <w:r>
              <w:rPr/>
              <w:t> </w:t>
            </w:r>
          </w:p>
        </w:tc>
        <w:tc>
          <w:tcPr>
            <w:tcW w:w="34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vAlign w:val="center"/>
          </w:tcPr>
          <w:p>
            <w:pPr>
              <w:pStyle w:val="TableContents"/>
              <w:bidi w:val="0"/>
              <w:spacing w:before="0" w:after="283"/>
              <w:jc w:val="left"/>
              <w:rPr/>
            </w:pPr>
            <w:r>
              <w:rPr/>
              <w:t> </w:t>
            </w:r>
          </w:p>
        </w:tc>
        <w:tc>
          <w:tcPr>
            <w:tcW w:w="15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for operating leases</w:t>
            </w:r>
          </w:p>
        </w:tc>
        <w:tc>
          <w:tcPr>
            <w:tcW w:w="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w:t>
            </w:r>
          </w:p>
        </w:tc>
        <w:tc>
          <w:tcPr>
            <w:tcW w:w="295"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right"/>
              <w:rPr/>
            </w:pPr>
            <w:r>
              <w:rPr/>
              <w:t> </w:t>
            </w:r>
          </w:p>
        </w:tc>
        <w:tc>
          <w:tcPr>
            <w:tcW w:w="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2024, future minimum commitments under ASC 842 under the Company’s operating and finance leases were as follows (in thousands):</w:t>
      </w:r>
    </w:p>
    <w:p>
      <w:pPr>
        <w:pStyle w:val="TextBody"/>
        <w:bidi w:val="0"/>
        <w:spacing w:before="120" w:after="283"/>
        <w:jc w:val="left"/>
        <w:rPr/>
      </w:pPr>
      <w:r>
        <w:rPr/>
        <w:t> </w:t>
      </w:r>
    </w:p>
    <w:tbl>
      <w:tblPr>
        <w:tblW w:w="4581" w:type="dxa"/>
        <w:jc w:val="left"/>
        <w:tblInd w:w="0" w:type="dxa"/>
        <w:tblLayout w:type="fixed"/>
        <w:tblCellMar>
          <w:top w:w="28" w:type="dxa"/>
          <w:left w:w="28" w:type="dxa"/>
          <w:bottom w:w="28" w:type="dxa"/>
          <w:right w:w="28" w:type="dxa"/>
        </w:tblCellMar>
      </w:tblPr>
      <w:tblGrid>
        <w:gridCol w:w="2446"/>
        <w:gridCol w:w="232"/>
        <w:gridCol w:w="744"/>
        <w:gridCol w:w="166"/>
        <w:gridCol w:w="211"/>
        <w:gridCol w:w="571"/>
        <w:gridCol w:w="211"/>
      </w:tblGrid>
      <w:tr>
        <w:trPr/>
        <w:tc>
          <w:tcPr>
            <w:tcW w:w="24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21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232"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21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32" w:type="dxa"/>
            <w:tcBorders/>
            <w:shd w:fill="CFF0FC" w:val="clear"/>
            <w:vAlign w:val="center"/>
          </w:tcPr>
          <w:p>
            <w:pPr>
              <w:pStyle w:val="TableContents"/>
              <w:bidi w:val="0"/>
              <w:spacing w:before="0" w:after="283"/>
              <w:jc w:val="left"/>
              <w:rPr/>
            </w:pPr>
            <w:r>
              <w:rPr/>
              <w:t> </w:t>
            </w:r>
          </w:p>
        </w:tc>
        <w:tc>
          <w:tcPr>
            <w:tcW w:w="7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21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32"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32" w:type="dxa"/>
            <w:tcBorders/>
            <w:shd w:fill="CFF0FC" w:val="clear"/>
            <w:vAlign w:val="center"/>
          </w:tcPr>
          <w:p>
            <w:pPr>
              <w:pStyle w:val="TableContents"/>
              <w:bidi w:val="0"/>
              <w:spacing w:before="0" w:after="283"/>
              <w:jc w:val="left"/>
              <w:rPr/>
            </w:pPr>
            <w:r>
              <w:rPr/>
              <w:t> </w:t>
            </w:r>
          </w:p>
        </w:tc>
        <w:tc>
          <w:tcPr>
            <w:tcW w:w="7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232" w:type="dxa"/>
            <w:tcBorders/>
            <w:shd w:fill="CFF0FC" w:val="clear"/>
            <w:vAlign w:val="center"/>
          </w:tcPr>
          <w:p>
            <w:pPr>
              <w:pStyle w:val="TableContents"/>
              <w:bidi w:val="0"/>
              <w:spacing w:before="0" w:after="283"/>
              <w:jc w:val="left"/>
              <w:rPr/>
            </w:pPr>
            <w:r>
              <w:rPr/>
              <w:t> </w:t>
            </w:r>
          </w:p>
        </w:tc>
        <w:tc>
          <w:tcPr>
            <w:tcW w:w="7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29,813</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w:t>
            </w:r>
          </w:p>
        </w:tc>
        <w:tc>
          <w:tcPr>
            <w:tcW w:w="21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current</w:t>
            </w:r>
          </w:p>
        </w:tc>
        <w:tc>
          <w:tcPr>
            <w:tcW w:w="232"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21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non-current</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6—Astellas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21, 2022 (the “Effective Date”), the Company entered into the Option Agreement (the “Option Agreement”) with Audentes Therapeutics, Inc. (d/b/a Astellas Gene Therapy)(“Astellas”), pursuant to which the Company granted to Astellas an exclusive option to obtain an exclusive, worldwide, royalty and milestone-bearing right and license (A) to research, develop, make, have made, use, sell, offer for sale, have sold, import, export and otherwise exploit, or, collectively, exploit, the product known, as of the Effective Date, as TSHA-120 (the “120 GAN Product”), and any backup products with respect thereto for use in the treatment of Giant Axonal Neuropathy (“GAN”) or any other gene therapy product for use in the treatment of GAN that is controlled by Taysha or any of its affiliates or with respect to which the Company or any of its affiliates controls intellectual property rights covering the exploitation thereof, or a GAN Product, and (B) under any intellectual property rights controlled by Taysha or any of its affiliates with respect to such exploitation (the “GAN Option”). Subject to certain extensions, the GAN Option was exercisable from the Effective Date through a specified period of time following Astellas’ receipt of (i) the formal minutes from the Type B end-of-Phase 2 meeting between Taysha and the FDA in response to the Company’s meeting request sent to the FDA on September 19, 2022 for the 120 GAN Product (the “Type B end-of-Phase 2 Meeting”), (ii) all written feedback from the FDA with respect to the Type B end-of-Phase 2 Meeting, and (iii) all briefing documents sent by Taysha to the FDA with respect to the Type B end-of-Phase 2 Meeting. In September 2023, Astellas provided written notice of its decision not to exercise the GAN Option.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Option Agreement, the Company also granted to Astellas an exclusive option to obtain an exclusive, worldwide, royalty and milestone-bearing right and license (A) to exploit any Rett Product (as defined below), and (B) under any intellectual property rights controlled by Taysha or any of its affiliates with respect to such exploitation (the “Rett Option,” and together with the GAN Option, each, an “Option”). Subject to certain extensions, the Rett Option is exercisable from the Effective Date through a specified period of time following Astellas’ receipt of (i) certain clinical data from the female pediatric trial and (ii) certain specified data with respect to TSHA-102, such period, the Rett Option Period, related to (i) the product known, as of the Effective Date,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TSHA-102 and any backup products with respect thereto for use in the treatment of Rett syndrome, and (ii) any other gene therapy product for use in the treatment of Rett syndrome that is controlled by Taysha or any of its affiliates or with respect to which the Company or any of its affiliates controls intellectual property rights covering the exploitation thereof (a “Rett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parties have agreed that, if Astellas exercises an Option, the parties will, for a specified period, negotiate a license agreement in good faith on the terms and conditions outlined in the Option Agreement, including payments by Astellas of a to be determined upfront payment, certain to be determined milestone payments, and certain to be determined royalties on net sales of GAN Products and/or Rett Products, as applicable.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Rett Option Period, the Company has agreed to (A) not solicit or encourage any inquiries, offers or proposals for, or that could reasonably be expected to lead to, a Change of Control (as defined in the Option Agreement), or (B) otherwise initiate a process for a potential Change of Control, in each case, without first notifying Astellas and offering Astellas the opportunity to submit an offer or proposal to the Company for a transaction that would result in a Change of Control. If Astellas fails or declines to submit any such offer within a specified period after the receipt of such notice, the Company will have the ability to solicit third party bids for a Change of Control transaction. If Astellas delivers an offer to the Company for a transaction that would result in a Change of Control, the Company and Astellas will attempt to negotiate in good faith the potential terms and conditions for such potential transaction that would result in a Change of Control for a specified period, which period may be shortened or extended by mutual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partial consideration for the rights granted to Astellas under the Option Agreement, Astellas paid the Company an upfront payment of $20.0 million (the “Upfront Payment”). Astellas or any of its affiliates shall have the right, in its or their discretion and upon written notice to the Company, to offset the amount of the Upfront Payment (in whole or in part, until the full amount of the Upfront Payment has been offset) against (a) any payment(s) owed to Taysha or any of its affiliates (or to any third party on behalf of the Company) under or in connection with any license agreement entered into with respect to any GAN Product or Rett Product, including, any upfront payment, milestone payment or royalties owed to Taysha or any of its affiliates (or to any third party on behalf of the Company) under or in connection with any such license agreement or (b) any amount owed to Taysha or any of its affiliates in connection with a Change of Control transaction with Astellas or any of its affiliates. As further consideration for the rights granted to Astellas under the Option Agreement, the Company and Astellas also entered into the Astellas Securities Purchase Agreement (as defined below).</w:t>
      </w:r>
    </w:p>
    <w:p>
      <w:pPr>
        <w:pStyle w:val="TextBody"/>
        <w:bidi w:val="0"/>
        <w:jc w:val="left"/>
        <w:rPr>
          <w:rFonts w:ascii="Times New Roman" w:hAnsi="Times New Roman"/>
          <w:i/>
          <w:color w:val="000000"/>
          <w:sz w:val="20"/>
        </w:rPr>
      </w:pPr>
      <w:r>
        <w:rPr>
          <w:rFonts w:ascii="Times New Roman" w:hAnsi="Times New Roman"/>
          <w:i/>
          <w:color w:val="000000"/>
          <w:sz w:val="20"/>
        </w:rPr>
        <w:t>Astellas Securities Purchase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21, 2022, the Company entered into a securities purchase agreement with Astellas (the “Astellas Securities Purchase Agreement”), pursuant to which the Company agreed to issue and sell to Astellas in a private placement (the “Astellas Private Placement”), an aggregate of 7,266,342 shares (the “Astellas Private Placement Shares”), of its common stock, for aggregate gross proceeds of $30.0 million. The Astellas Private Placement closed on October 24, 2022. Pursuant to the Securities Purchase Agreement, in connection with the Astellas Private Placement, Astellas has the right to designate one individual to attend all meetings of the Board in a non-voting observer capacity. The Company also granted Astellas certain registration rights with respect to the Astellas Private Placement Shares.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Accounting Treatment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October 2022, upon closing of the Astellas Private Placement and transferring the 7,266,342 shares to Astellas, the Company recorded the issuance of shares at fair value. Fair value of the shares transferred to Astellas was calculated in accordance with ASC 820, </w:t>
      </w:r>
      <w:r>
        <w:rPr>
          <w:rFonts w:ascii="Times New Roman" w:hAnsi="Times New Roman"/>
          <w:i/>
          <w:color w:val="000000"/>
          <w:sz w:val="20"/>
        </w:rPr>
        <w:t xml:space="preserve">Fair Value Measurement </w:t>
      </w:r>
      <w:r>
        <w:rPr>
          <w:rFonts w:ascii="Times New Roman" w:hAnsi="Times New Roman"/>
          <w:color w:val="000000"/>
          <w:sz w:val="20"/>
        </w:rPr>
        <w:t xml:space="preserve">by analyzing the Company’s stock price for a short period of time prior to and after the transaction date as traded on the NASDAQ. The NASDAQ trading data is considered an active market and a Level 1 measurement under ASC 820. The fair value was determined to be approximately $13.95 million or $1.92 per share. The $16.1 million difference between the $30.0 million paid by Astellas and the fair market value of shares issued was allocated to the transaction price of the Option Agreement.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determined that the Option Agreement falls within the scope of ASC 606, </w:t>
      </w:r>
      <w:r>
        <w:rPr>
          <w:rFonts w:ascii="Times New Roman" w:hAnsi="Times New Roman"/>
          <w:i/>
          <w:color w:val="000000"/>
          <w:sz w:val="20"/>
        </w:rPr>
        <w:t>Revenue from Contracts with Customers</w:t>
      </w:r>
      <w:r>
        <w:rPr>
          <w:rFonts w:ascii="Times New Roman" w:hAnsi="Times New Roman"/>
          <w:color w:val="000000"/>
          <w:sz w:val="20"/>
        </w:rPr>
        <w:t xml:space="preserve"> as the development of TSHA-102 for the treatment of Rett Syndrome and TSHA-120 for the treatment of GAN are considered ordinary activities for the Company. In accordance with ASC 606, the Company evaluated the Option Agreement and identified three separate performance obligations: (1) option to obtain licensing right to GAN, (2) option to obtain licensing right to Rett and (3) performance of research and development activities in the Rett development plan. The transaction price is determined to be $36.1 million which is comprised of the $20.0 million Upfront Payment and the $16.1 million allocated from the Private Placement.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determine the standalone selling price ("SSP") of the Rett and GAN options, which the Company concluded to be material rights, the Company utilized the probability-weighted expected return (PWERM) method. The PWERM method contemplates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probability and timing of an option exercise. At contract inception, the Company estimated that the probability of exercise was 50% for each of the GAN and Rett options. The SSP of the Rett research and development activities was estimated using an expected cost plus margin approach. The standalone selling prices of the material rights and Rett research and development activities were then used to proportionately allocate the $36.1 million transaction price to the three performance obligations. The $36.1 million transaction price was recorded as deferred revenue on the condensed consolidated balance sheet at the inception of the Astellas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allocation of the transaction price to the three performance obligations at contract inception (amounts in thousands): </w:t>
      </w:r>
    </w:p>
    <w:p>
      <w:pPr>
        <w:pStyle w:val="TextBody"/>
        <w:bidi w:val="0"/>
        <w:jc w:val="left"/>
        <w:rPr/>
      </w:pPr>
      <w:r>
        <w:rPr/>
        <w:t> </w:t>
      </w:r>
    </w:p>
    <w:tbl>
      <w:tblPr>
        <w:tblW w:w="6348" w:type="dxa"/>
        <w:jc w:val="left"/>
        <w:tblInd w:w="0" w:type="dxa"/>
        <w:tblLayout w:type="fixed"/>
        <w:tblCellMar>
          <w:top w:w="28" w:type="dxa"/>
          <w:left w:w="28" w:type="dxa"/>
          <w:bottom w:w="28" w:type="dxa"/>
          <w:right w:w="28" w:type="dxa"/>
        </w:tblCellMar>
      </w:tblPr>
      <w:tblGrid>
        <w:gridCol w:w="3421"/>
        <w:gridCol w:w="346"/>
        <w:gridCol w:w="520"/>
        <w:gridCol w:w="1670"/>
        <w:gridCol w:w="391"/>
      </w:tblGrid>
      <w:tr>
        <w:trPr/>
        <w:tc>
          <w:tcPr>
            <w:tcW w:w="34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Transaction Price Allocation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 to obtain license for Rett</w:t>
            </w:r>
          </w:p>
        </w:tc>
        <w:tc>
          <w:tcPr>
            <w:tcW w:w="346"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5,485</w:t>
            </w:r>
          </w:p>
        </w:tc>
        <w:tc>
          <w:tcPr>
            <w:tcW w:w="391" w:type="dxa"/>
            <w:tcBorders/>
            <w:shd w:fill="CFF0FC" w:val="clear"/>
            <w:vAlign w:val="center"/>
          </w:tcPr>
          <w:p>
            <w:pPr>
              <w:pStyle w:val="TableContents"/>
              <w:bidi w:val="0"/>
              <w:spacing w:before="0" w:after="283"/>
              <w:jc w:val="left"/>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 to obtain license for GAN</w:t>
            </w:r>
          </w:p>
        </w:tc>
        <w:tc>
          <w:tcPr>
            <w:tcW w:w="346"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16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w:t>
            </w:r>
          </w:p>
        </w:tc>
        <w:tc>
          <w:tcPr>
            <w:tcW w:w="39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Rett research and development activities</w:t>
            </w:r>
          </w:p>
        </w:tc>
        <w:tc>
          <w:tcPr>
            <w:tcW w:w="346" w:type="dxa"/>
            <w:tcBorders/>
            <w:shd w:fill="CFF0FC" w:val="clear"/>
            <w:vAlign w:val="center"/>
          </w:tcPr>
          <w:p>
            <w:pPr>
              <w:pStyle w:val="TableContents"/>
              <w:bidi w:val="0"/>
              <w:spacing w:before="0" w:after="283"/>
              <w:jc w:val="left"/>
              <w:rPr/>
            </w:pPr>
            <w:r>
              <w:rPr/>
              <w:t> </w:t>
            </w:r>
          </w:p>
        </w:tc>
        <w:tc>
          <w:tcPr>
            <w:tcW w:w="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2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5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allocated to the material rights will be recognized at a point in time when each option period expires or when a decision is made by Astellas to exercise or not exercise each option. Revenue from the Rett research and development activities will be recognized as activities are performed using an input method, according to the costs incurred as related to the total costs expected to be incurred to satisfy the performance obligation. The transfer of control occurs over this time period and is a reliable measure of progress towards satisfying the performance obligation.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2024, there were no significant changes to the total estimated costs to be incurred to satisfy the performance obligation associated with the Rett research and development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revenue of $3.4 million and $4.7 million from Rett research and development activities for the three months ended March 31, 2024 and 2023,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had $14.7 million of deferred revenue on the condensed consolidated balance sheet as of March 31, 2024 comprised of $5.5 million for the Rett Option and $9.2 million of Rett research and development activities. The GAN option revenue was recognized in September 2023 when Astellas provided written notice of its decision not to exercise the GAN Option.</w:t>
      </w:r>
    </w:p>
    <w:p>
      <w:pPr>
        <w:pStyle w:val="TextBody"/>
        <w:bidi w:val="0"/>
        <w:spacing w:before="40" w:after="283"/>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7 – Term Loans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Loan with Trinity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13, 2023 (the “Trinity Closing Date”), the Company entered into a Loan and Security Agreement (the “Trinity Term Loan Agreement”), by and among the Company, the lenders party thereto from time to time (the “Trinity Lenders”) and Trinity Capital Inc., as administrative agent and collateral agent for the Trinity Lenders (“Trinity”). The Trinity Term Loan Agreement provides for, on the Trinity Closing Date, $40.0 million aggregate principal amount of term loans (collectively, the “Trinity Term Loans”). The Company drew the Trinity Term Loans in full on the Trinity Closing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interest rate applicable to the Trinity Term Loans is the greater of (a) the Wall Street Journal (“WSJ”) Prime Rate plus 4.50% or (b) 12.75% per annum. The Trinity Term Loans are interest only from the Trinity Closing Date through 36 months from the Trinity Closing Date, which may be extended to 48 months from the Trinity Closing Date upon the satisfaction of certain milestones set forth in the Trinity Term Loan Agreement, after which the Company is required to pay equal monthly installments of principal through November 13, 2028 (the “Maturity Date”). As of March 31, 2024, $40.0 million was outstanding on the Term Loan, recorded as Term Loan, net on the condensed consolidated balance sheet.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principal debt payments on the Term Loan Agreement as of March 31, 2024 are as follows (in thousands):</w:t>
      </w:r>
    </w:p>
    <w:p>
      <w:pPr>
        <w:pStyle w:val="TextBody"/>
        <w:bidi w:val="0"/>
        <w:jc w:val="left"/>
        <w:rPr/>
      </w:pPr>
      <w:r>
        <w:rPr/>
        <w:t> </w:t>
      </w:r>
    </w:p>
    <w:tbl>
      <w:tblPr>
        <w:tblW w:w="3565" w:type="dxa"/>
        <w:jc w:val="left"/>
        <w:tblInd w:w="0" w:type="dxa"/>
        <w:tblLayout w:type="fixed"/>
        <w:tblCellMar>
          <w:top w:w="28" w:type="dxa"/>
          <w:left w:w="28" w:type="dxa"/>
          <w:bottom w:w="28" w:type="dxa"/>
          <w:right w:w="28" w:type="dxa"/>
        </w:tblCellMar>
      </w:tblPr>
      <w:tblGrid>
        <w:gridCol w:w="2341"/>
        <w:gridCol w:w="146"/>
        <w:gridCol w:w="211"/>
        <w:gridCol w:w="676"/>
        <w:gridCol w:w="1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18,709</w:t>
            </w:r>
          </w:p>
        </w:tc>
        <w:tc>
          <w:tcPr>
            <w:tcW w:w="191" w:type="dxa"/>
            <w:tcBorders/>
            <w:shd w:fill="FFFFFF" w:val="clear"/>
            <w:vAlign w:val="center"/>
          </w:tcPr>
          <w:p>
            <w:pPr>
              <w:pStyle w:val="TableContents"/>
              <w:bidi w:val="0"/>
              <w:spacing w:before="0" w:after="283"/>
              <w:jc w:val="left"/>
              <w:rPr/>
            </w:pPr>
            <w:r>
              <w:rPr/>
              <w:t> </w:t>
            </w:r>
          </w:p>
        </w:tc>
      </w:tr>
      <w:tr>
        <w:trPr/>
        <w:tc>
          <w:tcPr>
            <w:tcW w:w="2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principal payments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Trinity Term Loans may be prepaid in full (i) from the Trinity Closing Date through November 13, 2024, with payment of a 3.00% prepayment premium, (ii) from November 13, 2024 through November 13, 2025, with payment of a 2% prepayment premium, and (iii) from November 13, 2025 through, but excluding, the Maturity Date, with payment of a 1% prepayment premium. On the Trinity Closing Date, the Company paid to Trinity a commitment fee of 1.00% of the original principal amount of the Trinity Term Loans. Upon repayment in full of the Trinity Term Loans, the Company will pay to Trinity an end of term payment equal to 5.00% of the original principal amount of the Trinity Term Loans.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obligations under the Trinity Term Loan Agreement are secured by a perfected security interest in all of the Company’s assets except for certain customarily excluded property pursuant to the terms of the Trinity Term Loan Agreement. There are no financial covenants and no warrants associated with the Trinity Term Loan Agreement. The Trinity Term Loan Agreement contains various covenants that limit the Company’s ability to engage in specified types of transactions without the consent of Trinity and the Trinity Lenders which include, among others, incurring or assuming certain debt; merging, consolidating or acquiring all or substantially all of the capital stock or property of another entity; changing the nature of the Company’s business; changing the Company’s organizational structure or type; licensing, transferring or disposing of certain assets; granting certain types of liens on the Company’s assets; making certain investments; and paying cash dividends. As of March 31, 2024, the Company is in compliance with all covenants of the Trinity Term Loans.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Trinity Term Loan Agreement also contains customary representations and warranties, and also includes customary events of default, including payment default, breach of covenants, change of control, and material adverse effects. Upon the occurrence of an event of default, a default interest rate of an additional 5% per annum may be applied to the outstanding loan balances, and the Trinity Lenders may declare all outstanding obligations immediately due and payable and exercise all of its rights and remedies as set forth in the Trinity Term Loan Agreement and under applicable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proceeds of the Trinity Term Loans were used to repay the Company’s obligations under the Term Loan Agreement with Silicon Valley Bank in full. The Term Loan Agreement with Silicon Valley Bank was terminated concurrently with entry into the Trinity Term Loan Agreement.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assessed the terms and features of the Trinity Term Loans and determined that the Company was eligible to elect the fair value option under ASC 825, </w:t>
      </w:r>
      <w:r>
        <w:rPr>
          <w:rFonts w:ascii="Times New Roman" w:hAnsi="Times New Roman"/>
          <w:i/>
          <w:color w:val="000000"/>
          <w:sz w:val="20"/>
        </w:rPr>
        <w:t>Financial Instruments</w:t>
      </w:r>
      <w:r>
        <w:rPr>
          <w:rFonts w:ascii="Times New Roman" w:hAnsi="Times New Roman"/>
          <w:color w:val="000000"/>
          <w:sz w:val="20"/>
        </w:rPr>
        <w:t>. The Trinity Term Loans contain various embedded features and the election of the fair value option allowed the Company to bypass analysis of potential embedded derivatives and further analysis of bifurcation of any recognized financial liabilities. Under the fair value option, the financial liability is initially measured at its fair value on the issue date and subsequently remeasured at estimated fair value on a recurring basis at each reporting date. Changes in the fair value of the Trinity Term Loans, which include accrued interest, if any, are recorded as a component of other expense (income) in the condensed consolidated statements of operations. The Company has not elected to present interest expense separately from changes in fair value and therefore will not present interest expense associated with the Trinity Term Loans. Any changes in fair value caused by instrument-specific credit risk are presented separately in other comprehensive income or loss if material. Under the fair value option, debt issuance costs are expensed as incurred. The Company incurred $0.9 million of debt issuance costs, which were recorded within general and administrative expense in the consolidated statements of operations for the year ended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Trinity Term Loans, the Company entered into a Success Fee Agreement with Trinity which specifies the terms regarding a fee in the amount of 10% of the principal amount of the funded Trinity Term Loans (the "Success Fee"). The Success Fee is payable upon the achievement of certain corporate development value-inflection milestones. The Success Fee survives the termination of the Trinity Term Loans and expires on the earlier of ten years, or payment in full in cash of the Success Fee. The Company determined that the Success Fee represents a freestanding financial instrument and should be accounted for as a derivative liability under ASC 815 and recorded a liability within other non-current liabilities on the consolidated balance sheet, at fair value on the Trinity Closing Date and will be marked-to-market at the end of each reporting period with gains and losses recognized as a component of other income (expense) in the condensed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proceeds from the Trinity Term Loans were allocated to the Success Fee and Trinity Term Loans based on their respective fair values on the Trinity Closing Date. The fair values were determined utilizing a probability-weighted income approach, including variables for the timing of a success event and other probability estimates.</w:t>
      </w:r>
    </w:p>
    <w:p>
      <w:pPr>
        <w:pStyle w:val="TextBody"/>
        <w:bidi w:val="0"/>
        <w:jc w:val="left"/>
        <w:rPr>
          <w:rFonts w:ascii="Times New Roman" w:hAnsi="Times New Roman"/>
          <w:color w:val="000000"/>
          <w:sz w:val="20"/>
        </w:rPr>
      </w:pPr>
      <w:r>
        <w:rPr>
          <w:rFonts w:ascii="Times New Roman" w:hAnsi="Times New Roman"/>
          <w:color w:val="000000"/>
          <w:sz w:val="20"/>
        </w:rPr>
        <w:t>The Company determined the fair value of the Trinity Term Loans and the Success Fee using a probability-weighted income approach and recorded the loan at fair value of $39.2 million and the Success Fee liability at fair value of $0.8 million in the condensed consolidated balance sheet at issuance. The Company calculated the discounted cash flows of the Trinity Term Loans using a discount rate of 15.68% and adjusted for the probability of various repayment scenarios. The Company calculated the discounted cash flows of the Success Fee liability, using a discount rate of 15.68% then adjusted for the probability of achievement of certain corporate development value-inflection milestones.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remeasured the fair value of the Trinity Term Loans and Success Fee as of March 31, 2024 using a probability-weighted income approach. The Company calculated discounted cash flows of the Trinity Term Loans using a discount rate of 15.00% and adjusted for the probability of various repayment scenarios. The Company calculated the discounted cash flows of the Success Fee liability, using a discount rate of 15.00% then adjusted for the probability of achievement of certain corporate development value-inflection milestones.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reconciles the change in fair value of the Trinity Term Loans during the three months ended March 31, 2024 (in thousands):</w:t>
      </w:r>
    </w:p>
    <w:p>
      <w:pPr>
        <w:pStyle w:val="TextBody"/>
        <w:bidi w:val="0"/>
        <w:jc w:val="left"/>
        <w:rPr/>
      </w:pPr>
      <w:r>
        <w:rPr/>
        <w:t> </w:t>
      </w:r>
    </w:p>
    <w:tbl>
      <w:tblPr>
        <w:tblW w:w="5955" w:type="dxa"/>
        <w:jc w:val="left"/>
        <w:tblInd w:w="0" w:type="dxa"/>
        <w:tblLayout w:type="fixed"/>
        <w:tblCellMar>
          <w:top w:w="28" w:type="dxa"/>
          <w:left w:w="28" w:type="dxa"/>
          <w:bottom w:w="28" w:type="dxa"/>
          <w:right w:w="28" w:type="dxa"/>
        </w:tblCellMar>
      </w:tblPr>
      <w:tblGrid>
        <w:gridCol w:w="4711"/>
        <w:gridCol w:w="146"/>
        <w:gridCol w:w="211"/>
        <w:gridCol w:w="676"/>
        <w:gridCol w:w="21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Trinity Term Loans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47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fair value balance at January 1, 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40,508</w:t>
            </w:r>
          </w:p>
        </w:tc>
        <w:tc>
          <w:tcPr>
            <w:tcW w:w="211" w:type="dxa"/>
            <w:tcBorders/>
            <w:shd w:fill="CFF0FC" w:val="clear"/>
            <w:vAlign w:val="center"/>
          </w:tcPr>
          <w:p>
            <w:pPr>
              <w:pStyle w:val="TableContents"/>
              <w:bidi w:val="0"/>
              <w:spacing w:before="0" w:after="283"/>
              <w:jc w:val="left"/>
              <w:rPr/>
            </w:pPr>
            <w:r>
              <w:rPr/>
              <w:t> </w:t>
            </w:r>
          </w:p>
        </w:tc>
      </w:tr>
      <w:tr>
        <w:trPr/>
        <w:tc>
          <w:tcPr>
            <w:tcW w:w="47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payments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7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reported in statements of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reported in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fair value balance as of March 31, 2024</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2024, the Company recorded $1.3 million of interest expense within change in fair value of term loans, all of which was paid as of March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reconciles the change in fair value of the Success Fee liability during the three months ended March 31, 2024 (in thousands):</w:t>
      </w:r>
    </w:p>
    <w:p>
      <w:pPr>
        <w:pStyle w:val="TextBody"/>
        <w:bidi w:val="0"/>
        <w:jc w:val="left"/>
        <w:rPr/>
      </w:pPr>
      <w:r>
        <w:rPr/>
        <w:t> </w:t>
      </w:r>
    </w:p>
    <w:tbl>
      <w:tblPr>
        <w:tblW w:w="4975" w:type="dxa"/>
        <w:jc w:val="left"/>
        <w:tblInd w:w="0" w:type="dxa"/>
        <w:tblLayout w:type="fixed"/>
        <w:tblCellMar>
          <w:top w:w="28" w:type="dxa"/>
          <w:left w:w="28" w:type="dxa"/>
          <w:bottom w:w="28" w:type="dxa"/>
          <w:right w:w="28" w:type="dxa"/>
        </w:tblCellMar>
      </w:tblPr>
      <w:tblGrid>
        <w:gridCol w:w="4006"/>
        <w:gridCol w:w="146"/>
        <w:gridCol w:w="211"/>
        <w:gridCol w:w="421"/>
        <w:gridCol w:w="19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Success Fee</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fair value balance at January 1, 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9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Success Fee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fair value balance as of March 31, 2024</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Loan with Silicon Valley Bank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12, 2021 (the “Closing Date”), the Company entered into a Loan and Security Agreement (the “Term Loan Agreement”), by and among the Company, the lenders party thereto from time to time (the “Lenders”) and Silicon Valley Bank, as administrative agent and collateral agent for the Lenders (“Agent”). The Term Loan Agreement provided for (i) on the Closing Date, $40.0 million aggregate principal amount of term loans available through December 31, 2021, (ii) from January 1, 2022 until September 30, 2022, an additional $20.0 million term loan facility available at the Company’s option upon having three distinct and active clinical stage programs, determined at the discretion of the Agent, at the time of draw, (iii) from October 1, 2022 until March 31, 2023, an additional $20.0 million term loan facility available at the Company’s option upon having three distinct and active clinical stage programs, determined at the discretion of the Agent, at the time of draw and (iv) from April 1, 2023 until December 31, 2023, an additional $20.0 million term loan facility available upon approval by the Agent and the Lenders (collectively, the “Term Loans”). The Company drew $30.0 million in term loans on the Closing Date and $10.0 million in term loans in December 2021. The Company did not draw on the two additional $20.0 million tranches prior to expiration on September 30, 2022 and March 31, 2023. The Term Loan Agreement with Silicon Valley Bank was terminated concurrently with entry into the Trinity Term Loan Agreement in November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interest rate applicable to the Term Loans was the greater of (a) the WSJ Prime Rate plus 3.75% or (b) 7.00% per annum. The Term Loans were interest only from the Closing Date through August 31, 2024, after which the Company was required to pay equal monthly installments of principal through August 1, 2026, the maturity date.</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Term Loans could have been prepaid in full through August 12, 2023, with payment of a 1.00% prepayment premium, after which they could be prepaid in full with no prepayment premium. An additional final payment of 7.5% of the amount of Terms Loans advanced by the Lenders (“Exit Fee”) was due upon prepayment or repayment of the Term Loans in full. The Exit Fee of $3.0 million was recorded as debt discount. The debt discount was being accreted using the effective interest method over the term of the Term Loans within interest expense in the condensed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obligations under the Term Loan Agreement were secured by a perfected security interest in all of the Company’s assets except for intellectual property and certain other customarily excluded property pursuant to the terms of the Term Loan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termination of the Term Loan Agreement with Silicon Valley Bank, the Company made a prepayment of $43.2 million to satisfy the Company’s principal and interest obligations and related fees under the Term Loan Agreement. The payoff amount paid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by the Company in connection with the Term Loans included payment of the Exit Fee of $3.0 million and accrued interest of $0.2 million. In connection with the repayment of the Term Loans, the remaining balance of debt discount of $1.4 million was recognized as a component of other income (expense) in the condensed consolidated statements of operations for the year ended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2023, the Company recognized interest expense related to the Term Loans of $1.3 million.</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8—Research, Collaboration and License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UT Southwestern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19, 2019, the Company entered into a research, collaboration and license agreement (“UT Southwestern Agreement”) with the Board of Regents of the University of Texas System on behalf of The University of Texas Southwestern Medical Center (“UT Southwestern”). Under the UT Southwestern Agreement, UT Southwestern is primarily responsible for preclinical development activities with respect to licensed products for use in certain specified indications (up to investigational new drug application-enabling studies), and the Company is responsible for all subsequent clinical development and commercialization activities with respect to the licensed products. UT Southwestern will conduct such preclinical activities for a two-year period under mutually agreed upon sponsored research agreements that were entered into beginning in April 2020. During the initial research phase, the Company has the right to expand the scope of specified indications under the UT Southwestern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UT Southwestern Agreement, the Company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the Company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The Company is required to use commercially reasonable efforts to develop, obtain regulatory approval for, and commercialize at least one licensed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2, 2020, the Company amended the UT Southwestern Agreement to include the addition of another licensed product and certain indications, and a right of first refusal to the Company over certain patient dosing patents. No additional consideration was transferred in connection with this amendment. In March 2022, the Company and UT Southwestern mutually agreed to revise the payment schedules and current performance expectations of the current sponsored research agreements under the UT Southwestern Agreement and defer payments by fifteen months. In December 2023, the Company and UT Southwestern mutually agreed to terminate specific sponsored research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UT Southwestern Agreement expires on a country-by-country and licensed product-by-licensed product basis upon the expiration of the last valid claim of a licensed patent in such country for such licensed product. After the initial research term, the Company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 In December 2023, the Company transferred rights to specific indications back to UT Southwestern.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2019, as partial consideration for the license rights granted under the UT Southwestern Agreement, the Company issued 2,179,000 shares of its common stock, or 20% of its then outstanding fully-diluted common stock, to UT Southwestern. The Company does not have any future milestone or royalty obligations to UT Southwestern under the UT Southwestern Agreement other than costs related to maintenance of patents.</w:t>
      </w:r>
    </w:p>
    <w:p>
      <w:pPr>
        <w:pStyle w:val="TextBody"/>
        <w:bidi w:val="0"/>
        <w:spacing w:before="240" w:after="283"/>
        <w:jc w:val="left"/>
        <w:rPr>
          <w:rFonts w:ascii="Times New Roman" w:hAnsi="Times New Roman"/>
          <w:sz w:val="20"/>
        </w:rPr>
      </w:pPr>
      <w:r>
        <w:rPr>
          <w:rFonts w:ascii="Times New Roman" w:hAnsi="Times New Roman"/>
          <w:b/>
          <w:i/>
          <w:color w:val="000000"/>
          <w:sz w:val="20"/>
        </w:rPr>
        <w:t>Queen’s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21, 2020, the Company entered into a license agreement with Queen’s (the “Queen’s Agreement”) to obtain the exclusive perpetual, royalty-bearing license, with the right to sublicense through multiple tiers, under certain patent rights and know-how of Queen’s, including certain improvements to such patent rights and know-how, to develop products in any field which use one or more valid claims of the patents licensed under the Queen’s Agreement (the “Licensed Patents”), or the technology, information and intellectual property related to the patents licensed under the Queen’s Agreement (together with the Licensed Patents, the “Licensed Products”), and to make, have made, use, sell, offer for sale, import and export Licensed Products and otherwise exploit such patents and know-how for use in certain specified indications. In exchange for the rights granted to the Company, the Company made a cash payment of $3.0 million in April 2020 which was recorded within research and development expenses in the consolidated statements of operations since the acquired license does not have an alternative future use. The Company is obligated to make aggregate cash payments of up to $10.0 million upon the completion of a combination of regulatory milestones and up to $10.0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million upon the completion of a combination of commercial milestones. In further consideration of the rights granted, beginning with the Company’s first commercial sale of the Licensed Products, the Company will also pay an annual earned royalty in the low single digits on net sales of Licensed Products, subject to certain customary reductions, and a percentage of non-royalty sublicensing revenue ranging in the low double digits. Royalties are payable, on a Licensed Products-by-Licensed Products and a country-by-country basis, until expiration of the last valid claim of a Licensed Patent covering such Licensed Products in such country and the expiration of any regulatory exclusivity for such Licensed Products in such country.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2024, the Company transferred rights back to Queen’s for the Licensed Patents. No additional milestone payments were made in connection with the Queen’s Agreement during the three months ended March 31, 2024.</w:t>
      </w:r>
    </w:p>
    <w:p>
      <w:pPr>
        <w:pStyle w:val="TextBody"/>
        <w:bidi w:val="0"/>
        <w:spacing w:before="240" w:after="283"/>
        <w:jc w:val="left"/>
        <w:rPr>
          <w:rFonts w:ascii="Times New Roman" w:hAnsi="Times New Roman"/>
          <w:sz w:val="20"/>
        </w:rPr>
      </w:pPr>
      <w:r>
        <w:rPr>
          <w:rFonts w:ascii="Times New Roman" w:hAnsi="Times New Roman"/>
          <w:b/>
          <w:i/>
          <w:color w:val="000000"/>
          <w:sz w:val="20"/>
        </w:rPr>
        <w:t>Abeona CLN1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2020, the Company entered into license and inventory purchase agreements with Abeona Therapeutics Inc. (“Abeona”) for worldwide exclusive rights to certain intellectual property rights and know-how relating to the research, development and manufacture of ABO-202, an AAV-based gene therapy for CLN1 disease (also known as infantile Batten disease). Under the terms of the agreements, the Company made initial cash payments to Abeona of $3.0 million for the license fee and $4.0 million for purchase of clinical materials and reimbursement for previously incurred development costs in October 2020. In exchange for the license rights, the Company recorded an aggregate of $7.0 million within research and development expenses in the consolidated statements of operations for the year ended December 31, 2020 since the acquired license or acquired inventory do not have an alternative future use. The Company is obligated to make up to $26.0 million in regulatory-related milestones and up to $30.0 million in sales-related milestones per licensed CLN1 product. The Company will also pay an annual earned royalty in the high single digits on net sales of any licensed CLN1 products. The license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license agreement for convenience upon specified prior written notice to Abeona.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2021, a regulatory milestone was triggered in connection with this agreement and therefore the Company recorded $3.0 million within research and development expenses in the consolidated statements of operations for the year ended December 31, 2021. The milestone fee was paid in January 2022 and classified as an investing cash outflow in the condensed consolidated statements of cash flows. No additional milestone payments were triggered in connection with this agreement during the three months ended March 31,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Abeona Rett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29, 2020, the Company entered into a license agreement (the “Abeona Rett Agreement”) with Abeona pursuant to which the Company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Subject to certain obligations of Abeona, the Company is required to use commercially reasonable efforts to develop at least one licensed product and commercialize at least one licensed product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Abeona Rett Agreement, the Company paid Abeona a one-time upfront license fee of $3.0 million which was recorded in research and development expenses in the consolidated statements of operations for the year ended December 31, 2020 since the acquired license does not have an alternative future use. The Company is obligated to pay Abeona up to $26.5 million in regulatory-related milestones and up to $30.0 million in sales-related milestones per licensed Rett product and high single-digit royalties on net sales of licensed Rett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agreement for convenience upon specified prior written notice to Abeona.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2022, the Company’s clinical trial application, (“CTA”) filing for TSHA-102 for the treatment of Rett Syndrome was approved by Health Canada and therefore triggered a regulatory milestone payment in connection with this agreement.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Company recorded $1.0 million within research and development expenses and classified the payment as an investing cash outflow in the consolidated statements of cash flows. In May 2023, the Company dosed the first patient with TSHA-102 in the Phase 1/2 REVEAL trial evaluating the safety and preliminary efficacy of TSHA-102 in adult patients with Rett syndrome and therefore triggered a milestone payment in connection with the Abeona Rett Agreement. The Company recorded $3.5 million within research and development expenses in the condensed consolidated statements of operations for the year ended December 31, 2023. This milestone fee was paid in August 2023 and classified as an investing cash outflow in the consolidated statements of cash flows for the year ended December 31, 2023. No additional milestone payments were made or triggered in connection with this agreement during the three months ended March 31, 2024.</w:t>
      </w:r>
    </w:p>
    <w:p>
      <w:pPr>
        <w:pStyle w:val="TextBody"/>
        <w:bidi w:val="0"/>
        <w:spacing w:before="240" w:after="283"/>
        <w:jc w:val="left"/>
        <w:rPr>
          <w:rFonts w:ascii="Times New Roman" w:hAnsi="Times New Roman"/>
          <w:sz w:val="20"/>
        </w:rPr>
      </w:pPr>
      <w:r>
        <w:rPr>
          <w:rFonts w:ascii="Times New Roman" w:hAnsi="Times New Roman"/>
          <w:b/>
          <w:i/>
          <w:color w:val="000000"/>
          <w:sz w:val="20"/>
        </w:rPr>
        <w:t>Acquisition of Worldwide Rights for TSHA-120 for the treatment of GAN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2021, the Company acquired the exclusive worldwide rights to a clinical-stage AAV9 gene therapy program, now known as TSHA-120, for the treatment of GAN pursuant to a license agreement with Hannah’s Hope Fund (“HHF”) for Giant Axonal Neuropathy, Inc. TSHA-120 is an intrathecally dosed AAV9 gene therapy currently being evaluated in a clinical trial for the treatment of GAN.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GAN Agreement, in exchange for granting the Company the exclusive worldwide rights to TSHA-120, HHF received an upfront payment of $5.5 million. No additional milestone payments were made or triggered in connection with the GAN Agreement during the three months ended March 31, 2024.</w:t>
      </w:r>
    </w:p>
    <w:p>
      <w:pPr>
        <w:pStyle w:val="TextBody"/>
        <w:bidi w:val="0"/>
        <w:spacing w:before="240" w:after="283"/>
        <w:jc w:val="left"/>
        <w:rPr>
          <w:rFonts w:ascii="Times New Roman" w:hAnsi="Times New Roman"/>
          <w:sz w:val="20"/>
        </w:rPr>
      </w:pPr>
      <w:r>
        <w:rPr>
          <w:rFonts w:ascii="Times New Roman" w:hAnsi="Times New Roman"/>
          <w:b/>
          <w:i/>
          <w:color w:val="000000"/>
          <w:sz w:val="20"/>
        </w:rPr>
        <w:t>License Agreement for CLN7</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March 2022, the Company entered into a license agreement with UT Southwestern (the “CLN7 Agreement”) pursuant to which the Company obtained an exclusive worldwide, royalty-bearing license with right to grant sublicenses to develop, manufacture, use, and commercialize licensed products for gene therapy for CLN7, a form of Batten Disease. In connection with the CLN7 Agreement, the Company paid a one-time upfront license fee of $0.3 million. The Company recorded the upfront license fee in research and development expense in the condensed consolidated statements of operations since the acquired license does not have an alternative future use. The Company is obligated to pay UT Southwestern up to $7.7 million in regulatory-related milestones and up to $7.5 million in sales-related milestones, as well as a low, single-digit royalty on net sales upon commercialization of the product. No additional milestone payments were made or triggered in connection with this agreement during the three months ended March 31, 2024.</w:t>
      </w:r>
    </w:p>
    <w:p>
      <w:pPr>
        <w:pStyle w:val="TextBody"/>
        <w:bidi w:val="0"/>
        <w:spacing w:before="360" w:after="283"/>
        <w:jc w:val="left"/>
        <w:rPr>
          <w:rFonts w:ascii="Times New Roman" w:hAnsi="Times New Roman"/>
          <w:sz w:val="20"/>
        </w:rPr>
      </w:pPr>
      <w:r>
        <w:rPr>
          <w:rFonts w:ascii="Times New Roman" w:hAnsi="Times New Roman"/>
          <w:b/>
          <w:color w:val="000000"/>
          <w:sz w:val="20"/>
        </w:rPr>
        <w:t>Note 9—Stock-Based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 2020, the Company’s board of directors approved the 2020 Equity Incentive Plan (“Previous Plan”) which permits the granting of incentive stock options, non-statutory stock options, stock appreciation rights, restricted stock awards (“RSAs”), restricted stock units (“RSUs”) and other stock-based awards to employees, directors, officers and consultants. As of September 16, 2020, the approval date of the New Plan (as defined below), no additional awards will be granted under the Previous Plan. The terms of the Previous Plan will continue to govern the terms of outstanding equity awards that were granted prior to approval of the New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16, 2020, the Company’s stockholders approved the 2020 Stock Incentive Plan (“New Plan”), which became effective upon the execution of the underwriting agreement in connection with the IPO. The number of shares of common stock reserved for issuance under the New Plan automatically increases on January 1 of each year, for a period of ten years, from January 1, 2021, continuing through January 1, 2030, by 5% of the total number of shares of common stock outstanding on December 31 of the preceding calendar year, or a lesser number of shares as may be determined by the Company’s board of directors. Pursuant to this provision, on January 1, 2024, the Company increased the number of shares of common stock reserved for issuance under the New Plan by 9,348,009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on September 16, 2020, the Company’s stockholders approved the Employee Stock Purchase Plan (“ESPP”), which became effective upon the execution of the underwriting agreement in connection with the IPO. The maximum number of shares of common stock that may be issued under the ESPP will not exceed 362,000 shares of common stock, plus the number of shares of common stock that are automatically added on January 1st of each year for a period of up to ten years, commencing on the first January 1 following the IPO and ending on (and including) January 1, 2030, in an amount equal to the lesser of (i) one percent (1.0%) of the total number of shares of capital stock outstanding on December 31st of the preceding calendar year, and (ii) 724,000 shares of common stock. No shares were added to the ESPP in 2021. Pursuant to this provision, on January 1, 2023 and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increased the number of shares of common stock reserved for issuance under the ESPP by 632,075 and 724,000 respectively. The Company has issued an aggregate of 188,193 shares of common stock under the ESPP as of March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15, 2023, the Company’s board of directors adopted the Taysha Gene Therapies, Inc. 2023 Inducement Plan (the “Inducement Plan”). The Inducement Plan was adopted without stockholder approval pursuant to Nasdaq Listing Rule 5635(c)(4). The Board reserved 4,000,000 shares of the Company’s common stock for issuance under the Inducement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only persons eligible to receive grants of Inducement Awards (as defined below) under the Inducement Plan are individuals who satisfy the standards for inducement grants under Nasdaq Listing Rule 5635(c)(4). The Inducement Plan will be administered by the Board and the Company’s Compensation Committee. Inducement Awards may only be granted by: (i) the Compensation Committee, provided such committee is comprised solely of “independent directors” (as defined by Nasdaq Listing Rule 5605(a)(2)) or (ii) a majority of the Company’s “independent directors.” An “Inducement Award” means any right to receive the Company’s common stock, cash or other property granted under the Inducement Plan (including nonstatutory stock options, restricted stock awards, restricted stock unit awards, stock appreciation rights, performance stock awards, performance cash awards or other stock-based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shares available for grant under the Company’s incentive plans were as follows:</w:t>
      </w:r>
    </w:p>
    <w:p>
      <w:pPr>
        <w:pStyle w:val="TextBody"/>
        <w:bidi w:val="0"/>
        <w:spacing w:before="120" w:after="283"/>
        <w:jc w:val="left"/>
        <w:rPr/>
      </w:pPr>
      <w:r>
        <w:rPr/>
        <w:t> </w:t>
      </w:r>
    </w:p>
    <w:tbl>
      <w:tblPr>
        <w:tblW w:w="7893" w:type="dxa"/>
        <w:jc w:val="left"/>
        <w:tblInd w:w="0" w:type="dxa"/>
        <w:tblLayout w:type="fixed"/>
        <w:tblCellMar>
          <w:top w:w="28" w:type="dxa"/>
          <w:left w:w="28" w:type="dxa"/>
          <w:bottom w:w="28" w:type="dxa"/>
          <w:right w:w="28" w:type="dxa"/>
        </w:tblCellMar>
      </w:tblPr>
      <w:tblGrid>
        <w:gridCol w:w="3151"/>
        <w:gridCol w:w="146"/>
        <w:gridCol w:w="146"/>
        <w:gridCol w:w="1096"/>
        <w:gridCol w:w="166"/>
        <w:gridCol w:w="146"/>
        <w:gridCol w:w="146"/>
        <w:gridCol w:w="931"/>
        <w:gridCol w:w="166"/>
        <w:gridCol w:w="146"/>
        <w:gridCol w:w="146"/>
        <w:gridCol w:w="1096"/>
        <w:gridCol w:w="41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Inducement</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3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Available for grant - January 1, 2024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3,162,725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7,162,725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1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Plan adjustments and amendments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9,348,009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9,348,009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1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(11,314,622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(784,700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(12,099,322</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Forfeitures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120,227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Available for grant -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1,316,339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3,215,300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4,531,639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2024, 7,799,061 shares of common stock under the New Plan were awarded with a weighted-average grant date fair value per share of $1.35. The stock options vest over four years and have a ten-year contractual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weighted-average assumptions were used to estimate the fair value of time-based vesting stock options that were granted during the three months ended March 31, 2024 and 2023:</w:t>
      </w:r>
    </w:p>
    <w:p>
      <w:pPr>
        <w:pStyle w:val="TextBody"/>
        <w:bidi w:val="0"/>
        <w:jc w:val="left"/>
        <w:rPr/>
      </w:pPr>
      <w:r>
        <w:rPr/>
        <w:t> </w:t>
      </w:r>
    </w:p>
    <w:p>
      <w:pPr>
        <w:pStyle w:val="TextBody"/>
        <w:bidi w:val="0"/>
        <w:jc w:val="left"/>
        <w:rPr/>
      </w:pPr>
      <w:r>
        <w:rPr/>
        <w:t> </w:t>
      </w:r>
    </w:p>
    <w:tbl>
      <w:tblPr>
        <w:tblW w:w="4990" w:type="dxa"/>
        <w:jc w:val="left"/>
        <w:tblInd w:w="0" w:type="dxa"/>
        <w:tblLayout w:type="fixed"/>
        <w:tblCellMar>
          <w:top w:w="28" w:type="dxa"/>
          <w:left w:w="28" w:type="dxa"/>
          <w:bottom w:w="28" w:type="dxa"/>
          <w:right w:w="28" w:type="dxa"/>
        </w:tblCellMar>
      </w:tblPr>
      <w:tblGrid>
        <w:gridCol w:w="2131"/>
        <w:gridCol w:w="146"/>
        <w:gridCol w:w="213"/>
        <w:gridCol w:w="681"/>
        <w:gridCol w:w="396"/>
        <w:gridCol w:w="213"/>
        <w:gridCol w:w="213"/>
        <w:gridCol w:w="681"/>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9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shd w:fill="FFFFFF" w:val="clear"/>
            <w:vAlign w:val="center"/>
          </w:tcPr>
          <w:p>
            <w:pPr>
              <w:pStyle w:val="TableContents"/>
              <w:bidi w:val="0"/>
              <w:spacing w:before="0" w:after="283"/>
              <w:jc w:val="center"/>
              <w:rPr/>
            </w:pPr>
            <w:r>
              <w:rPr/>
              <w:t> </w:t>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color w:val="000000"/>
              </w:rPr>
            </w:pPr>
            <w:r>
              <w:rPr>
                <w:color w:val="000000"/>
              </w:rPr>
              <w:t>—</w:t>
            </w:r>
          </w:p>
        </w:tc>
        <w:tc>
          <w:tcPr>
            <w:tcW w:w="39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left"/>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9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16"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time-based vesting stock option activity, during the three months ended March 31, 2024: </w:t>
      </w:r>
    </w:p>
    <w:p>
      <w:pPr>
        <w:pStyle w:val="TextBody"/>
        <w:bidi w:val="0"/>
        <w:jc w:val="left"/>
        <w:rPr/>
      </w:pPr>
      <w:r>
        <w:rPr/>
        <w:t> </w:t>
      </w:r>
    </w:p>
    <w:tbl>
      <w:tblPr>
        <w:tblW w:w="8917" w:type="dxa"/>
        <w:jc w:val="left"/>
        <w:tblInd w:w="0" w:type="dxa"/>
        <w:tblLayout w:type="fixed"/>
        <w:tblCellMar>
          <w:top w:w="28" w:type="dxa"/>
          <w:left w:w="28" w:type="dxa"/>
          <w:bottom w:w="28" w:type="dxa"/>
          <w:right w:w="28" w:type="dxa"/>
        </w:tblCellMar>
      </w:tblPr>
      <w:tblGrid>
        <w:gridCol w:w="3256"/>
        <w:gridCol w:w="146"/>
        <w:gridCol w:w="146"/>
        <w:gridCol w:w="1036"/>
        <w:gridCol w:w="166"/>
        <w:gridCol w:w="146"/>
        <w:gridCol w:w="214"/>
        <w:gridCol w:w="582"/>
        <w:gridCol w:w="146"/>
        <w:gridCol w:w="146"/>
        <w:gridCol w:w="322"/>
        <w:gridCol w:w="803"/>
        <w:gridCol w:w="146"/>
        <w:gridCol w:w="146"/>
        <w:gridCol w:w="267"/>
        <w:gridCol w:w="858"/>
        <w:gridCol w:w="3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3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391" w:type="dxa"/>
            <w:tcBorders/>
            <w:shd w:fill="FFFFFF" w:val="clear"/>
            <w:vAlign w:val="center"/>
          </w:tcPr>
          <w:p>
            <w:pPr>
              <w:pStyle w:val="TableContents"/>
              <w:bidi w:val="0"/>
              <w:spacing w:before="0" w:after="283"/>
              <w:jc w:val="center"/>
              <w:rPr/>
            </w:pPr>
            <w:r>
              <w:rPr/>
              <w:t> </w:t>
            </w:r>
          </w:p>
        </w:tc>
      </w:tr>
      <w:tr>
        <w:trPr/>
        <w:tc>
          <w:tcPr>
            <w:tcW w:w="3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391" w:type="dxa"/>
            <w:tcBorders/>
            <w:shd w:fill="FFFFFF" w:val="clear"/>
            <w:vAlign w:val="center"/>
          </w:tcPr>
          <w:p>
            <w:pPr>
              <w:pStyle w:val="TableContents"/>
              <w:bidi w:val="0"/>
              <w:spacing w:before="0" w:after="283"/>
              <w:jc w:val="center"/>
              <w:rPr/>
            </w:pPr>
            <w:r>
              <w:rPr/>
              <w:t> </w:t>
            </w:r>
          </w:p>
        </w:tc>
      </w:tr>
      <w:tr>
        <w:trPr/>
        <w:tc>
          <w:tcPr>
            <w:tcW w:w="3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391" w:type="dxa"/>
            <w:tcBorders/>
            <w:shd w:fill="FFFFFF" w:val="clear"/>
            <w:vAlign w:val="center"/>
          </w:tcPr>
          <w:p>
            <w:pPr>
              <w:pStyle w:val="TableContents"/>
              <w:bidi w:val="0"/>
              <w:spacing w:before="0" w:after="283"/>
              <w:jc w:val="center"/>
              <w:rPr/>
            </w:pPr>
            <w:r>
              <w:rPr/>
              <w:t> </w:t>
            </w:r>
          </w:p>
        </w:tc>
      </w:tr>
      <w:tr>
        <w:trPr/>
        <w:tc>
          <w:tcPr>
            <w:tcW w:w="3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5,960,922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7,799,061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2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cancelled or forfeited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(53,037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2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13,645,808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1,948,590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aggregate intrinsic value in the above table is calculated as the difference between the fair value of the Company’s common stock at the respective reporting date and the exercise price of the stock options. As of March 31, 2024, the total unrecognized compensation related to unvested stock option awards granted was $16.9 million, which the Company expects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recognize over a weighted-average period of approximately 2.8 years. No performance-based stock options were exercised during the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Performance 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the Company issued options to purchase 70,235 shares of common stock to employees under the New Plan that contain performance-based vesting conditions, subject to continued employment through each anniversary and achievement of the performance conditions. The grant date fair value of these awards was not material. As of March 31, 2024, 58,346 of the shares subject to the performance-based options were vested and outstanding. No stock options were exercised during the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2023, the Company issued options to purchase 2,166,653 shares of common stock to employees under the New Plan that contain both service and performance-based vesting conditions (the "Original Options"), with a weighted average grant date fair value per share of $0.50. These Original Options were expected to vest over a 3.6 year term if a combination of clinical, regulatory and financing performance conditions were achieved. No compensation expense was recognized in 2023 related to the Original Options as achievement of the performance conditions was not considered probable. The following weighted-average assumptions were used to estimate the fair value of the options granted in February 2023 and the Original Options that were granted in May 2023:</w:t>
      </w:r>
    </w:p>
    <w:p>
      <w:pPr>
        <w:pStyle w:val="TextBody"/>
        <w:bidi w:val="0"/>
        <w:spacing w:before="120" w:after="283"/>
        <w:jc w:val="left"/>
        <w:rPr/>
      </w:pPr>
      <w:r>
        <w:rPr/>
        <w:t> </w:t>
      </w:r>
    </w:p>
    <w:tbl>
      <w:tblPr>
        <w:tblW w:w="3205" w:type="dxa"/>
        <w:jc w:val="left"/>
        <w:tblInd w:w="0" w:type="dxa"/>
        <w:tblLayout w:type="fixed"/>
        <w:tblCellMar>
          <w:top w:w="28" w:type="dxa"/>
          <w:left w:w="28" w:type="dxa"/>
          <w:bottom w:w="28" w:type="dxa"/>
          <w:right w:w="28" w:type="dxa"/>
        </w:tblCellMar>
      </w:tblPr>
      <w:tblGrid>
        <w:gridCol w:w="2131"/>
        <w:gridCol w:w="146"/>
        <w:gridCol w:w="146"/>
        <w:gridCol w:w="466"/>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left"/>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2023, the Company modified all of the Original Options to amend the clinical and regulatory performance conditions and decreased the number of options granted to 1,516,655 (the “Modified Options”). The Company accounted for the changes in award terms as a modification in accordance with ASC 718, </w:t>
      </w:r>
      <w:r>
        <w:rPr>
          <w:rFonts w:ascii="Times New Roman" w:hAnsi="Times New Roman"/>
          <w:i/>
          <w:color w:val="000000"/>
          <w:sz w:val="20"/>
        </w:rPr>
        <w:t>Compensation - Stock Compensation</w:t>
      </w:r>
      <w:r>
        <w:rPr>
          <w:rFonts w:ascii="Times New Roman" w:hAnsi="Times New Roman"/>
          <w:color w:val="000000"/>
          <w:sz w:val="20"/>
        </w:rPr>
        <w:t>. Total compensation cost is equal to the modification date fair value. The Modified Options have a grant date fair value per share of $1.28. The following assumptions were used to estimate the fair value of the Modified Options:</w:t>
      </w:r>
    </w:p>
    <w:p>
      <w:pPr>
        <w:pStyle w:val="TextBody"/>
        <w:bidi w:val="0"/>
        <w:jc w:val="left"/>
        <w:rPr/>
      </w:pPr>
      <w:r>
        <w:rPr/>
        <w:t> </w:t>
      </w:r>
    </w:p>
    <w:tbl>
      <w:tblPr>
        <w:tblW w:w="3205" w:type="dxa"/>
        <w:jc w:val="left"/>
        <w:tblInd w:w="0" w:type="dxa"/>
        <w:tblLayout w:type="fixed"/>
        <w:tblCellMar>
          <w:top w:w="28" w:type="dxa"/>
          <w:left w:w="28" w:type="dxa"/>
          <w:bottom w:w="28" w:type="dxa"/>
          <w:right w:w="28" w:type="dxa"/>
        </w:tblCellMar>
      </w:tblPr>
      <w:tblGrid>
        <w:gridCol w:w="2131"/>
        <w:gridCol w:w="146"/>
        <w:gridCol w:w="146"/>
        <w:gridCol w:w="466"/>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left"/>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16"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Modified Options will vest over 3.0 years. The Company recognized stock-based compensation expense of $0.3 million for the three months ended March 31, 2024 related to the Modified Options. As of March 31, 2024, the total unrecognized compensation expense related to the Modified Options was $1.6 million, which the Company expects to recognize over a weighted average period of approximately 1.8 years using the accelerated attribution method. As of March 31, 2024, 1,516,655 of the Modified Options were outstanding. No Modified Options vested or were exercised during the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Market-based 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the Company issued options to purchase 70,233 shares of common stock to employees under the New Plan that contain a market-based vesting condition, subject to continued employment through each anniversary and achievement of the market condition. The grant date fair value of the stock options that contain market-based vesting conditions was not material. As of December 31, 2023, the market condition was not met and all 70,233 shares were forfeited.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March 31, 2024, the Company issued 4,300,261 RSUs to employees under the New Plan. The RSUs are subject to a service-based vesting condition. The service-based RSUs vest in equal annual installments over a four-year period. The Company at any time may accelerate the vesting of the RSUs. Such shares are not accounted for as outstanding until they vest.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default tax withholding method for RSUs granted prior to 2023 is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 For RSUs granted in 2023, the Company’s tax withholding policy allows the RSU holder to choose to either pay cash to the Company for the tax withholding obligation or elect the net withholding method, in which shares with a market equivalent to the tax withholding obligation are withheld and the net shares are issued to the RSU holder.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RSU activity for the three months ended March 31, 2024 was as follows: </w:t>
      </w:r>
    </w:p>
    <w:p>
      <w:pPr>
        <w:pStyle w:val="TextBody"/>
        <w:bidi w:val="0"/>
        <w:jc w:val="left"/>
        <w:rPr/>
      </w:pPr>
      <w:r>
        <w:rPr/>
        <w:t> </w:t>
      </w:r>
    </w:p>
    <w:tbl>
      <w:tblPr>
        <w:tblW w:w="5392" w:type="dxa"/>
        <w:jc w:val="left"/>
        <w:tblInd w:w="0" w:type="dxa"/>
        <w:tblLayout w:type="fixed"/>
        <w:tblCellMar>
          <w:top w:w="28" w:type="dxa"/>
          <w:left w:w="28" w:type="dxa"/>
          <w:bottom w:w="28" w:type="dxa"/>
          <w:right w:w="28" w:type="dxa"/>
        </w:tblCellMar>
      </w:tblPr>
      <w:tblGrid>
        <w:gridCol w:w="2521"/>
        <w:gridCol w:w="146"/>
        <w:gridCol w:w="146"/>
        <w:gridCol w:w="931"/>
        <w:gridCol w:w="166"/>
        <w:gridCol w:w="146"/>
        <w:gridCol w:w="294"/>
        <w:gridCol w:w="651"/>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39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39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39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January 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units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4,300,261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5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Cancelled or 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4,657,971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2024, the total unrecognized compensation cost related to the unvested RSU's was $8.5 million which is expected to be amortized on a straight-line basis over a weighted-average period of approximately 3.2 years.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Performance and Market-based 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the Company issued 81,233 RSUs to employees under the New Plan that contain a combination of performance and market-based vesting conditions, subject to continued employment through each anniversary and achievement of market and performance conditions. The grant date fair value of the RSUs that contain performance and market-based vesting conditions was not material. As of December 31, 2023, 46,562 of the RSUs were forfeited and 34,671 RSUs vested and were settled. No RSUs that contain performance or market-based vesting conditions were granted or outstanding during the three months ended March 31,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2022, the Company’s board of directors authorized the first offering under the ESPP. Under the ESPP, eligible employees may purchase shares of Taysha common stock through payroll deductions at a price equal to 85% of the lower of the fair market values of the stock as of the beginning or the end of six-month offering periods. An employee’s payroll deductions under the ESPP are limited to 15% of the employee’s compensation and employees may not purchase more than 1,800 shares of Taysha common stock during any offering period. During the three months ended March 31, 2024 and 2023, stock-based compensation expense related to the ESPP was not 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total stock-based compensation expense for the stock options, ESPP, RSAs and RSUs recorded in the condensed consolidated statements of operations for the three months ended March 31, 2024 and 2023 (in thousands): </w:t>
      </w:r>
    </w:p>
    <w:p>
      <w:pPr>
        <w:pStyle w:val="TextBody"/>
        <w:bidi w:val="0"/>
        <w:jc w:val="left"/>
        <w:rPr/>
      </w:pPr>
      <w:r>
        <w:rPr/>
        <w:t> </w:t>
      </w:r>
    </w:p>
    <w:tbl>
      <w:tblPr>
        <w:tblW w:w="6735" w:type="dxa"/>
        <w:jc w:val="left"/>
        <w:tblInd w:w="0" w:type="dxa"/>
        <w:tblLayout w:type="fixed"/>
        <w:tblCellMar>
          <w:top w:w="28" w:type="dxa"/>
          <w:left w:w="28" w:type="dxa"/>
          <w:bottom w:w="28" w:type="dxa"/>
          <w:right w:w="28" w:type="dxa"/>
        </w:tblCellMar>
      </w:tblPr>
      <w:tblGrid>
        <w:gridCol w:w="3016"/>
        <w:gridCol w:w="346"/>
        <w:gridCol w:w="339"/>
        <w:gridCol w:w="918"/>
        <w:gridCol w:w="234"/>
        <w:gridCol w:w="234"/>
        <w:gridCol w:w="339"/>
        <w:gridCol w:w="918"/>
        <w:gridCol w:w="391"/>
      </w:tblGrid>
      <w:tr>
        <w:trPr/>
        <w:tc>
          <w:tcPr>
            <w:tcW w:w="30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98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391" w:type="dxa"/>
            <w:tcBorders/>
            <w:shd w:fill="FFFFFF" w:val="cle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shd w:fill="FFFFFF" w:val="clear"/>
            <w:vAlign w:val="center"/>
          </w:tcPr>
          <w:p>
            <w:pPr>
              <w:pStyle w:val="TableContents"/>
              <w:bidi w:val="0"/>
              <w:spacing w:before="0" w:after="283"/>
              <w:jc w:val="center"/>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3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234"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3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10—Warrants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Pre-Funded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14, 2023, the Company entered into a Securities Purchase Agreement (the “August 2023 Purchase Agreement”) with certain institutional and other accredited investors (the “Purchasers”), pursuant to which the Company agreed to sell and issue to the Purchasers in a private placement transaction (the “August 2023 Private Placement”) (i) 122,412,376 shares (the “PIPE Shares”) of the Company’s common stock, and (ii) with respect to certain Purchasers, pre-funded warrants to purchase 44,250,978 shares of the Company’s common stock (the “Pre-Funded Warrants”) in lieu of shares of the Company’s common stock. The purchase price per share of common stock was $0.90 per share (the “Purchase Price”), and the purchase price for the Pre-Funded Warrants was the Purchase Price minus $0.001 per Pre-Funded Warrant.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Pre-Funded Warrants have a per share exercise price of $0.001, subject to proportional adjustments in the event of stock splits or combinations or similar events. The Pre-Funded Warrants will not expire until exercised in full. The Pre-Funded Warrants may not be exercised if the aggregate number of shares of common stock beneficially owned by the holder thereof immediately following such exercise would exceed a specified beneficial ownership limitation; provided, however, that a holder may increase or decrease the beneficial ownership limitation by giving 61 days’ notice to the Company, but not to any percentage in excess of 19.99%. The exercise of the Pre-Funded Warrants was also contingent upon receipt of stockholder approval of an increase in the authorized shares of the Company’s common stock (the “Stockholder Approval”), which the Company obtained at a special meeting of stockholders held on November 15,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closing of the August 2023 Private Placement occurred on August 16, 2023 (the “Closing”). The total gross proceeds to the Company at the Closing were $150.0 million, and after deducting placement agent commissions and offering expenses payable by the Company, net proceeds were $140.3 million. The Company used the with-and-without method to allocate the total gross proceeds by first allocating the portion of the proceeds equal to the fair value of the Pre-Funded Warrants on the Closing date with the remaining proceeds allocated to the PIPE Shares on a residual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concluded that at the closing of the Private Placement in August 2023, the Pre-Funded Warrants did not meet the criteria for equity classification under the guidance of ASC 815 as the Company did not have sufficient authorized and unissued shares to satisfy the warrants if exercised. The Company recorded the Pre-Funded Warrants as liabilities at their fair value. This liability is subject to remeasurement at each balance sheet date and any change in fair value is recognized in the Company’s consolidated statements of operations. The Company incurred $9.7 million of placement agent commissions and other issuance costs in connection with the August 2023 Private Placement. The placement agent commissions and other issuance costs were allocated between the PIPE Shares and the Pre-Funded Warrants on a systematic basis. The Company allocated $7.1 million to the PIPE Shares which was recorded as a deduction to additional paid-in capital. The remaining $2.6 million allocated to the Pre-Funded Warrants were recorded within general and administrative expense in the consolidated statements of operations for the year ended December 31, 2023. The issuance costs allocated to the Pre-Funded Warrants have been added back to net loss when deriving cash flows used in operations, and have been classified as a financing cash outflow in the consolidated statements of cash flows for the year ended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measured the fair value of the PIPE Shares and Pre-Funded Warrants based on the $0.90 per share Purchase Price. The Company used the relative fair value method to allocate the net proceeds received from the sales of the PIPE Shares and the Pre-Funded Warrants on the consolidated balance sheet as follows (in thousands):</w:t>
      </w:r>
    </w:p>
    <w:tbl>
      <w:tblPr>
        <w:tblW w:w="4333" w:type="dxa"/>
        <w:jc w:val="left"/>
        <w:tblInd w:w="0" w:type="dxa"/>
        <w:tblLayout w:type="fixed"/>
        <w:tblCellMar>
          <w:top w:w="28" w:type="dxa"/>
          <w:left w:w="28" w:type="dxa"/>
          <w:bottom w:w="28" w:type="dxa"/>
          <w:right w:w="28" w:type="dxa"/>
        </w:tblCellMar>
      </w:tblPr>
      <w:tblGrid>
        <w:gridCol w:w="1816"/>
        <w:gridCol w:w="146"/>
        <w:gridCol w:w="421"/>
        <w:gridCol w:w="1559"/>
        <w:gridCol w:w="39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 Price Allocation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PIPE Shares</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110,127</w:t>
            </w:r>
          </w:p>
        </w:tc>
        <w:tc>
          <w:tcPr>
            <w:tcW w:w="391" w:type="dxa"/>
            <w:tcBorders/>
            <w:shd w:fill="CFF0FC" w:val="clear"/>
            <w:vAlign w:val="center"/>
          </w:tcPr>
          <w:p>
            <w:pPr>
              <w:pStyle w:val="TableContents"/>
              <w:bidi w:val="0"/>
              <w:spacing w:before="0" w:after="283"/>
              <w:jc w:val="left"/>
              <w:rPr/>
            </w:pPr>
            <w:r>
              <w:rPr/>
              <w:t> </w:t>
            </w:r>
          </w:p>
        </w:tc>
      </w:tr>
      <w:tr>
        <w:trPr/>
        <w:tc>
          <w:tcPr>
            <w:tcW w:w="18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w:t>
            </w:r>
          </w:p>
        </w:tc>
        <w:tc>
          <w:tcPr>
            <w:tcW w:w="146" w:type="dxa"/>
            <w:tcBorders/>
            <w:shd w:fill="FFFFFF" w:val="cle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149,953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remeasured the fair value of the Pre-Funded Warrants using the closing price of the Company’s common stock on the Nasdaq Global Market as of November 15, 2023 of $1.68 per common share upon receipt of Stockholder Approval. The Company recorded a fair value adjustment of $34.5 million in the consolidated statements of operations for the year ended December 31, 2023 and the warrant liability of $74.3 million was reclassified into equity as an increase to additional paid-in capital upon receipt of Stockholder Approval.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SSI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2023, the Company entered into a securities purchase agreement (the “SSI Securities Purchase Agreement”), with two affiliates of SSI Strategy Holdings LLC (“SSI”), named therein (the “SSI Investors”) pursuant to which the Company agreed to issue and sell to the SSI Investors in a private placement (the “SSI Private Placement”), 705,218 shares of its common stock (the “SSI Shares”) and warrants (the “SSI Warrants”) to purchase an aggregate of 525,000 shares of the Company’s common stock (the “Warrant Shares”). SSI provides certain consulting services to the Company. Each SSI Warrant has an exercise price of $0.7090 per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Warrant Share, which was the closing price of the Company’s common stock on the Nasdaq Global Market on April 4, 2023. The SSI Warrants issued in the SSI Private Placement provide that the holder of the SSI Warrants will not have the right to exercise any portion of its SSI Warrants until the achievement of certain clinical and regulatory milestones related to the Company’s clinical programs. The SSI Private Placement closed on April 5, 2023. Gross proceeds of the SSI Private Placement were $0.5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concluded that the SSI Warrants do not meet the criteria for equity classification under the guidance of ASC 815 due to settlement provisions that permit the holder to receive a variable number of shares in the event of a specified fundamental transaction as well as provisions that permit the holder to participate in dividends. As the SSI Warrants do not meet the criteria for equity classification, the Company recorded the warrants as liabilities at their fair value. This liability is subject to remeasurement at each balance sheet date until the warrants are exercised or expire, and any change in fair value is recognized in the Company’s condensed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determined the fair value of the SSI Warrants at issuance was $0.3 million using the Black-Scholes-Merton option pricing model. The following assumptions were used to estimate the fair value of the warrants at issuance:</w:t>
      </w:r>
    </w:p>
    <w:p>
      <w:pPr>
        <w:pStyle w:val="TextBody"/>
        <w:bidi w:val="0"/>
        <w:spacing w:before="120" w:after="283"/>
        <w:jc w:val="left"/>
        <w:rPr/>
      </w:pPr>
      <w:r>
        <w:rPr/>
        <w:t> </w:t>
      </w:r>
    </w:p>
    <w:tbl>
      <w:tblPr>
        <w:tblW w:w="4665" w:type="dxa"/>
        <w:jc w:val="left"/>
        <w:tblInd w:w="0" w:type="dxa"/>
        <w:tblLayout w:type="fixed"/>
        <w:tblCellMar>
          <w:top w:w="28" w:type="dxa"/>
          <w:left w:w="28" w:type="dxa"/>
          <w:bottom w:w="28" w:type="dxa"/>
          <w:right w:w="28" w:type="dxa"/>
        </w:tblCellMar>
      </w:tblPr>
      <w:tblGrid>
        <w:gridCol w:w="3526"/>
        <w:gridCol w:w="146"/>
        <w:gridCol w:w="211"/>
        <w:gridCol w:w="466"/>
        <w:gridCol w:w="316"/>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right"/>
              <w:rPr/>
            </w:pPr>
            <w:r>
              <w:rPr/>
              <w:t> </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16" w:type="dxa"/>
            <w:tcBorders/>
            <w:shd w:fill="CFF0FC" w:val="clear"/>
            <w:vAlign w:val="center"/>
          </w:tcPr>
          <w:p>
            <w:pPr>
              <w:pStyle w:val="TableContents"/>
              <w:bidi w:val="0"/>
              <w:spacing w:before="0" w:after="283"/>
              <w:jc w:val="left"/>
              <w:rPr/>
            </w:pPr>
            <w:r>
              <w:rPr/>
              <w:t> </w:t>
            </w:r>
          </w:p>
        </w:tc>
      </w:tr>
      <w:tr>
        <w:trPr/>
        <w:tc>
          <w:tcPr>
            <w:tcW w:w="3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value of common stock (per share)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316"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adjustment as of March 31, 2024 was $0.3 million using the Black-Scholes-Merton option pricing model. As of March 31, 2024, 316,667 of the SSI Warrants have vested and are exercisable. No warrants were exercised during the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estimated the fair value of the SSI Warrant liability using the following assumptions as of March 31, 2024:</w:t>
      </w:r>
    </w:p>
    <w:p>
      <w:pPr>
        <w:pStyle w:val="TextBody"/>
        <w:bidi w:val="0"/>
        <w:jc w:val="left"/>
        <w:rPr/>
      </w:pPr>
      <w:r>
        <w:rPr/>
        <w:t> </w:t>
      </w:r>
    </w:p>
    <w:tbl>
      <w:tblPr>
        <w:tblW w:w="4665" w:type="dxa"/>
        <w:jc w:val="left"/>
        <w:tblInd w:w="0" w:type="dxa"/>
        <w:tblLayout w:type="fixed"/>
        <w:tblCellMar>
          <w:top w:w="28" w:type="dxa"/>
          <w:left w:w="28" w:type="dxa"/>
          <w:bottom w:w="28" w:type="dxa"/>
          <w:right w:w="28" w:type="dxa"/>
        </w:tblCellMar>
      </w:tblPr>
      <w:tblGrid>
        <w:gridCol w:w="3526"/>
        <w:gridCol w:w="146"/>
        <w:gridCol w:w="211"/>
        <w:gridCol w:w="466"/>
        <w:gridCol w:w="316"/>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right"/>
              <w:rPr/>
            </w:pPr>
            <w:r>
              <w:rPr/>
              <w:t> </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16" w:type="dxa"/>
            <w:tcBorders/>
            <w:shd w:fill="CFF0FC" w:val="clear"/>
            <w:vAlign w:val="center"/>
          </w:tcPr>
          <w:p>
            <w:pPr>
              <w:pStyle w:val="TableContents"/>
              <w:bidi w:val="0"/>
              <w:spacing w:before="0" w:after="283"/>
              <w:jc w:val="left"/>
              <w:rPr/>
            </w:pPr>
            <w:r>
              <w:rPr/>
              <w:t> </w:t>
            </w:r>
          </w:p>
        </w:tc>
      </w:tr>
      <w:tr>
        <w:trPr/>
        <w:tc>
          <w:tcPr>
            <w:tcW w:w="3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value of common stock (per share)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316"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changes in the Company’s warrant liability during the year ended March 31, 2024 (in thousands):</w:t>
      </w:r>
    </w:p>
    <w:p>
      <w:pPr>
        <w:pStyle w:val="TextBody"/>
        <w:bidi w:val="0"/>
        <w:jc w:val="left"/>
        <w:rPr/>
      </w:pPr>
      <w:r>
        <w:rPr/>
        <w:t> </w:t>
      </w:r>
    </w:p>
    <w:tbl>
      <w:tblPr>
        <w:tblW w:w="4058" w:type="dxa"/>
        <w:jc w:val="left"/>
        <w:tblInd w:w="0" w:type="dxa"/>
        <w:tblLayout w:type="fixed"/>
        <w:tblCellMar>
          <w:top w:w="28" w:type="dxa"/>
          <w:left w:w="28" w:type="dxa"/>
          <w:bottom w:w="28" w:type="dxa"/>
          <w:right w:w="28" w:type="dxa"/>
        </w:tblCellMar>
      </w:tblPr>
      <w:tblGrid>
        <w:gridCol w:w="2311"/>
        <w:gridCol w:w="146"/>
        <w:gridCol w:w="469"/>
        <w:gridCol w:w="94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 Liability</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 2024</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2024</w:t>
            </w:r>
          </w:p>
        </w:tc>
        <w:tc>
          <w:tcPr>
            <w:tcW w:w="146" w:type="dxa"/>
            <w:tcBorders/>
            <w:shd w:fill="CFF0FC" w:val="clear"/>
            <w:vAlign w:val="center"/>
          </w:tcPr>
          <w:p>
            <w:pPr>
              <w:pStyle w:val="TableContents"/>
              <w:bidi w:val="0"/>
              <w:spacing w:before="0" w:after="283"/>
              <w:jc w:val="left"/>
              <w:rPr/>
            </w:pPr>
            <w:r>
              <w:rPr/>
              <w:t> </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11—Net Loss Per Common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common share is computed by dividing net loss attributable to common stockholders by the weighted-average number of shares of common stock outstanding for the period. Since the Company had a net loss in all periods presented, basic and diluted net loss per common share are the same.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2023, the Company issued liability-classified Pre-Funded Warrants with a nominal exercise price of $0.001 per share (see Note 10). In accordance with ASC 260, Earnings Per Share (ASC 260), shares issuable for little to no cash consideration should be included in the number of outstanding shares used to calculate basic loss per share as long as all conditions necessary for exercise are met. The conditions for exercise were met on November 15, 2023, at which time the Pre-Funded Warrants were reclassified into equity. The Pre- Funded Warrants are therefore included as outstanding shares as of November 15, 2023 to calculate the weighted average number of shares outstanding to calculate basic loss per share.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represents the calculation of basic and diluted net loss per common share (in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89"/>
        <w:gridCol w:w="146"/>
        <w:gridCol w:w="214"/>
        <w:gridCol w:w="1160"/>
        <w:gridCol w:w="168"/>
        <w:gridCol w:w="147"/>
        <w:gridCol w:w="214"/>
        <w:gridCol w:w="1053"/>
        <w:gridCol w:w="214"/>
      </w:tblGrid>
      <w:tr>
        <w:trPr/>
        <w:tc>
          <w:tcPr>
            <w:tcW w:w="6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68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214" w:type="dxa"/>
            <w:tcBorders/>
            <w:shd w:fill="FFFFFF" w:val="clear"/>
            <w:vAlign w:val="center"/>
          </w:tcPr>
          <w:p>
            <w:pPr>
              <w:pStyle w:val="TableContents"/>
              <w:bidi w:val="0"/>
              <w:spacing w:before="0" w:after="283"/>
              <w:jc w:val="center"/>
              <w:rPr/>
            </w:pPr>
            <w:r>
              <w:rPr/>
              <w:t> </w:t>
            </w:r>
          </w:p>
        </w:tc>
      </w:tr>
      <w:tr>
        <w:trPr/>
        <w:tc>
          <w:tcPr>
            <w:tcW w:w="68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12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(24,061</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(17,622</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outstanding used to compute net loss per common share, basic and diluted</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231,249,344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63,260,905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common stock equivalents outstanding as of March 31, 2024 and 2023 were excluded from the computation of diluted net loss per share attributable to common stockholders for the periods presented because including them would have been anti</w:t>
        <w:noBreakHyphen/>
        <w:t>dilutive:</w:t>
      </w:r>
    </w:p>
    <w:p>
      <w:pPr>
        <w:pStyle w:val="TextBody"/>
        <w:bidi w:val="0"/>
        <w:spacing w:before="120" w:after="283"/>
        <w:jc w:val="left"/>
        <w:rPr/>
      </w:pPr>
      <w:r>
        <w:rPr/>
        <w:t> </w:t>
      </w:r>
    </w:p>
    <w:tbl>
      <w:tblPr>
        <w:tblW w:w="4469" w:type="dxa"/>
        <w:jc w:val="left"/>
        <w:tblInd w:w="0" w:type="dxa"/>
        <w:tblLayout w:type="fixed"/>
        <w:tblCellMar>
          <w:top w:w="28" w:type="dxa"/>
          <w:left w:w="28" w:type="dxa"/>
          <w:bottom w:w="28" w:type="dxa"/>
          <w:right w:w="28" w:type="dxa"/>
        </w:tblCellMar>
      </w:tblPr>
      <w:tblGrid>
        <w:gridCol w:w="1381"/>
        <w:gridCol w:w="146"/>
        <w:gridCol w:w="146"/>
        <w:gridCol w:w="1036"/>
        <w:gridCol w:w="146"/>
        <w:gridCol w:w="146"/>
        <w:gridCol w:w="146"/>
        <w:gridCol w:w="931"/>
        <w:gridCol w:w="391"/>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4,657,971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750,081</w:t>
            </w:r>
          </w:p>
        </w:tc>
        <w:tc>
          <w:tcPr>
            <w:tcW w:w="391" w:type="dxa"/>
            <w:tcBorders/>
            <w:shd w:fill="CFF0FC" w:val="clear"/>
            <w:vAlign w:val="center"/>
          </w:tcPr>
          <w:p>
            <w:pPr>
              <w:pStyle w:val="TableContents"/>
              <w:bidi w:val="0"/>
              <w:spacing w:before="0" w:after="283"/>
              <w:jc w:val="left"/>
              <w:rPr/>
            </w:pPr>
            <w:r>
              <w:rPr/>
              <w:t> </w:t>
            </w:r>
          </w:p>
        </w:tc>
      </w:tr>
      <w:tr>
        <w:trPr/>
        <w:tc>
          <w:tcPr>
            <w:tcW w:w="1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15,162,463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5,429,552</w:t>
            </w:r>
          </w:p>
        </w:tc>
        <w:tc>
          <w:tcPr>
            <w:tcW w:w="391" w:type="dxa"/>
            <w:tcBorders/>
            <w:shd w:fill="FFFFFF" w:val="clear"/>
            <w:vAlign w:val="center"/>
          </w:tcPr>
          <w:p>
            <w:pPr>
              <w:pStyle w:val="TableContents"/>
              <w:bidi w:val="0"/>
              <w:spacing w:before="0" w:after="283"/>
              <w:jc w:val="left"/>
              <w:rPr/>
            </w:pPr>
            <w:r>
              <w:rPr/>
              <w:t> </w:t>
            </w:r>
          </w:p>
        </w:tc>
      </w:tr>
      <w:tr>
        <w:trPr/>
        <w:tc>
          <w:tcPr>
            <w:tcW w:w="1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SSI Warrants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20,137,101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6,179,633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12—Income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evaluated the positive and negative evidence bearing upon the realizability of its deferred tax assets. There is no provision for income taxes because the Company has incurred operating losses and capitalized certain items for income tax purposes since its inception and maintains a full valuation allowance against its net deferred tax assets. The reported amount of income tax expense for the period differs from the amount that would result from applying the federal statutory tax rate to net loss before taxes primarily because of the change in valuation allowance.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2024, there were no material changes to either the nature or the amounts of the uncertain tax positions previously determined for the year ended December 31, 2023.</w:t>
      </w:r>
    </w:p>
    <w:p>
      <w:pPr>
        <w:pStyle w:val="TextBody"/>
        <w:bidi w:val="0"/>
        <w:spacing w:before="360" w:after="283"/>
        <w:jc w:val="left"/>
        <w:rPr>
          <w:rFonts w:ascii="Times New Roman" w:hAnsi="Times New Roman"/>
          <w:sz w:val="20"/>
        </w:rPr>
      </w:pPr>
      <w:r>
        <w:rPr>
          <w:rFonts w:ascii="Times New Roman" w:hAnsi="Times New Roman"/>
          <w:b/>
          <w:color w:val="000000"/>
          <w:sz w:val="20"/>
        </w:rPr>
        <w:t>Note 13—Commitments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 subject to various legal proceedings and claims that arise in the ordinary course of its business activities. The Company records a liability when a particular contingency is probable and estimable.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2024 and April 2024, the Company was named a nominal defendant in two putative stockholder derivative actions filed by stockholders of the Company in the Court of Chancery of the State of Delaware. Shortly after filing suit, the plaintiff in the second-filed action voluntarily dismissed his lawsuit and filed a substantially similar action except with fewer named defendants. The complaints assert claims relating to the Company’s August 2023 Private Placement against (i) certain of the Company’s current and former directors and officers for breach of fiduciary duty and unjust enrichment; and (ii) against certain participants in the Company’s August 2023 Private Placement for aiding and abetting breach of fiduciary duty and unjust enrichment. The complaints seek an unspecified award of damages in the Company’s favor, plus pre-judgment and post-judgement interest, and an award to the plaintiffs for the costs and disbursement of the action, including fees for their attorneys, experts, and accountants. The Company has not recorded a liability related to these lawsuits because, at this time, the Company is unable to reasonably estimate possible losses or gains or determine whether an unfavorable outcome is either probable or remote.</w:t>
      </w:r>
    </w:p>
    <w:p>
      <w:pPr>
        <w:pStyle w:val="TextBody"/>
        <w:bidi w:val="0"/>
        <w:spacing w:before="240" w:after="283"/>
        <w:jc w:val="left"/>
        <w:rPr>
          <w:rFonts w:ascii="Times New Roman" w:hAnsi="Times New Roman"/>
          <w:sz w:val="20"/>
        </w:rPr>
      </w:pPr>
      <w:r>
        <w:rPr>
          <w:rFonts w:ascii="Times New Roman" w:hAnsi="Times New Roman"/>
          <w:b/>
          <w:i/>
          <w:color w:val="000000"/>
          <w:sz w:val="20"/>
        </w:rPr>
        <w:t>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enters into contracts that contain a variety of indemnifications with its directors, officers, employees, licensors, suppliers and service providers. The Company’s maximum exposure under these arrangements is unknown at March 31, 2024. The Company does not anticipate recognizing any significant losses relating to these arrangements.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14 – Strategic Reprioritization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2022, the Company implemented changes to the Company’s organizational structure as well as a broader operational cost reduction plan to enable the Company to focus on specific clinical-stage programs for GAN and Rett syndrome. Substantially all other research and development activities have been paused to increase operational efficiency.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connection with prioritization of programs, the Company reduced headcount by approximately 35% across all functions in March 2022. In accordance with ASC 420, </w:t>
      </w:r>
      <w:r>
        <w:rPr>
          <w:rFonts w:ascii="Times New Roman" w:hAnsi="Times New Roman"/>
          <w:i/>
          <w:color w:val="000000"/>
          <w:sz w:val="20"/>
        </w:rPr>
        <w:t>Exit and Disposal Activities,</w:t>
      </w:r>
      <w:r>
        <w:rPr>
          <w:rFonts w:ascii="Times New Roman" w:hAnsi="Times New Roman"/>
          <w:color w:val="000000"/>
          <w:sz w:val="20"/>
        </w:rPr>
        <w:t xml:space="preserve"> the Company recorded one-time severance and termination-related costs of $2.6 million in the condensed consolidated statements of operations for the three months ended March 31, 2022, primarily within research and development expenses. In December 2022 and throughout the first quarter of 2023, the Company further reduced headcount and recorded additional one-time severance and termination related costs of $2.7 million within research and development and 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Payment of these costs are substantially complete as of March 31, 2024. The amount of accrued severance recorded as of March 31, 2024 is as follows (amounts in thousands):</w:t>
      </w:r>
    </w:p>
    <w:p>
      <w:pPr>
        <w:pStyle w:val="TextBody"/>
        <w:bidi w:val="0"/>
        <w:spacing w:before="120" w:after="283"/>
        <w:jc w:val="left"/>
        <w:rPr/>
      </w:pPr>
      <w:r>
        <w:rPr/>
        <w:t> </w:t>
      </w:r>
    </w:p>
    <w:tbl>
      <w:tblPr>
        <w:tblW w:w="5473" w:type="dxa"/>
        <w:jc w:val="left"/>
        <w:tblInd w:w="0" w:type="dxa"/>
        <w:tblLayout w:type="fixed"/>
        <w:tblCellMar>
          <w:top w:w="28" w:type="dxa"/>
          <w:left w:w="28" w:type="dxa"/>
          <w:bottom w:w="28" w:type="dxa"/>
          <w:right w:w="28" w:type="dxa"/>
        </w:tblCellMar>
      </w:tblPr>
      <w:tblGrid>
        <w:gridCol w:w="3391"/>
        <w:gridCol w:w="146"/>
        <w:gridCol w:w="525"/>
        <w:gridCol w:w="1200"/>
        <w:gridCol w:w="21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Accrued Severance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severance as of January 1, 2024</w:t>
            </w:r>
          </w:p>
        </w:tc>
        <w:tc>
          <w:tcPr>
            <w:tcW w:w="146" w:type="dxa"/>
            <w:tcBorders/>
            <w:shd w:fill="FFFFFF" w:val="clear"/>
            <w:vAlign w:val="center"/>
          </w:tcPr>
          <w:p>
            <w:pPr>
              <w:pStyle w:val="TableContents"/>
              <w:bidi w:val="0"/>
              <w:spacing w:before="0" w:after="283"/>
              <w:jc w:val="right"/>
              <w:rPr/>
            </w:pPr>
            <w:r>
              <w:rPr/>
              <w:t> </w:t>
            </w:r>
          </w:p>
        </w:tc>
        <w:tc>
          <w:tcPr>
            <w:tcW w:w="5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211" w:type="dxa"/>
            <w:tcBorders/>
            <w:shd w:fill="FFFFFF" w:val="clear"/>
            <w:vAlign w:val="center"/>
          </w:tcPr>
          <w:p>
            <w:pPr>
              <w:pStyle w:val="TableContents"/>
              <w:bidi w:val="0"/>
              <w:spacing w:before="0" w:after="283"/>
              <w:jc w:val="left"/>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 recorded</w:t>
            </w:r>
          </w:p>
        </w:tc>
        <w:tc>
          <w:tcPr>
            <w:tcW w:w="146" w:type="dxa"/>
            <w:tcBorders/>
            <w:shd w:fill="CFF0FC" w:val="clear"/>
            <w:vAlign w:val="center"/>
          </w:tcPr>
          <w:p>
            <w:pPr>
              <w:pStyle w:val="TableContents"/>
              <w:bidi w:val="0"/>
              <w:spacing w:before="0" w:after="283"/>
              <w:jc w:val="right"/>
              <w:rPr/>
            </w:pPr>
            <w:r>
              <w:rPr/>
              <w:t> </w:t>
            </w:r>
          </w:p>
        </w:tc>
        <w:tc>
          <w:tcPr>
            <w:tcW w:w="525" w:type="dxa"/>
            <w:tcBorders/>
            <w:shd w:fill="CFF0FC" w:val="clear"/>
            <w:vAlign w:val="center"/>
          </w:tcPr>
          <w:p>
            <w:pPr>
              <w:pStyle w:val="TableContents"/>
              <w:bidi w:val="0"/>
              <w:spacing w:before="0" w:after="283"/>
              <w:jc w:val="left"/>
              <w:rPr/>
            </w:pPr>
            <w:r>
              <w:rPr/>
              <w:t> </w:t>
            </w:r>
          </w:p>
        </w:tc>
        <w:tc>
          <w:tcPr>
            <w:tcW w:w="1200"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 paid</w:t>
            </w:r>
          </w:p>
        </w:tc>
        <w:tc>
          <w:tcPr>
            <w:tcW w:w="146" w:type="dxa"/>
            <w:tcBorders/>
            <w:shd w:fill="FFFFFF" w:val="clear"/>
            <w:vAlign w:val="center"/>
          </w:tcPr>
          <w:p>
            <w:pPr>
              <w:pStyle w:val="TableContents"/>
              <w:bidi w:val="0"/>
              <w:spacing w:before="0" w:after="283"/>
              <w:jc w:val="righ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severance as of March 31, 2024</w:t>
            </w:r>
          </w:p>
        </w:tc>
        <w:tc>
          <w:tcPr>
            <w:tcW w:w="146" w:type="dxa"/>
            <w:tcBorders/>
            <w:shd w:fill="CFF0FC" w:val="clear"/>
            <w:vAlign w:val="center"/>
          </w:tcPr>
          <w:p>
            <w:pPr>
              <w:pStyle w:val="TableContents"/>
              <w:bidi w:val="0"/>
              <w:spacing w:before="0" w:after="283"/>
              <w:jc w:val="right"/>
              <w:rPr/>
            </w:pPr>
            <w:r>
              <w:rPr/>
              <w:t> </w:t>
            </w:r>
          </w:p>
        </w:tc>
        <w:tc>
          <w:tcPr>
            <w:tcW w:w="5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15 – Retirement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2021, the Company adopted a 401(k) retirement savings plan that provides retirement benefits to all full-time employees. Eligible employees may contribute a percentage of their annual compensation, subject to Internal Revenue Service limitations. The Company contributed $0.2 million and $0.1 million to the 401(k) retirement savings plan for the three months ended March 31, 2024 and 2023,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r>
        <w:rPr>
          <w:rFonts w:ascii="Times New Roman" w:hAnsi="Times New Roman"/>
          <w:caps/>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related notes included in this Quarterly Report on Form 10-Q and the audited financial statements and notes thereto as of and for the year ended December 31, 2023 and the related Management’s Discussion and Analysis of Financial Condition and Results of Operations, included in our Annual Report on Form 10-K for the year ended December 31, 2023, or Annual Report, filed with the Securities and Exchange Commission, or the SEC, on March 19, 2024. Unless the context requires otherwise, references in this Quarterly Report on Form 10-Q to “we,” “us,” and “our” refer to Taysha Gene Therapies, Inc. together with its consolidated subsidiaries.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information in this discussion contains forward-looking statements and information within the meaning of Section 27A of the Securities Act of 1933, as amended, or the Securities Act, and Section 21E of the Securities Exchange Act of 1934, as amended, or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 Item 1A, “Risk Factors” in our Annual Report. The forward-looking statements are applicable only as of the date on which they are made, and we do not assume any obligation to update any forward-looking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Regarding Trademarks</w:t>
      </w:r>
    </w:p>
    <w:p>
      <w:pPr>
        <w:pStyle w:val="TextBody"/>
        <w:bidi w:val="0"/>
        <w:jc w:val="left"/>
        <w:rPr>
          <w:rFonts w:ascii="Times New Roman" w:hAnsi="Times New Roman"/>
          <w:color w:val="000000"/>
          <w:sz w:val="20"/>
        </w:rPr>
      </w:pPr>
      <w:r>
        <w:rPr>
          <w:rFonts w:ascii="Times New Roman" w:hAnsi="Times New Roman"/>
          <w:color w:val="000000"/>
          <w:sz w:val="20"/>
        </w:rPr>
        <w:t>All brand names or trademarks appearing in this report are the property of their respective holders. Unless the context requires otherwise, references in this report to the “Company,” “we,” “us,” and “our” refer to Taysha Gene Therapies, Inc.</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 clinical-stage biotechnology company focused on advancing AAV-based gene therapies for the treatment of severe monogenic diseases of the central nervous system, or CNS. Our lead clinical program TSHA-102 is in development for the treatment of Rett syndrome, a rare neurodevelopmental disorder with no approved disease-modifying therapies that address the genetic root cause of the disease. With a singular focus on developing transformative medicines, we aim to address severe unmet medical needs and dramatically improve the lives of patients and their caregivers. Our management team has proven experience in gene therapy development and commercialization. We leverage this experience, our manufacturing process and a clinically and commercially proven AAV9 capsid in an effort to rapidly translate treatments from bench to bedside.</w:t>
      </w:r>
    </w:p>
    <w:p>
      <w:pPr>
        <w:pStyle w:val="TextBody"/>
        <w:bidi w:val="0"/>
        <w:spacing w:before="240" w:after="283"/>
        <w:jc w:val="left"/>
        <w:rPr>
          <w:rFonts w:ascii="Times New Roman" w:hAnsi="Times New Roman"/>
          <w:sz w:val="20"/>
        </w:rPr>
      </w:pPr>
      <w:r>
        <w:rPr>
          <w:rFonts w:ascii="Times New Roman" w:hAnsi="Times New Roman"/>
          <w:color w:val="000000"/>
          <w:sz w:val="20"/>
        </w:rPr>
        <w:t>We are evaluating TSHA-102 in the REVEAL Phase 1/2 adolescent and adult trial, which is a first-in-human, open-label, randomized, dose-escalation and dose-expansion study evaluating the safety and preliminary efficacy of TSHA-102 in adolescent and adult females aged 12 years and older with Rett syndrome due to MECP2 loss-of-function mutation. The trial is taking place in Canada and the United States. We dosed the first two adult patients with Rett syndrome in 2023. There have been no treatment-emergent serious adverse events as of the 35-week assessment post-treatment for the first adult patient treated. In addition, there have been no treatment-emergent serious adverse events as of the 19-week assessment post-treatment for the second adult patient treated. The independent data monitoring committee, or IDMC, meeting to review the clinical data from the first two adult patients and the first pediatric patient took place in February 2024. The IDMC approved our request to proceed to earlier dose escalation in the adolescent and adult trial, enabling early advancement to cohort 2. The first patient in cohort 2 (high dose, 1x10</w:t>
      </w:r>
      <w:r>
        <w:rPr>
          <w:rFonts w:ascii="Times New Roman" w:hAnsi="Times New Roman"/>
          <w:color w:val="000000"/>
          <w:sz w:val="13"/>
        </w:rPr>
        <w:t>15</w:t>
      </w:r>
      <w:r>
        <w:rPr>
          <w:rFonts w:ascii="Times New Roman" w:hAnsi="Times New Roman"/>
          <w:color w:val="000000"/>
          <w:sz w:val="20"/>
        </w:rPr>
        <w:t xml:space="preserve"> total vg) has been enrolled, and dosing has been scheduled for the second quarter of 2024. We expect to provide an update on available safety and efficacy data from completed cohort 1 (low dose, 5.7x10</w:t>
      </w:r>
      <w:r>
        <w:rPr>
          <w:rFonts w:ascii="Times New Roman" w:hAnsi="Times New Roman"/>
          <w:color w:val="000000"/>
          <w:sz w:val="13"/>
        </w:rPr>
        <w:t>14</w:t>
      </w:r>
      <w:r>
        <w:rPr>
          <w:rFonts w:ascii="Times New Roman" w:hAnsi="Times New Roman"/>
          <w:color w:val="000000"/>
          <w:sz w:val="20"/>
        </w:rPr>
        <w:t xml:space="preserve"> total vg) in mid-2024. We expect to report initial available safety and efficacy data from cohort 2 (high dose, 1x10</w:t>
      </w:r>
      <w:r>
        <w:rPr>
          <w:rFonts w:ascii="Times New Roman" w:hAnsi="Times New Roman"/>
          <w:color w:val="000000"/>
          <w:sz w:val="13"/>
        </w:rPr>
        <w:t>15</w:t>
      </w:r>
      <w:r>
        <w:rPr>
          <w:rFonts w:ascii="Times New Roman" w:hAnsi="Times New Roman"/>
          <w:color w:val="000000"/>
          <w:sz w:val="20"/>
        </w:rPr>
        <w:t xml:space="preserve"> total vg) in the second half of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evaluating TSHA-102 in the REVEAL Phase 1/2 pediatric trial, which is an open-label, randomized, dose-escalation and dose-expansion study evaluating the safety and preliminary efficacy of TSHA-102 in pediatric females with Rett syndrome due to MECP2 loss-of-function mutation. The trial is taking place in the United States. We submitted a CTA to the United Kingdom’s Medicines and Healthcare Products Regulatory Agency, or MHRA, for pediatric patients with Rett syndrome and submitted an IND application for pediatric patients with Rett syndrome to the FDA for TSHA-102 early in the third quarter of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In August 2023, we received clearance from the FDA on our IND for TSHA-102 in pediatric patients with Rett syndrome and dosed the first Rett syndrome pediatric patient in December 2023. In February 2024, the IDMC provided clearance to dose the second pediatric patient following review of initial clinical data from the six-week post-treatment assessment from the first pediatric patient dosed. We dosed the second patient in cohort 1 in the first quarter of 2024. We expect to report initial available safety and efficacy data from cohort 1 (low dose, 5.7x10</w:t>
      </w:r>
      <w:r>
        <w:rPr>
          <w:rFonts w:ascii="Times New Roman" w:hAnsi="Times New Roman"/>
          <w:color w:val="000000"/>
          <w:sz w:val="13"/>
        </w:rPr>
        <w:t>14</w:t>
      </w:r>
      <w:r>
        <w:rPr>
          <w:rFonts w:ascii="Times New Roman" w:hAnsi="Times New Roman"/>
          <w:color w:val="000000"/>
          <w:sz w:val="20"/>
        </w:rPr>
        <w:t xml:space="preserve"> total vg) in mid-2024. We expect to report initial available safety and efficacy data from cohort 2 (high dose, 1x10</w:t>
      </w:r>
      <w:r>
        <w:rPr>
          <w:rFonts w:ascii="Times New Roman" w:hAnsi="Times New Roman"/>
          <w:color w:val="000000"/>
          <w:sz w:val="13"/>
        </w:rPr>
        <w:t>15</w:t>
      </w:r>
      <w:r>
        <w:rPr>
          <w:rFonts w:ascii="Times New Roman" w:hAnsi="Times New Roman"/>
          <w:color w:val="000000"/>
          <w:sz w:val="20"/>
        </w:rPr>
        <w:t xml:space="preserve"> total vg) in the second half of 2024.</w:t>
      </w:r>
    </w:p>
    <w:p>
      <w:pPr>
        <w:pStyle w:val="TextBody"/>
        <w:bidi w:val="0"/>
        <w:spacing w:before="240" w:after="283"/>
        <w:jc w:val="left"/>
        <w:rPr>
          <w:rFonts w:ascii="Times New Roman" w:hAnsi="Times New Roman"/>
          <w:sz w:val="20"/>
        </w:rPr>
      </w:pPr>
      <w:r>
        <w:rPr>
          <w:rFonts w:ascii="Times New Roman" w:hAnsi="Times New Roman"/>
          <w:color w:val="000000"/>
          <w:sz w:val="20"/>
        </w:rPr>
        <w:t>We have received orphan drug designation and rare pediatric disease designation from the FDA and orphan drug designation from the European Commission for TSHA-102 for the treatment of Rett syndrome. We also received Fast Track Designation from the FDA for TSHA-102 for the treatment of Rett syndrome. We also received CTA clearance from the MHRA in early 2024. In February 2024, we received Innovative Licensing and Access Pathway, or ILAP, designation for TSHA-102 from the U.K. MHRA. The ILAP aims to facilitate patient access to novel treatments by accelerating time to market through opportunities for enhanced engagements with U.K. regulatory authorities and other stakeholders. In April 2024, the FDA granted Regenerative Medicine Advanced Therapy (RMAT) designation for TSHA-102 in Rett syndrome. RMAT designation follows the FDA’s review of available safety and efficacy data from the first three patients with Rett syndrome dosed with the low dose of TSHA-102 (5.7x10</w:t>
      </w:r>
      <w:r>
        <w:rPr>
          <w:rFonts w:ascii="Times New Roman" w:hAnsi="Times New Roman"/>
          <w:color w:val="000000"/>
          <w:sz w:val="13"/>
        </w:rPr>
        <w:t>14</w:t>
      </w:r>
      <w:r>
        <w:rPr>
          <w:rFonts w:ascii="Times New Roman" w:hAnsi="Times New Roman"/>
          <w:color w:val="000000"/>
          <w:sz w:val="20"/>
        </w:rPr>
        <w:t xml:space="preserve"> total vg) across the REVEAL Phase 1/2 adolescent and adult trial and the REVEAL Phase 1/2 pediatric trial. RMAT designation was designed to expedite the development and review of regenerative medicine therapies. A regenerative medicine therapy is eligible for RMAT designation if it is intended to treat, modify, reverse or cure a serious condition, and preliminary clinical evidence indicates the therapy has the potential to address unmet medical needs for such condition. Sponsor companies receiving RMAT designation can benefit from increased interactions with the FDA involving senior managers, with the goal of expediting drug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 limited operating history. Since our inception, our operations have focused on organizing and staffing our company, business planning, raising capital and entering into collaboration agreements for conducting preclinical and clinical development activities for our product candidates. Our lead product candidate is still in the clinical stage. We do not have any product candidates approved for sale and have not generated any revenue from product sales. Through March 31, 2024, we have funded our operations primarily through: (i) the sale of equity, raising an aggregate of $589.0 million of gross proceeds from our initial public offering, or the IPO, sales of common stock pursuant to our Sales Agreement (as defined below), our October 2022 follow-on offering and our 2023 private placements; (ii) pre-IPO private placements of our convertible preferred stock; (iii) our Term Loan Agreement (as defined below) and subsequently the Trinity Term Loan Agreement (as defined below); and (iv) the Astellas Transactions (as defined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13, 2023, or the Trinity Closing Date, we entered into a Loan and Security Agreement, or the Trinity Term Loan Agreement, by and among us, the lenders party thereto from time to time, or the Trinity Lenders, and Trinity Capital Inc., as administrative agent and collateral agent for the Trinity Lenders, or Trinity. The Trinity Term Loan Agreement provides for, on the Trinity Closing Date, $40.0 million aggregate principal amount of term loans, or, collectively, the Trinity Term Loans. We drew the Trinity Term Loans in full on the Trinity Closing Date. The proceeds of the Trinity Term Loans were used to repay our obligations under the Loan and Security Agreement, or the Term Loan Agreement, with the lenders party thereto from time to time, or the Lenders and Silicon Valley Bank, as administrative agent and collateral agent for the Lenders, or the Agent, in full. The Term Loan Agreement with Silicon Valley Bank was terminated concurrently with entry into the Trinity Term Loan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our inception, we have incurred significant operating losses. Our net losses were $24.1 million for the three months ended March 31, 2024 and $17.6 million for the three months ended March 31, 2023. As of March 31, 2024, we had an accumulated deficit of $537.1 million. We expect to continue to incur significant expenses and operating losses for the foreseeable future. We anticipate that our expenses will increase significantly in connection with our ongoing activities,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advance the clinical development of our product candidates and, if we determine to do so in the future, reprioritize the advancement of our preclinical and discovery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ongoing clinical trials of TSHA-102 and any other future product candidates that we advance;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approval for any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to develop our gene therapy product candidate pipeline;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scale up our clinical and regulatory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 with CMOs to manufacture current Good Manufacturing Practice, or GMP material for clinical trials or potential commercial sales;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commercialization infrastructure and scale up internal and external manufacturing and distribution capabilities to commercialize any product candidates for which we may obtain regulatory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adapt our regulatory compliance efforts to incorporate requirements applicable to marketed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and protect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additional clinical, manufacturing quality control, regulatory, manufacturing and scientific and administrative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 operational, financial and management information systems and personnel, including personnel to support our product development and planned future commercialization efforts;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additional legal, accounting and other expenses in operating as a public company.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Our Pipeline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focused on discovering, developing and commercializing gene therapies for the treatment of monogenic diseases of the CNS, in both rare and large patient populations. Our primary focus is advancing our lead TSHA-102 clinical program in Rett syndrome, while our pipeline of CNS programs offers the potential for additional development opportunities in the future. The stage of development of our Rett syndrome program, including the progress in our ongoing clinical trials, is represented in the below table:</w:t>
      </w:r>
    </w:p>
    <w:p>
      <w:pPr>
        <w:pStyle w:val="TextBody"/>
        <w:bidi w:val="0"/>
        <w:spacing w:before="240" w:after="283"/>
        <w:jc w:val="center"/>
        <w:rPr/>
      </w:pPr>
      <w:r>
        <w:rPr/>
        <w:drawing>
          <wp:inline distT="0" distB="0" distL="0" distR="0">
            <wp:extent cx="5581650" cy="1762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581650" cy="1762125"/>
                    </a:xfrm>
                    <a:prstGeom prst="rect">
                      <a:avLst/>
                    </a:prstGeom>
                  </pic:spPr>
                </pic:pic>
              </a:graphicData>
            </a:graphic>
          </wp:inline>
        </w:drawing>
      </w: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the date of this report, we have deprioritized the company-sponsored evaluation of certain clinical-stage programs, including TSHA-120 for GAN, TSHA-105 for SLC13A5, TSHA-118 for CLN1 and TSHA-121 for CLN7, and are seeking external strategic options to potentially enable further development of these programs.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TSHA-102 for Rett Syndrome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TSHA-102 is a self-complementary intrathecally delivered AAV9 gene transfer therapy in clinical evaluation for Rett syndrome, a rare progressive neurodevelopmental disorder caused by mutations in the X-linked MECP2 gene encoding methyl CpG-binding protein 2, or MeCP2, which is essential for regulating neuronal and synaptic function in the brain. The disorder is characterized by loss of communication and hand function, slowing and/or regression of development, motor and respiratory impairment, seizures, intellectual disabilities and shortened life expectancy. Rett syndrome progression is divided into four key stages, beginning with early onset stagnation at 6 to 18 months of age followed by rapid regression, plateau and late motor deterioration. Rett syndrome primarily occurs in females and is one of the most common genetic causes of severe intellectual disability.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as a one-time treatment, TSHA-102 aims to address the genetic root cause of the disease by delivering a functional form of MECP2 to cells in the CNS. The vector is delivered directly to the cerebrospinal fluid via intrathecal administration, which facilitates optimal biodistribution and cell transduction within key regions of the CNS. Because of the risks associated with both under- and over-expression of MeCP2, we have combined high-throughput microRNA, or miRNA, profiling and genome mining to create miRNA-Responsive Auto-Regulatory Element, or miRARE, our novel miRNA target panel. The miRARE element includes binding sites for endogenous miRNA, which are responsive to MeCP2 levels to prevent overexpression. By utilizing the miRARE technology, TSHA-102 is designed to mediate levels of MeCP2 in the CNS on a cell-by-cell basis without risk of overexpression. By increasing MECP2 levels in MECP2 deficient cells and maintaining healthy levels of MECP2 output of healthy cells, TSHA-102 has demonstrated the ability to produce and maintain safe transgene expression levels in the CNS. (Sinnet, SE, et al. Engineered microRNA-based regulatory element permits safe high-dose miniMECP2 gene therapy in Rett mice. Brain. 2021 awab182.)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Currently, there are no approved disease-modifying therapies that treat the genetic root cause of Rett syndrome, and there is a significant unmet medical need. According to the Rett Syndrome Research Trust, Rett syndrome affects more than 350,000 patients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worldwide. The estimated addressable patient population with typical Rett syndrome caused by a pathogenic/likely pathogenic MECP2 mutation is between 15,000 and 20,000 patients in the United States, European Union and United Kingdom.</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Phase 1/2 REVEAL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two Phase 1/2 clinical trials ongoing for TSHA-102: an adolescent/adult study in the United States and Canada and a pediatric study in the United States. In addition, approval has been granted to open a pediatric study in the U.K. The trials are described below: </w:t>
      </w:r>
    </w:p>
    <w:p>
      <w:pPr>
        <w:pStyle w:val="TextBody"/>
        <w:bidi w:val="0"/>
        <w:spacing w:before="240" w:after="283"/>
        <w:jc w:val="center"/>
        <w:rPr/>
      </w:pPr>
      <w:r>
        <w:rPr/>
        <w:drawing>
          <wp:inline distT="0" distB="0" distL="0" distR="0">
            <wp:extent cx="6858000" cy="332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3324225"/>
                    </a:xfrm>
                    <a:prstGeom prst="rect">
                      <a:avLst/>
                    </a:prstGeom>
                  </pic:spPr>
                </pic:pic>
              </a:graphicData>
            </a:graphic>
          </wp:inline>
        </w:drawing>
      </w:r>
      <w:r>
        <w:rPr/>
        <w:t> </w:t>
      </w:r>
    </w:p>
    <w:p>
      <w:pPr>
        <w:pStyle w:val="TextBody"/>
        <w:bidi w:val="0"/>
        <w:jc w:val="left"/>
        <w:rPr>
          <w:rFonts w:ascii="Times New Roman" w:hAnsi="Times New Roman"/>
          <w:color w:val="000000"/>
          <w:sz w:val="18"/>
        </w:rPr>
      </w:pPr>
      <w:r>
        <w:rPr>
          <w:rFonts w:ascii="Times New Roman" w:hAnsi="Times New Roman"/>
          <w:color w:val="000000"/>
          <w:sz w:val="18"/>
        </w:rPr>
        <w:t>IT – Intrathecal; MTD – Maximum Tolerated Dose; MAD – Maximum Administered Dose.</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We dosed the first adult patient with Rett syndrome in May 2023. The second adult patient was dosed in September 2023. We dosed the first pediatric patient with Rett syndrome in the Phase 1/2 REVEAL pediatric trial in December 2023 and the second pediatric patient was dosed in the first quarter of 2024. In early 2024, we announced that the U.K. MHRA authorized the CTA for TSHA-102 in pediatric patients with Rett syndrome, enabling expansion of our ongoing pediatric trial into the United Kingdom. In February 2024, we announced the expansion of the ongoing REVEAL Phase 1/2 adolescent and adult trial in Canada into the United States following submission of the adolescent and adult trial protocol to the FDA.</w:t>
      </w:r>
    </w:p>
    <w:p>
      <w:pPr>
        <w:pStyle w:val="TextBody"/>
        <w:bidi w:val="0"/>
        <w:spacing w:before="240" w:after="283"/>
        <w:jc w:val="left"/>
        <w:rPr>
          <w:rFonts w:ascii="Times New Roman" w:hAnsi="Times New Roman"/>
          <w:sz w:val="20"/>
        </w:rPr>
      </w:pPr>
      <w:r>
        <w:rPr>
          <w:rFonts w:ascii="Times New Roman" w:hAnsi="Times New Roman"/>
          <w:color w:val="000000"/>
          <w:sz w:val="20"/>
        </w:rPr>
        <w:t>Cohort 1 of both trials is evaluating the low dose of TSHA-102 of 5.7x10</w:t>
      </w:r>
      <w:r>
        <w:rPr>
          <w:rFonts w:ascii="Times New Roman" w:hAnsi="Times New Roman"/>
          <w:color w:val="000000"/>
          <w:sz w:val="13"/>
        </w:rPr>
        <w:t>14</w:t>
      </w:r>
      <w:r>
        <w:rPr>
          <w:rFonts w:ascii="Times New Roman" w:hAnsi="Times New Roman"/>
          <w:color w:val="000000"/>
          <w:sz w:val="20"/>
        </w:rPr>
        <w:t xml:space="preserve"> total vg. Two adult patients have been dosed in cohort 1 in the adolescent and adult trial, and TSHA-102 showed a well-tolerated safety profile with no treatment-emergent serious adverse events as of the week 35 post-treatment assessment for the first adult patient and as of the week 19 post-treatment assessment for the second adult patient. Following review of available clinical data from the first two dosed adult patients and first dosed pediatric patient showing that TSHA-102 was generally well-tolerated, and in light of the potential for improved benefit at the higher dose (1x10</w:t>
      </w:r>
      <w:r>
        <w:rPr>
          <w:rFonts w:ascii="Times New Roman" w:hAnsi="Times New Roman"/>
          <w:color w:val="000000"/>
          <w:sz w:val="13"/>
        </w:rPr>
        <w:t>15</w:t>
      </w:r>
      <w:r>
        <w:rPr>
          <w:rFonts w:ascii="Times New Roman" w:hAnsi="Times New Roman"/>
          <w:color w:val="000000"/>
          <w:sz w:val="20"/>
        </w:rPr>
        <w:t xml:space="preserve"> total vg), in February 2024, the IDMC approved our request to proceed to earlier dose escalation in the adolescent and adult trial, enabling earlier advancement to cohort 2 evaluating 1x10</w:t>
      </w:r>
      <w:r>
        <w:rPr>
          <w:rFonts w:ascii="Times New Roman" w:hAnsi="Times New Roman"/>
          <w:color w:val="000000"/>
          <w:sz w:val="13"/>
        </w:rPr>
        <w:t>15</w:t>
      </w:r>
      <w:r>
        <w:rPr>
          <w:rFonts w:ascii="Times New Roman" w:hAnsi="Times New Roman"/>
          <w:color w:val="000000"/>
          <w:sz w:val="20"/>
        </w:rPr>
        <w:t xml:space="preserve"> total vg. Dosing in cohort 1 of the adolescent and adult trial is now considered complete. We have enrolled the first patient in cohort 2 of the adolescent and adult trial and scheduled dosing for the second quarter of 2024. The IDMC also approved the dosing of the second patient in cohort 1 of the pediatric trial, and the second pediatric patient was dosed in the first quarter of 2024.</w:t>
      </w:r>
    </w:p>
    <w:p>
      <w:pPr>
        <w:pStyle w:val="TextBody"/>
        <w:bidi w:val="0"/>
        <w:spacing w:before="240" w:after="283"/>
        <w:jc w:val="left"/>
        <w:rPr>
          <w:rFonts w:ascii="Times New Roman" w:hAnsi="Times New Roman"/>
          <w:sz w:val="20"/>
        </w:rPr>
      </w:pPr>
      <w:r>
        <w:rPr>
          <w:rFonts w:ascii="Times New Roman" w:hAnsi="Times New Roman"/>
          <w:color w:val="000000"/>
          <w:sz w:val="20"/>
        </w:rPr>
        <w:t>We expect to report initial available safety and efficacy data from cohort 1 of the pediatric trial and an update on available safety and efficacy data from completed cohort 1 (low dose, 5.7x10</w:t>
      </w:r>
      <w:r>
        <w:rPr>
          <w:rFonts w:ascii="Times New Roman" w:hAnsi="Times New Roman"/>
          <w:color w:val="000000"/>
          <w:sz w:val="13"/>
        </w:rPr>
        <w:t>14</w:t>
      </w:r>
      <w:r>
        <w:rPr>
          <w:rFonts w:ascii="Times New Roman" w:hAnsi="Times New Roman"/>
          <w:color w:val="000000"/>
          <w:sz w:val="20"/>
        </w:rPr>
        <w:t xml:space="preserve"> total vg) of the adolescent and adult trial in mid-2024. We expect to report initial available safety and efficacy data from cohort 2 (high dose, 1x10</w:t>
      </w:r>
      <w:r>
        <w:rPr>
          <w:rFonts w:ascii="Times New Roman" w:hAnsi="Times New Roman"/>
          <w:color w:val="000000"/>
          <w:sz w:val="13"/>
        </w:rPr>
        <w:t>15</w:t>
      </w:r>
      <w:r>
        <w:rPr>
          <w:rFonts w:ascii="Times New Roman" w:hAnsi="Times New Roman"/>
          <w:color w:val="000000"/>
          <w:sz w:val="20"/>
        </w:rPr>
        <w:t xml:space="preserve"> total vg) of both the adolescent and adult trial and the pediatric trial in the second half of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maximum tolerated dose or maximum administered dose established in Part A will be administered during dose expansion in Part B. Data from Part A will be assessed by regulatory agencies and the IDMC to determine key elements of Part B of the study, including efficacy endpoints, study duration and the MTD or MAD.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TSHA-102 REVEAL Adolescent / Adult Clinical Trial TSHA-102-CL-101 Safety and Efficacy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Efficacy endpoints include patient assessments performed by clinicians using the Clinical Global Impressions Scale – Improvement, or CGI-I, the Clinical Global Impressions Scale – Severity, or CGI-S, Rett Syndrome Hand Function Scale, or RSHFS, Vineland Adaptive Behavior Scales Third Edition, and Revised Motor Behavior Assessment, or R-MBA. Additional efficacy endpoints also include patient assessments by caregivers using Parental Global Impressions Improvement, or PGI-I, the Rett Syndrome Behavior Questionnaire, or RSBQ, Seizure Diaries and other clinical assessment scales.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first adult patient has the most advanced stage of Rett syndrome, Stage IV, with a genetic change consisting of a large deletion within the MECP2 gene that is known to cause Rett syndrome. This patient's phenotypic manifestation is severe, having lost all abilities to: walk, stand, and sit without support around age eight (non-ambulatory, wheelchair bound, limited movements of her lower extremities), use her hands around age six (unable to grasp and hold objects of any size) and speak around age two (non-verbal, minimal vocalizations). Per the Principal Investigator, or PI, the first adult patient’s baseline reported seizure frequency was approximately two to four seizures per year. After TSHA-102 administration, the first adult patient has showed a well-tolerated safety profile with no treatment-emergent serious adverse events as of the 35-week safety assessment post-treatment. Per the protocol, prophylactic immunosuppressant therapy began seven days prior to TSHA-102 administration. The first adult patient’s steroid taper was initiated on week 17 and was completed by week 33. At week 25, the patient demonstrated sustained and new improvements across key efficacy assessments at decreased steroid levels compared to earlier post-treatment assessments and the patient was subsequently at physiologic levels within a few days post the week 25 assessment.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35 weeks post-treatment, following completion of the steroid taper, the PI noted that the first adult patient’s improvements observed across multiple clinical domains had been sustained with new improvements as well. These include sustained improvements in motor function, with the gained ability to kick legs against gravity and sit unassisted for the first time in over one decade, including after the steroids have been fully tapered from the patient at week 35 post-treatment, as supported by video evidence. Further sustained improvements from the first adult patient were also observed in motor function, including improved hand function as the patient’s hands were more open, and the improved ability to grasp and hold objects. The PI also observed new improvements in the patient’s socialization/communication skills at week 35 post-treatment, as the patient was more alert and interactive during the day, made more vocalizations, and showed the enhanced ability to use her eye-driven communication device, which caregivers reported she had not expressed interest in before treatment. Specifically, at week 35 post-treatment, the patient was able to use the eye-driven device much more efficiently, with the gained ability to activate functions on the screen of the device. Difficulty in communication, including loss of speech, is one of the most prominent symptoms of Rett syndrome and a key area of concern for caregivers as it interferes with patients’ ability to communicate their needs and express their interests. Further, the first adult patient showed sustained improvements in autonomic function at week 35 post-treatment, including sustained normalized sleep/night-time behaviors for the first time in twenty years, improved breathing patterns with fewer breath holding spells and infrequent hyperventilation compared to before treatment, and improved circulation with hands and feet at a more normal temperature and color. Finally, the PI observed that the patient’s seizures had been overall well controlled through week 35 following treatment at lower levels of anti-seizure medication, relative to baseline, and the patient no longer experienced unprovoked seizures. These observations are supported by data from the Seizure diaries. The PI’s clinical observations are supported by clinical and video evidence as well as caregiver-reported seizure diaries.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second adult patient has the most advanced stage of Rett syndrome, Stage IV, with a missense mutation in the MECP2 gene, which has been reported in over 25 publications to cause Rett syndrome. This patient's phenotypic manifestation is milder than the first adult patient, with partial loss of ambulation (able to walk/stand without support, wide based, slow, unsteady gait) and hand function (with significant stereotypies that emerged by age three, inability to transfer objects between hands). She has been nonverbal since the age of two years old. Per the PI, the second adult patient’s baseline reported seizure frequency was approximately two to four seizures per week. After TSHA-102 administration, the patient has showed a well-tolerated safety profile with no treatment-emergent serious adverse events as of the 19-week safety assessment post-treatment. Tapering of the steroids was initiated on week 17 and is expected to be complete by week 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19-weeks post-treatment, the PI noted that the second adult patient’s improvements observed across multiple clinical domains had been maintained with new improvements at decreased steroid levels relative to earlier post-treatment assessments. These include sustained improvement in motor function, with the patient’s hands more open and relaxed, and improved hand stereotypies, with less forceful hand wringing. These observations from the PI are supported by video evidence. The second adult patient also showed sustained improvements in social/communication skills as she was more interested, engaged and alert, including showing increased response to spoken words and eye contact, as supported by improved social skills on the clinician administered R-MBA scale. The second adult patient also showed sustained improvements in autonomic function, including improved breathing patterns with fewer breath holding spells and infrequent hyperventilation compared to before treatment, and improved circulation, with hands and feet at a more normal temperature and color. Finally, the second adult patient showed pronounced improvements in seizure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frequency at week 19 post-treatment, with a significant reduction in seizures at 25% lower levels of anti-seizure medication, relative to baseline. The PI noted that the patient’s epilepsy had been much better controlled following treatment at a lower dose of anti-seizure medication, and has been seizure-free for 17 weeks as of the week 19 post-treatment time point, despite a pre-treatment seizure frequency of approximately two to four seizures per week. The PI’s clinical observations are supported by clinical and video evidence as well as caregiver-reported seizure diaries.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TSHA-102-CL-101 Trial Adult Patient 1 Efficacy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first adult patient showed clinically significant improvement in CGI-S from score of six (severely ill) at baseline to score of five (markedly ill) in this measure four weeks post-TSHA-102 administration and this improvement was sustained through week 25. Similarly, the patient demonstrated sustained improvement in CGI-I and PGI-I as of week 25 assessment post-TSHA-102 administration with scores of two (much improved and much better for CGI-I and PGI-I,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first adult patient dosed with TSHA-102 demonstrated a sustained clinical improvement in RSBQ Total Score at week 25 post-TSHA-102 administration as depicted in the chart below.</w:t>
      </w:r>
    </w:p>
    <w:p>
      <w:pPr>
        <w:pStyle w:val="TextBody"/>
        <w:bidi w:val="0"/>
        <w:spacing w:before="240" w:after="283"/>
        <w:jc w:val="center"/>
        <w:rPr/>
      </w:pPr>
      <w:r>
        <w:rPr/>
        <w:drawing>
          <wp:inline distT="0" distB="0" distL="0" distR="0">
            <wp:extent cx="5353050" cy="2743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353050" cy="2743200"/>
                    </a:xfrm>
                    <a:prstGeom prst="rect">
                      <a:avLst/>
                    </a:prstGeom>
                  </pic:spPr>
                </pic:pic>
              </a:graphicData>
            </a:graphic>
          </wp:inline>
        </w:drawing>
      </w: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Compared to baseline, a 30-point improvement was observed in RSBQ total score at week 25 post TSHA-102 administration. RSBQ changes at week 25 were driven by improvements in hand behaviors, breathing problems, general mood, repetitive face movements, night-time behaviors, fear/anxiety, and body rocking/expressionless face.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shown in the diagram below, the first adult patient started to show notable overall improvements in R-MBA total scores at the week-12 visit. However, the total R-MBA score increased closer to baseline at the week 25 visit where improvements were demonstrated in motor dysfunction and respiratory behaviors.</w:t>
      </w:r>
    </w:p>
    <w:p>
      <w:pPr>
        <w:pStyle w:val="TextBody"/>
        <w:bidi w:val="0"/>
        <w:spacing w:before="240" w:after="283"/>
        <w:jc w:val="center"/>
        <w:rPr/>
      </w:pPr>
      <w:r>
        <w:rPr/>
        <w:drawing>
          <wp:inline distT="0" distB="0" distL="0" distR="0">
            <wp:extent cx="5524500" cy="2905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524500" cy="2905125"/>
                    </a:xfrm>
                    <a:prstGeom prst="rect">
                      <a:avLst/>
                    </a:prstGeom>
                  </pic:spPr>
                </pic:pic>
              </a:graphicData>
            </a:graphic>
          </wp:inline>
        </w:drawing>
      </w: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first adult patient has demonstrated stable seizure events relative to baseline through week 35 post-treatment, based on caregiver-reported medical history, and seizures are confined to periods where phenytoin level declines to &lt;50 μmol/L (previously &lt;100 μmol/L). The first adult patient has been on phenytoin as antiepileptic therapy, which she has continued following treatment with TSHA-102. Prior to treatment and per medical history, the patient required phenytoin levels of &gt;100 µmol/L to control her seizures. The first adult patient had seizures prior to TSHA-102 administration on Day –8 and Day –7, and post-administration she had seizures on Days 45-49 and Day 82 associated with lower than target phenytoin levels. Specifically, the seizures on Days 45-49 corresponded with a phenytoin level of 45.9 µmol/L, and the seizure on Day 82 corresponded with a phenytoin level was 35.9 umol/L.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 of hand function is a hallmark characteristic of Rett syndrome and a key area of concern for caregivers. It impacts a patient’s ability to communicate and impedes daily activities, which ultimately limits independence. The RSHFS is a scale designed to evaluate hand function in patients with Rett syndrome. Hand function is evaluated by an experienced independent physical therapist with expertise in evaluating hand function in patients with Rett syndrome. Sessions are videotaped in which the patient’s caregiver offers the patient both large (e.g. a toy, cup, or spoon) and small (e.g. a grape or small piece of sandwich) objects so that she may demonstrate her ability to grasp, pick up, and hold the objects. The independent physical therapist then codes the demonstrated hand function in each video at one of four levels of hand function, ranging from no active grasping of any objects to independent grasping, for the best level for large objects assessment.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first adult patient showed an improvement in RSHFS at 25 weeks post-TSHA-102 administration as depicted in the tables below. As of week 25 following treatment, the first adult patient is using her non-dominant hand for some basic grasping whereas before treatment, she was not able to grasp at all. As of the week 25 assessment, her dominant hand function improved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baseline with the demonstrated ability to grasp of two different objects (spoon and toy) rather than just one object (spoon). These clinical observations reported by the independent physical therapist are supported by video evidence.</w:t>
      </w:r>
    </w:p>
    <w:p>
      <w:pPr>
        <w:pStyle w:val="TextBody"/>
        <w:bidi w:val="0"/>
        <w:spacing w:before="240" w:after="283"/>
        <w:jc w:val="left"/>
        <w:rPr/>
      </w:pPr>
      <w:r>
        <w:rPr/>
        <w:drawing>
          <wp:inline distT="0" distB="0" distL="0" distR="0">
            <wp:extent cx="6858000" cy="2486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2486025"/>
                    </a:xfrm>
                    <a:prstGeom prst="rect">
                      <a:avLst/>
                    </a:prstGeom>
                  </pic:spPr>
                </pic:pic>
              </a:graphicData>
            </a:graphic>
          </wp:inline>
        </w:drawing>
      </w:r>
      <w:r>
        <w:rPr/>
        <w:t> </w:t>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TSHA-102-CL-101 Trial Adult Patient 2 Efficacy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 two adult patients dosed to date in our REVEAL trial both have the most advanced stage of Rett syndrome, Stage, IV, they possess different genetic backgrounds and mutation types, which manifest in different phenotypes and clinical severity.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there was no change at 12 weeks post TSHA-102 administration in the second adult patient’s CGI-S score of four (moderately ill) at baseline, her CGI-I and PGI-I scores show sustained improvement (score of three, minimally better and a little better, respectively) at week 12.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second adult patient showed a sustained clinical improvement in RSBQ Total Score 12 weeks post-TSHA-102 administration as depicted in the chart below.</w:t>
      </w:r>
    </w:p>
    <w:p>
      <w:pPr>
        <w:pStyle w:val="TextBody"/>
        <w:bidi w:val="0"/>
        <w:spacing w:before="240" w:after="283"/>
        <w:jc w:val="center"/>
        <w:rPr/>
      </w:pPr>
      <w:r>
        <w:rPr/>
        <w:drawing>
          <wp:inline distT="0" distB="0" distL="0" distR="0">
            <wp:extent cx="5210175" cy="2857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210175" cy="2857500"/>
                    </a:xfrm>
                    <a:prstGeom prst="rect">
                      <a:avLst/>
                    </a:prstGeom>
                  </pic:spPr>
                </pic:pic>
              </a:graphicData>
            </a:graphic>
          </wp:inline>
        </w:drawing>
      </w: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Improvements were documented in several subdomains. Specifically, compared to baseline, improvements were noted in breathing, body rocking, facial expressions, general mood, and repetitive face movements.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second adult patient showed continued improvement in the R-MBA Total Score at 12 weeks post-TSHA-102 administration as depicted in the graph below.</w:t>
      </w:r>
    </w:p>
    <w:p>
      <w:pPr>
        <w:pStyle w:val="TextBody"/>
        <w:bidi w:val="0"/>
        <w:spacing w:before="240" w:after="283"/>
        <w:jc w:val="center"/>
        <w:rPr/>
      </w:pPr>
      <w:r>
        <w:rPr/>
        <w:drawing>
          <wp:inline distT="0" distB="0" distL="0" distR="0">
            <wp:extent cx="5057775" cy="2790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057775" cy="2790825"/>
                    </a:xfrm>
                    <a:prstGeom prst="rect">
                      <a:avLst/>
                    </a:prstGeom>
                  </pic:spPr>
                </pic:pic>
              </a:graphicData>
            </a:graphic>
          </wp:inline>
        </w:drawing>
      </w: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17-point improvement at week 12 was demonstrated in the R-MBA Total Score. Most notable improvements were documented in the following subscales: social skills, respiratory behaviors, seizures, truncal rocking and stereotypic hand movements and/or mouthing, and aberrant behaviors.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Seizure diary demonstrated reduced seizure events relative to baseline through 19-weeks post-treatment for the second adult patient at lower levels of anti-seizure medication, based on caregiver-reported medical history. Pre-treatment, the second adult patient had approximately two to four seizures per week, and there has been a significant reduction in seizures post-treatment with TSHA-102 at 25% lower levels of anti-seizure medication, relative to baseline. Post-treatment, the second adult patient had a single seizure event on day 13 as of week 19 post-treatment. The seizure was an unknown type, with motor manifestations and lasted less than one minute duration. The patient has been seizure-free for 17 weeks as of the week 19 post-treatment time point.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Hand function in the dominant hand for the second adult patient is challenging to interpret due to inconsistency in the video recording. At the week 8 post-treatment assessment, the second adult patient’s dominant hand received a hand function score of four, an independent grasp (pick up and hold) and was able to grasp three objects. Hand function in the second adult patient remained unchanged in the non-dominant hand on the RSHFS 12 weeks post-TSHA-102 treatment. These clinical observations reported by the independent physical therapist are supported by video evidence.</w:t>
      </w:r>
    </w:p>
    <w:p>
      <w:pPr>
        <w:pStyle w:val="TextBody"/>
        <w:bidi w:val="0"/>
        <w:spacing w:before="240" w:after="283"/>
        <w:jc w:val="center"/>
        <w:rPr/>
      </w:pPr>
      <w:r>
        <w:rPr/>
        <w:drawing>
          <wp:inline distT="0" distB="0" distL="0" distR="0">
            <wp:extent cx="6858000" cy="25050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2505075"/>
                    </a:xfrm>
                    <a:prstGeom prst="rect">
                      <a:avLst/>
                    </a:prstGeom>
                  </pic:spPr>
                </pic:pic>
              </a:graphicData>
            </a:graphic>
          </wp:inline>
        </w:drawing>
      </w: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Deprioritized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previously deprioritized the evaluation of our clinical product candidates TSHA-120 for GAN, TSHA-105 for SLC13A5, TSHA-118 for CLN1 and TSHA-121 for CLN7. Although we are not currently evaluating the potential of TSHA-105, TSHA-118 and TSHA-121, we may again evaluate any of these in the future as a product candidate as a component of our pipeline expansion plans, or pursue partnerships to advance these programs.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TSHA-120 for Giant Axonal Neuropathy (GAN)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GAN is an ultra-rare autosomal recessive, progressive neurodegenerative disease of the central, peripheral and autonomic nervous systems caused by deficiency or complete loss-of-function of gigaxonin and the accumulation of intermediate filaments. Epidemiology studies indicate there are between 1,000 and 1,500 treatable GAN patients in the United States, European Union and United Kingdom.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an early (classical) and late-onset (non-classical) phenotype associated with the disease, with shared pathophysiology due to accumulation of intermediate filaments. Symptoms and features of children with classical GAN usually develop before the age of five years with distal muscle weakness and sensory loss due to axonal sensory motor neuropathy, manifesting as bilateral foot drop and difficulties with fine motor coordination. An abnormal, wide based, unsteady gait due to CNS and cerebellar involvement is also a common initial clinical manifestation. Children with the classical phenotype typically have dull, tightly curled, coarse hair (“kinky” hair), “giant” axons pathognomonic on a nerve biopsy due to accumulation of intermediate filaments, and progressive spinal cord atrophy and white matter abnormalities, initially around the cerebellar dentate nucleus, on MRI images. Symptoms progress and, as the children grow older, they develop progressive proximal muscle weakness, resulting in difficulties raising their arms and standing from the floor or a chair, scoliosis, distal contractures, progressive gait and limb ataxia, leading to loss of ambulation by the second decade. Progressive optic nerve atrophy, seen early in the disease, results in increasing deterioration of visual acuity in later stages and has been more recently described. Indeed, decreased visual acuity was seen at baseline in approximately half of GAN patients aged 3-21 years, enrolled in a natural history study [Brain. 2021 Nov 29;144(10):3239-3250]. Due to increased respiratory muscle weakness and restrictive respiratory failure as a result of severe scoliosis, assisted ventilation is required in adolescents. GAN patients often die during their late teens or early twenties, typically due to respiratory failure.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late-onset, or non-classical, phenotype is often categorized as Charcot-Marie-Tooth Type 2, or CMT2, as it presents as a typical early onset axonal sensory motor neuropathy without the typical kinky hair and CNS involvement of the classical phenotype and has a relatively slow progression. This phenotype might represent up to 6% of all CMT2 diagnosis. In the late-onset population, patients have poor quality of life and significantly compromised activities of daily living. The disease is life limiting but not as severely as classic GAN. In classic GAN, symptomatic treatments attempt to maximize physical development and minimize the rate of deterioration. Currently, there are no approved disease-modifying therapies available, only palliative treatments.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2021, we acquired the exclusive worldwide rights to a clinical-stage, intrathecally dosed AAV9 gene therapy program, now known as TSHA-120, for the treatment of GAN, pursuant to a license agreement with Hannah’s Hope Fund for Giant Axonal Neuropathy, Inc., or HHF. Under the terms of the agreement, HHF received an upfront payment of $5.5 million and will be eligible to receive clinical, regulatory and commercial milestones totaling up to $19.3 million, as well as a low, single-digit royalty on net sales upon commercialization of TSHA-120. We received orphan drug designation and rare pediatric disease designation from the FDA for TSHA-120 for the treatment of GAN. In April 2022, we received orphan drug designation from the European Commission for TSHA-120 for the treatment of GAN.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2023, subsequent to the receipt of Type C meeting feedback from the FDA regarding a registrational path for TSHA-120, we announced that we discontinued the development of our TSHA-120 program in the evaluation for the treatment of GAN. In January 2024, we initiated the transfer of the FDA IND application and investigational clinical trial material for TSHA-120 in GAN to clinical trial collaborator NINDS, creating an opportunity for continued clinical evaluation of TSHA-120 in GAN. Additionally, we have entered discussions with the originating advocacy organization regarding TSHA-120 in an effort to transfer rights back to the advocacy organization to move the program forward.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TSHA-118 for CLN1 Disease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CLN1 disease (one of the forms of Batten disease), a lysosomal storage disorder, is a progressive, fatal neurodegenerative disease with early childhood onset that has an estimated incidence of approximately 1 in 138,000 live births worldwide. The estimated prevalence of CLN1 disease is 1,000 patients in the United States and European Union. CLN1 disease is caused by loss-of-function mutations in the CLN1 gene that encodes the enzyme palmitoyl-protein thioesterase-1, a small glycoprotein involved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degradation of certain lipid-modified proteins. Loss of function mutations in the CLN1 gene causes accumulation of these lipid-modified proteins in cells, eventually leading to aggregation, neuronal cellular dysfunction and ultimately neuronal cell death.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infantile-onset form of CLN1 disease, clinical symptoms appear between six to 24 months and include rapid deterioration of speech and motor function, refractory epilepsy, ataxia and visual failure. Infantile-onset CLN1 patients are typically poorly responsive by five years of age and remain noncommunicative until their death, which usually occurs by seven years of age. Late-infantile-onset CLN1 disease begins between two to four years of age with initial visual and cognitive decline followed by the development of ataxia and myoclonus, or quick, involuntary muscle jerks. Juvenile-onset CLN1 disease patients present between the ages of five to ten years old, with vision loss as a first symptom followed by cognitive decline, seizures and motor decline. Approximately 60% of the children diagnosed with CLN1 disease in the United States present with early-onset infantile forms, with the remaining 40% experiencing later-onset childhood forms.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currently available therapeutic approaches for patients with CLN1 disease are targeted towards the treatment of symptoms, and no disease-modifying therapies have been approved. Gene therapy has shown promise in correcting forms of neuronal ceroid lipofuscinoses diseases that involve mutations in soluble enzymes, in part, due to cross-correction of neighboring non-transduced cells.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believe that the introduction of a functional </w:t>
      </w:r>
      <w:r>
        <w:rPr>
          <w:rFonts w:ascii="Times New Roman" w:hAnsi="Times New Roman"/>
          <w:i/>
          <w:color w:val="000000"/>
          <w:sz w:val="20"/>
        </w:rPr>
        <w:t>CLN1</w:t>
      </w:r>
      <w:r>
        <w:rPr>
          <w:rFonts w:ascii="Times New Roman" w:hAnsi="Times New Roman"/>
          <w:color w:val="000000"/>
          <w:sz w:val="20"/>
        </w:rPr>
        <w:t xml:space="preserve"> gene using an AAV9 vector delivered intrathecally to the CNS offers the potential of a disease-modifying therapeutic approach for this disease. TSHA-118 is a self-complementary AAV9 viral vector that expresses human codon-optimized CLN1 complementary deoxyribonucleic acid under control of the chicken ß-actin hybrid promoter. We acquired exclusive worldwide rights to certain intellectual property rights and know-how relating to the research, development and manufacture of TSHA-118 (formerly ABO-202) in August 2020 pursuant to a license agreement with Abeona Therapeutics Inc., or Abeona.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TSHA-118 has been granted orphan drug designation, rare pediatric disease designation and fast track designation from the FDA and orphan drug designation from the European Medicines Agency for the treatment of CLN1 disease.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currently an open IND for the CLN1 program. We submitted a CTA filing for TSHA-118 which was approved by Health Canada in 2021. Clinical trial material has been manufactured and released and is now ready for use in a clinical trial setting. We provided investigational clinical trial material for TSHA-118 in CLN1 to support an individual-patient investigator-initiated IND request from RUSH University Medical Center for the treatment of a patient with CLN1 disease.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TSHA-105 for SLC13A5 Deficiency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TSHA-105 is a gene replacement therapy in development for the treatment of SLC13A5 deficiency, a rare autosomal recessive epileptic encephalopathy characterized by the onset of seizures within the first few days of life. SLC13A5 deficiency is caused by bi-allelic loss-of function mutations in the SLC13A5 gene, which codes for a sodium dependent citrate transporter, or NaCT, that is largely expressed in the brain and liver. To date, all tested mutations result in no or a greatly reduced amount of the citrate in the cells. Diminished NaCT function leads to loss of neuronal uptake of citrate and other metabolites such as succinate that are critical to brain energy metabolism and function. Affected children have impairments in gross motor function and speech production with relative preservation of fine motor skills and receptive speech. Currently, there are no approved therapies for SLC13A5 deficiency, and treatment is largely to address symptoms. The estimated prevalence of SLC13A5 deficiency is 1,900 patients in the United States and European Union.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TSHA-105 is constructed from a codon-optimized human SLC13A5 gene packaged in a self-complementary AAV9 capsid.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received orphan drug designation and rare pediatric disease designation from the FDA and orphan drug designation from the European Commission for TSHA-105 for the treatment of epilepsy caused by SLC13A5 deficiency. Clinical trial material has been manufactured and released and is now ready for use in a clinical trial setting.</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 pipeline of early-stage gene therapy programs targeting CNS diseases that we may progress in the future or advance through potential partnerships.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TSHA-113 for Tauopathies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developing TSHA-113 for the treatment of tauopathies. Tauopathies comprise a large subset of neurodegenerative diseases involving the aggregation of microtubule associated protein tau, or MAPT, protein into neurofibrillary or gliofibrillary tangles in the human brain. These include MAPT-associated frontotemporal dementia, or FTD, progressive supranuclear palsy, or PSP,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corticobasal degeneration, or CD, and Alzheimer’s disease. There are an estimated 11,000 patients in United States and Europe affected by MAPT mediated FTD and 2,000 to 2,500 are affected with MAPT-mediated PSP. and CD</w:t>
      </w:r>
      <w:r>
        <w:rPr>
          <w:rFonts w:ascii="Times New Roman" w:hAnsi="Times New Roman"/>
          <w:color w:val="000000"/>
          <w:sz w:val="16"/>
        </w:rPr>
        <w:t>,</w:t>
      </w:r>
      <w:r>
        <w:rPr>
          <w:rFonts w:ascii="Times New Roman" w:hAnsi="Times New Roman"/>
          <w:color w:val="000000"/>
          <w:sz w:val="20"/>
        </w:rPr>
        <w:t xml:space="preserve"> and Alzheimer’s disease affects an estimated 6.2 million Americans and 7.8 million Europeans.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Intrathecal delivery of an antisense oligonucleotide, or ASO, targeting Tau mRNA by Biogen/Ionis in a Phase 1 study demonstrated durable, robust, time and dose dependent lowering of tau protein and phospho-tau in cerebrospinal fluid of Alzheimer’s disease patients. Buoyed by these results, in August 2022, Biogen started a Phase 2 trial in people with mild cognitive impairment or mild dementia due to Alzheimer’s disease. This ASO target validation paved the way for other approaches targeting intercellular tau mRNA (reduce tau protein production), for treating Tauopathies.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Unlike an ASO treatment, which would require repeat lifelong administration, we are developing a one-time treatment for Tauopathies. TSHA-113 is an AAV9 capsid that packages a tau-specific miRNA and is delivered in the cerebrospinal fluid for the treatment of tauopathies. This miRNA targets all six isoforms of tau mRNA.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tested the efficacy of TSHA-113 in PS19 mice, a validated mouse model for tauopathies. These mice express human MAPT, and they exhibit significant tau pathology, neurodegeneration, loss of body weight and progressive hind-limb paralysis around nine to 12 months of age. We tested efficacy of our treatment by delivering TSHA-113 to PS19 mice at three months, six months and nine months of age via intracisterna magna injection. We found that the tau mRNA and protein levels were significantly reduced by TSHA-113 treatment. Consistently, the tau seeding assay showed reduced levels of pathological tau in brains from PS19 mice treated with TSHA-113. In addition, TSHA-113 treatment was able to rescue the survival rate, loss in body weight, and the hind limb clasping phenotype in the PS19 mice when treated at three months, six months and nine months of age. Taken together, these results demonstrate that a one-time, vectorized delivery of a tau-specific miRNA is a promising approach for treatment for tauopathies. Ongoing and future work is focused on optimal dose determination for IND-enabling studies.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TSHA-106 for Angelman syndrome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developing TSHA-106 for the treatment of Angelman syndrome, a neurodevelopmental disorder caused by a maternal deficiency of the UBE3A gene. Angelman syndrome is characterized by profound developmental delay, ataxia and gait disturbance, sleep disorder, seizures, heightened anxiety, aggression and severe speech impairments. Angelman syndrome affects approximately one per 12,000 to 20,000 patients worldwide.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Angelman syndrome is an imprinting disorder in which the maternal gene is deficient and the paternal copy of UBE3A is intact but silenced by a long non-coding RNA, UBE3A antisense transcript, or UBE3A-ATS. Delivery of an ASO targeting UBE3A-ATS showed promising results in ameliorating Angelman syndrome symptoms in a transgenic mouse model.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in-licensed a novel gene replacement therapy from University of North Carolina. This novel construct is designed to express two isoforms of UBE3A mRNA from the same codon optimized transgene cassette and could potentially be a one-time treatment for the disease. The unique design feature allows short and long hUBE3A isoforms expression at a near-endogenous 3:1 (short/long) ratio, a feature that could help to support optimal therapeutic outcomes. Additionally, this construct uses human Synapsin 1 promoter, to limit UBE3A expression primarily in neurons, the primary therapeutic target for treating Angelman syndrome.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 published study, this dual isoform expressing cassette was packaged into PHP.B capsids and administered by intracerebroventricular injections in neonatal mice models. This treatment significantly improved motor learning and innate behaviors in Angelman syndrome mice (PMID: 34676830). It rendered Angelman syndrome mice resilient to epileptogenesis and associated hippocampal neuropathologies induced by seizure kindling. These results demonstrated the feasibility, tolerability, and therapeutic potential for dual-isoform hUBE3A gene transfer in the treatment of AS in mice.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advance these findings into translatable interventions, our collaborators packaged the dual isoform expressing cassette into AAV9 capsids and undertook animal proof of concept studies. Overall, these results are highly consistent with the published data describing neonatal ICV delivery of a similar dose of the PHP.B/hUBE3Aopt vector (PMID: 34676830) and support continued development. Ongoing and future work is focused on optimal dose and route of administration determination for IND enabling studies.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an estimated 55,000 patients with Angelman syndrome in the United States and Europe.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TSHA-114 for Fragile X Syndrome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developing TSHA-114 for the treatment of Fragile X syndrome, the most common single gene cause of autism and cognitive impairment, affecting about one in 6,000 individuals worldwide. Fragile X syndrome is diagnosed around three years of age and characterized by anxiety, aggression, hyperactivity, attention deficits and sleep and communication disruption.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Fragile X syndrome is caused by a pathological expansion of a CGG triplet repeat in the 5’ untranslated region of the FMR1 gene. Expansion of the triplet above the normal 5–55 repeats to 200 or more causes hypermethylation of the gene promoter, and shutdown of transcription and translation of the encoded protein, fragile X mental retardation protein, or FMRP. The expanded repeat also induces formation of RNA: DNA heteroduplexes that induces epigenetic gene silencing. Although most patients with Fragile X syndrome do not express FMRP, some individuals with the full mutation produce low amounts of the protein (less than 10% of normal levels). FMRP expression in unaffected persons varies greatly from person to person. Current pharmacotherapeutic treatments for Fragile X syndrome are solely directed towards symptom relief.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conducted proof of concept studies in animal models of Fragile X (Fmr1 KO) with TSHA-114. No significant adverse effects were observed in behavioral, serological or pathohistological markers up to 12 months after intrathecal administration of TSHA-114 in wild-type mice. TSHA-114 treated FMRKO showed widespread FMRP expression was observed throughout brain post administration. TSHA-114 treated FMRKO mice showed robust suppression of audiogenic seizures and normalization of fear conditioning behavior. In addition, assessment of circadian locomotor activity revealed restoration of hyperactivity and sleep. Assessment of transgene expression and behavioral responses in individual mice demonstrated correlations between the level of FMRP expression and potential drug efficacy.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results from the study support continued development. Ongoing and future work is focused on optimal dose and route of administration determination for IND enabling studies.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an estimated 75,000 patients with Fragile X syndrome in the United States and Europe.</w:t>
      </w:r>
    </w:p>
    <w:p>
      <w:pPr>
        <w:pStyle w:val="TextBody"/>
        <w:bidi w:val="0"/>
        <w:spacing w:before="360" w:after="283"/>
        <w:jc w:val="left"/>
        <w:rPr>
          <w:rFonts w:ascii="Times New Roman" w:hAnsi="Times New Roman"/>
          <w:sz w:val="20"/>
        </w:rPr>
      </w:pPr>
      <w:r>
        <w:rPr>
          <w:rFonts w:ascii="Times New Roman" w:hAnsi="Times New Roman"/>
          <w:b/>
          <w:color w:val="000000"/>
          <w:sz w:val="20"/>
        </w:rPr>
        <w:t>License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Research, Collaboration and License Agreement with The University of Texas Southwestern Medical Center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2019, we entered into a research, collaboration and license agreement, or the UT Southwestern Agreement, with The Board of Regents of the University of Texas System on behalf of UT Southwestern, as amended in April 2020.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We are required to use commercially reasonable efforts to develop, obtain regulatory approval for, and commercialize at least one licensed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2, 2020, we amended the UT Southwestern Agreement to include the addition of another licensed product and certain indications, and a right of first refusal to us over certain patient dosing patents. No additional consideration was transferred in connection with this amendment. In March 2022, we and UT Southwestern mutually agreed to revise the payment schedules and current performance expectations of the current sponsored research agreements under the UT Southwestern Agreement and defer payments by fifteen months. In December 2023, we and UT Southwestern mutually agreed to terminate specific sponsored research agreements. There are no outstanding payments due for these terminated programs as of March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UT Southwestern Agreement, we issued to UT Southwestern 2,179,000 shares of our common stock. We do not have any future milestone or royalty obligations to UT Southwestern under the UT Southwestern Agreement, other than costs related to the maintenance of patents.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UT Southwestern Agreement expires on a country-by-country and licensed product-by-licensed product basis upon the expiration of the last valid claim of a licensed patent in such country for such licensed product. After the initial research term, we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 In December 2023, we transferred rights to specific indications back to UT Southwestern.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License Agreement with Abeona (CLN1 Disease)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2020, we entered into a license agreement, or the Abeona CLN1 Agreement, with Abeona Therapeutics Inc., or Abeona. In connection with the Abeona CLN1 Agreement, we obtained an exclusive, worldwide, royalty-bearing license, with the right to grant sublicenses under certain patents, know-how and materials originally developed by the University of North Carolina at Chapel Hill and Abeona to research, develop, manufacture, have manufactured, use, and commercialize licensed products for gene therapy for the prevention, treatment, or diagnosis of CLN1 Disease (one of the forms of Batten disease) in humans.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certain obligations of Abeona, we are obligated to use commercially reasonable efforts to develop at least one product and commercialize at least one product in the United States.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license grant, we paid Abeona a one-time upfront license fee of $3.0 million during fiscal year 2020. We are obligated to pay Abeona up to $26.0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 In addition, concurrent with the Abeona CLN1 Agreement, we entered into a purchase and reimbursement agreement with Abeona, pursuant to which we purchased specified inventory from Abeona and reimbursed Abeona for certain research and development costs previously incurred for total consideration of $4.0 million paid in fiscal year 2020.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2021, our CTA filing for TSHA-118 for the treatment of CLN1 disease was approved by Health Canada and therefore triggered a regulatory milestone payment in connection with the Abeona CLN1 Agreement. We recorded $3.0 million within research and development expenses in the consolidated statements of operations for the year ended December 31, 2021. The milestone fee was paid in January 2022 and has been classified as an investing outflow in the condensed consolidated statements of cash flows for the three months ended March 31, 2022. No additional milestone payments were made or triggered during the three months ended March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Abeona CLN1 Agreement expires on a country-by-country and licensed product-by-licensed product basis upon the expiration of the last royalty term of a licensed product in such country. Either party may terminate the agreement upon an uncured material breach of the agreement or insolvency of the other party. We may terminate the agreement for convenience upon specified prior written notice to Abeona.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License Agreement with Abeona (Rett Syndrome)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2020, we entered into a license agreement, or the Abeona Rett Agreement, with Abeona pursuant to which we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Subject to certain obligations of Abeona, we are required to use commercially reasonable efforts to develop at least one licensed product and commercialize at least one licensed product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Abeona Rett Agreement, we paid Abeona a one-time upfront license fee of $3.0 million during fiscal year 2020. We are obligated to pay Abeona up to $26.5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2022, our CTA filing for TSHA-102 for the treatment of Rett Syndrome was approved by Health Canada and therefore triggered a regulatory milestone payment of $1.0 million in connection with the Rett Agreement, which was paid in July 2022. In May 2023, we dosed the first patient with TSHA-102 in the Phase 1/2 REVEAL trial evaluating the safety and preliminary efficacy of TSHA-102 in adult patients with Rett syndrome and therefore triggered a milestone payment of $3.5 million in connection with the Rett Agreement, which was paid in August 2023. No additional milestone payments were made during the three months ended March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Abeona Rett Agreement expires on a country-by-country and licensed product-by-licensed product basis upon the expiration of the last royalty term of a licensed product in such country. Either party may terminate the agreement upon an uncured material breach of the agreement or insolvency of the other party. We may terminate the agreement for convenience upon specified prior written notice to Abeona.</w:t>
      </w:r>
    </w:p>
    <w:p>
      <w:pPr>
        <w:pStyle w:val="TextBody"/>
        <w:bidi w:val="0"/>
        <w:spacing w:before="24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Option Agreement with Astellas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21, 2022, or the Effective Date, we entered into an Option Agreement, or the Option Agreement, with Audentes Therapeutics, Inc. (d/b/a Astellas Gene Therapy), or Astellas.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TSHA-120 Giant Axonal Neuropathy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Option Agreement, we granted to Astellas an exclusive option to obtain an exclusive, worldwide, royalty and milestone-bearing right and license (A) to research, develop, make, have made, use, sell, offer for sale, have sold, import, export and otherwise exploit, or, collectively, Exploit or the Exploitation, the product known, as of the Effective Date, as TSHA-120, or the 120 GAN Product, and any backup products with respect thereto for use in the treatment of GAN or any other gene therapy product for use in the treatment of GAN that is controlled by us or any of our affiliates or with respect to which we or any of our affiliates controls intellectual property rights covering the Exploitation thereof, or a GAN Product, and (B) under any intellectual property rights controlled by us or any of our affiliates with respect to such Exploitation, or the GAN Option. Subject to certain extensions, the GAN Option was exercisable from the Effective Date through a specified period of time following Astellas’ receipt of (i) the formal minutes from the Type B end-of-Phase 2 meeting between us and the FDA in response to our meeting request sent to the FDA on September 19, 2022 for the 120 GAN Product, (ii) all written feedback from the FDA with respect to the Type B end-of-Phase 2 Meeting, and (iii) all briefing documents sent by us to the FDA with respect to the Type B end-of-Phase 2 Meeting. Following the receipt of Type C meeting feedback from the FDA regarding a registrational path for TSHA-120 in September 2023, Astellas elected not to exercise the GAN Option, and we recognized revenue related to this expiration during the third quarter of 2023.</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TSHA-102 Rett Syndrome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Option Agreement, we also granted to Astellas an exclusive option to obtain an exclusive, worldwide, royalty and milestone-bearing right and license (A) to Exploit any Rett Product (as defined below), and (B) under any intellectual property rights controlled by us or any of our affiliates with respect to such Exploitation, or the Rett Option. Subject to certain extensions, the Rett Option is exercisable from the Effective Date through a specified period of time following Astellas’ receipt of (1) certain clinical data from the female pediatric trial and (2) certain specified data with respect to TSHA-102, or the Rett Option Period related to (i) the product known, as of the Effective Date, as TSHA-102 and any backup products with respect thereto for use in the treatment of Rett syndrome, and (ii) any other gene therapy product for use in the treatment of Rett syndrome that is controlled by us or any of our affiliates or with respect to which we or any of our affiliates controls intellectual property rights covering the Exploitation thereof, or a Rett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parties have agreed that, if Astellas exercises an Option, the parties will, for a specified period, negotiate a license agreement in good faith on the terms and conditions outlined in the Option Agreement, including payments by Astellas of a to-be-determined upfront payment, certain to-be-determined milestone payments, and certain to-be-determined royalties on net sales of GAN Products and/or Rett Products, as applicable.</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for the three months ended March 31, 2024 was derived from the Astellas Transactions. We recognize revenue as research and development activities related to our Rett program are performed. Revenue related to the material rights associated with the Rett Option and the GAN Option must be recognized at a point in time when the options are exercised or the option period expires. In September 2023, Astellas elected not to exercise the GAN Option, therefore we recognized revenue related to the GAN Option during the year ended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date, we have not recognized any revenue from product sales, and we do not expect to generate any revenue from the sale of products, if approved,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 </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primarily consist of clinical and preclinical development of our product candidates and discovery efforts, including conducting preclinical studies, manufacturing development efforts, preparing for and conducting clinical trials and activities related to regulatory filings for our product candidates. Research and development expenses are recognized as incurred and payments made prior to the receipt of goods or services to be used in research and development are capitalized until the goods or services are received. Costs incurred in obtaining technology licenses through asset acquisitions are charged to research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 expense if the licensed technology has not reached technological feasibility and has no alternative future use. Research and development expenses include or could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including salaries, bonuses, benefits, stock-based compensation, severance costs and other related costs for those employees involved in research and development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license maintenance fees and milestone fees incurred in connection with various license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external research and development expenses incurred under agreements with consultants, contract research organizations, or CROs, investigative sites and consultants to conduct our preclinical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manufacturing material for our preclinical studies and clinical trials, including fees paid to contract manufacturing organizations, or CMOs;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laboratory supplies and research materials;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compliance with regulatory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facilities, depreciation and other allocated expenses, which include direct and allocated expenses for rent, maintenance of facilities, insurance and equipment.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reduced our research and development and general and administrative spend from 2022 to 2023 but have increased and expect to continue to increase our research and development expenses with respect to the Rett clinical trials for the foreseeable future as we continue the development of TSHA-102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Our future expenses may vary significantly each period based on factors such 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to conduct preclinical studies required to advance our product candidates into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 patient trial costs, including based on the number of doses that patients received;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who enroll in each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trials required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sites included in the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countries in which the trials are conducted;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length of time required to enroll eligible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drop-out or discontinuation rates of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additional safety monitoring requested by regulatory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duration of patient participation in the trials and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phase of development of the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contractors failing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manufacture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profile of our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principally of salaries and related costs for personnel in executive and administrative functions, including stock-based compensation, severance costs, travel expenses and recruiting expenses. Other general and administrative expenses include professional fees for legal, consulting, accounting and audit and tax-related services and insurance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anticipate that certain of our general and administrative expenses will decrease in the future as a result of the reductions in our headcount in 2022 and 2023 to support our infrastructure and focus on our Rett program. We also anticipate that our general and administrative expenses may increase in the future as a result of payments for accounting, audit, legal, consulting services, costs associated with maintaining compliance with Nasdaq listing rules and SEC requirements, director and officer liability insurance, investor and public relations activities and other expenses associated with operating as a public company to support planned future Rett program development.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consists primarily of dividends earned from our money market fund and interest income on our cash and cash equivalents, interest expense on borrowings under the Trinity Term Loan, and non-cash changes in the fair value of our outstanding warrant liability and the Trinity Term Loan.</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Results of Operations for the Three Months ended March 31,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three months ended March 31, 2024 and 2023 (in thousands): </w:t>
      </w:r>
    </w:p>
    <w:tbl>
      <w:tblPr>
        <w:tblW w:w="6294" w:type="dxa"/>
        <w:jc w:val="left"/>
        <w:tblInd w:w="0" w:type="dxa"/>
        <w:tblLayout w:type="fixed"/>
        <w:tblCellMar>
          <w:top w:w="28" w:type="dxa"/>
          <w:left w:w="28" w:type="dxa"/>
          <w:bottom w:w="28" w:type="dxa"/>
          <w:right w:w="28" w:type="dxa"/>
        </w:tblCellMar>
      </w:tblPr>
      <w:tblGrid>
        <w:gridCol w:w="3531"/>
        <w:gridCol w:w="146"/>
        <w:gridCol w:w="211"/>
        <w:gridCol w:w="736"/>
        <w:gridCol w:w="166"/>
        <w:gridCol w:w="146"/>
        <w:gridCol w:w="211"/>
        <w:gridCol w:w="736"/>
        <w:gridCol w:w="411"/>
      </w:tblGrid>
      <w:tr>
        <w:trPr/>
        <w:tc>
          <w:tcPr>
            <w:tcW w:w="3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w:t>
            </w:r>
          </w:p>
        </w:tc>
        <w:tc>
          <w:tcPr>
            <w:tcW w:w="411" w:type="dxa"/>
            <w:tcBorders/>
            <w:shd w:fill="CFF0FC" w:val="clear"/>
            <w:vAlign w:val="center"/>
          </w:tcPr>
          <w:p>
            <w:pPr>
              <w:pStyle w:val="TableContents"/>
              <w:bidi w:val="0"/>
              <w:spacing w:before="0" w:after="283"/>
              <w:jc w:val="left"/>
              <w:rPr/>
            </w:pPr>
            <w:r>
              <w:rPr/>
              <w:t> </w:t>
            </w:r>
          </w:p>
        </w:tc>
      </w:tr>
      <w:tr>
        <w:trPr/>
        <w:tc>
          <w:tcPr>
            <w:tcW w:w="35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ind w:left="0" w:right="0" w:firstLine="200"/>
              <w:jc w:val="center"/>
              <w:rPr/>
            </w:pPr>
            <w:r>
              <w:rPr/>
              <w:t> </w:t>
            </w:r>
          </w:p>
        </w:tc>
      </w:tr>
      <w:tr>
        <w:trPr/>
        <w:tc>
          <w:tcPr>
            <w:tcW w:w="3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5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5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term loan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5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related to the Astellas Transactions was $3.4 million for the three months ended March 31, 2024, compared to $4.7 million for the three months ended March 31, 2023. The revenue recorded is the result of Rett research and development activities performed during the respective first quarter of 2024 and 2023.</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$20.7 million for the three months ended March 31, 2024, compared to $12.5 million for the three months ended March 31, 2023. The $8.2 million increase was primarily driven by a $7.6 million increase in GMP batch activities during the three months ended March 31, 2024, which is representative of the intended commercial manufacturing process for TSHA-102 in Rett syndrome. Additionally, clinical trial expenses increased due to ongoing activities in the REVEAL adolescent/adult and pediatric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$7.1 million for the three months ended March 31, 2024, compared to $8.8 million for the three months ended March 31, 2023. The decrease of $1.7 million was due to reduced general and administrative compensation as a result of lower headcount and reduced consulting and professional fees.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 in fair value of warrant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warrant liability was a non-cash expense totaling $0.3 million for the three months ended March 31, 2024 related to the SSI Warrants (as defined below).</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Change in fair value of term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elected the fair value option for the Trinity Term Loan and changes to fair value, other than changes that are directly attributable to instrument-specific credit risk, are recorded as a component of other income (expense). The change in fair value was $1.1 million for the three months ended March 31, 2024.</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was $1.7 million for the three months ended March 31, 2024 compared to $0.3 million for the three months ended March 31, 2023. The increase in income is primarily attributable to dividends earned from our money market fund and interest earned on our savings account following the investment of proceeds raised in our August 2023 Private Placement (as defined below).</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was less than $0.1 million for the three months ended March 31, 2024, compared to $1.4 million for the three months ended March 31, 2023. The decrease of approximately $1.3 million was primarily attributable to interest expense incurred under the Term Loan Agreement for the three months ended March 31, 2023.</w:t>
      </w:r>
    </w:p>
    <w:p>
      <w:pPr>
        <w:pStyle w:val="TextBody"/>
        <w:bidi w:val="0"/>
        <w:spacing w:before="120" w:after="283"/>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not generated any revenue from product sales and have incurred significant operating losses. As of March 31, 2024, we had cash and cash equivalents of $124.0 million. We have funded our operations primarily through equity financings, raising an aggregate of $589.0 million in gross proceeds from equity financings, including from pre-IPO private placements of convertible preferred stock, our IPO, and subsequent sales of common stock in public and private securities offerings, our term loans and the Astellas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the Trinity Closing Date, we entered into the Trinity Term Loan Agreement, by and among us, the Trinity Lenders, and Trinity. The Trinity Term Loan Agreement provided for, on the Trinity Closing Date, $40.0 million aggregate principal amount of term loans, or, collectively, the Trinity Term Loans. We drew the Trinity Term Loans in full on the Trinity Closing Date. The interest rate applicable to the Trinity Term Loans is the greater of (a) the Wall Street Journal Prime Rate plus 4.50% or (b) 12.75% per annum. The Trinity Term Loans are interest only from the Trinity Closing Date through 36 months from the Trinity Closing Date, which may be extended to 48 months from the Trinity Closing Date upon the satisfaction of certain milestones set forth in the Trinity Term Loan Agreement, after which we are required to pay equal monthly installments of principal through November 13, 2028, or the Maturity Date. The Trinity Term Loans may be prepaid in full (i) from the Trinity Closing Date through November 13, 2024, with payment of a 3.00% prepayment premium, (ii) from November 13, 2024 through November 13, 2025, with payment of a 2% prepayment premium, and (iii) from November 13, 2025 through, but excluding, the Maturity Date, with payment of a 1% prepayment premium. On the Trinity Closing Date, we paid Trinity a commitment fee of 1.00% of the original principal amount of the Trinity Term Loans. Upon repayment in full of the Trinity Term Loans, we will pay Trinity an end of term payment equal to 5.00% of the original principal amount of the Trinity Term Loans.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obligations under the Trinity Term Loan Agreement are secured by a perfected security interest in all of our assets except for certain customarily excluded property pursuant to the terms of the Trinity Term Loan Agreement. There are no financial covenants and no warrants associated with the Trinity Term Loan Agreement. The Trinity Term Loan Agreement contains various covenants that limit our ability to engage in specified types of transactions without the consent of Trinity and the Trinity Lenders which include, among others, incurring or assuming certain debt; merging, consolidating or acquiring all or substantially all of the capital stock or property of another entity; changing the nature of our business; changing our organizational structure or type; licensing, transferring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disposing of certain assets; granting certain types of liens on our assets; making certain investments; and paying cash dividends. The Trinity Term Loan Agreement also contains customary representations and warranties, and also includes customary events of default, including payment default, breach of covenants, change of control, and material adverse effects. Upon the occurrence of an event of default, a default interest rate of an additional 5% per annum may be applied to the outstanding loan balances, and the Trinity Lenders may declare all outstanding obligations immediately due and payable and exercise all of its rights and remedies as set forth in the Trinity Term Loan Agreement and under applicable law. The proceeds of the Trinity Term Loans were used to repay our obligations under the Term Loan Agreement with Silicon Valley Bank in full. The Term Loan Agreement with Silicon Valley Bank was terminated concurrently with entry into the Trinity Term Loan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5, 2021, we filed a shelf registration statement on Form S-3 with the SEC in relation to the registration of common stock, preferred stock, debt securities, warrants and units or any combination thereof up to a total aggregate offering price of $350.0 million. We also simultaneously entered into a Sales Agreement, or the Sales Agreement with SVB Leerink LLC and Wells Fargo Securities, LLC, or the Sales Agents, pursuant to which we may issue and sell, from time to time at our discretion, shares of our common stock having an aggregate offering price of up to $150.0 million through the Sales Agents. In March 2022, we amended the Sales Agreement to, among other things, include Goldman Sachs &amp; Co. LLC as an additional Sales Agent. In April 2022, we sold 2,000,000 shares of common stock pursuant to the Sales Agreement and received net proceeds of $11.6 million. No other shares of common stock have been issued and sold pursuant to the Sales Agreement as of March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21, 2022, we entered into the Option Agreement with Astellas granting Astellas an exclusive option to obtain exclusive, worldwide, royalty and milestone-bearing rights and licenses related to TSHA-120 and TSHA-102. As partial consideration for the rights granted to Astellas under the Option Agreement, Astellas paid us a one-time payment in the amount of $20.0 million, or the Upfront Payment, in November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Also on October 21, 2022, we entered into a securities Purchase Agreement with Astellas, or the Astellas Securities Purchase Agreement, and together with the Option Agreement, the Astellas Transactions, pursuant to which we agreed to issue and sell to Astellas in a private placement, or the Astellas Private Placement, an aggregate of 7,266,342 shares of our common stock, or the Astellas Private Placement Shares, for aggregate proceeds of approximately $30.0 million. The Astellas Private Placement closed on October 24, 2022. Pursuant to the Astellas Securities Purchase Agreement, in connection with the Astellas Private Placement, Astellas has the right to designate one individual to attend all meetings of the Board in a non-voting observer capacity. We also granted Astellas certain registration rights with respect to the Astellas Private Placement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26, 2022, we entered into an underwriting agreement, or the Underwriting Agreement, with Goldman Sachs &amp; Co. LLC, or the Underwriter, to issue and sell 14,000,000 shares of our common stock, par value $0.00001 per share, in an underwritten public offering, or the Follow-on Offering, pursuant to an effective registration statement on Form S-3 and a related prospectus and prospectus supplement. The offering price to the public was $2.00 per share and the Underwriter purchased the shares from us pursuant to the Underwriting Agreement at a price of $1.88 per share. In addition, we granted the Underwriter an option to purchase, for a period of 30 days, up to an additional 2,100,000 shares of our common stock. The Follow-on Offering closed on October 31, 2022 and we received net proceeds of $26.0 million after deducting underwriting discounts, commissions and offering expenses. On November 10, 2022, the Underwriter exercised their option to purchase an additional 765,226 shares of our common stock and we received net proceeds of $1.4 million after deducting underwriting discounts and commissions.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2023, we entered into a securities purchase agreement, or the SSI Securities Purchase Agreement, with two affiliates of SSI Strategy Holdings LLC, or SSI, named therein, or the SSI Investors, pursuant to which we agreed to issue and sell to the SSI Investors in a private placement, or the SSI Private Placement, 705,218 shares of our common stock, or the SSI Shares, and warrants, or the SSI Warrants, to purchase an aggregate of 525,000 shares of our common stock, or the Warrant Shares. SSI provides certain consulting services to us. Each SSI Warrant has an exercise price of $0.7090 per Warrant Share, which was the closing price of our common stock on the Nasdaq Global Market on April 4, 2023. The SSI Warrants issued in the SSI Private Placement provide that the holder of the SSI Warrants will not have the right to exercise any portion of its SSI Warrants until the achievement of certain clinical and regulatory milestones related to our clinical programs. The SSI Private Placement closed on April 5, 2023. Gross proceeds of the SSI Private Placement were $0.5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14, 2023, we entered into a securities purchase agreement, or the August 2023 Securities Purchase Agreement, with certain institutional and other accredited investors, or the Purchasers, pursuant to which we agreed to sell and issue to the Purchasers in a private placement transaction, or the August 2023 Private Placement, that closed on August 16, 2023: (i) 122,412,376 shares of our common stock and (ii) with respect to certain Purchasers, pre-funded warrants, or the Pre-Funded Warrants, to purchase 44,250,978 shares of common stock in lieu of shares of common stock. The closing of the August 2023 Private Placement, or the Closing, occurred on August 16, 2023. The total gross proceeds to us at the Closing were $150.0 million, and after deducting placement agent commissions and offering expenses payable by us, net proceeds were $140.3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generated any revenues from the commercial sale of approved drug products, and we do not expect to generate substantial revenue for at least the next few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reduced spending in 2023, and anticipate such reductions will continue in 2024, as a result of our decision to discontinue development of our GAN clinical program. We have increased and expect to continue to increase our research and development expenses, particularly with respect to the Rett clinical trials, for the foreseeable future as we continue the development of our product candidates and manufacturing processes and conduct discovery and research activities for our preclinical programs.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2024, our material cash requirements consisted of $31.0 million in total lease payments under our noncancelable leases for equipment, laboratory space and office space. These leases are described in further detail in Note 5 to our unaudited condensed consolidated financial statements located in “Part I – Financial Information, Item 1. Financial Statements” in this Quarterly Report on Form 10-Q. Our most significant purchase commitments consist of approximately $9.6 million in cancellable purchase obligations to our CROs and other clinical trial vendors.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our existing cash and cash equivalents will enable us to fund our operating expenses and capital requirements into 2026. We will require additional capital to fund the research and development of our product candidates, to fund our manufacturing activities, to fund precommercial activities of our programs and for working capital and general corporate purposes. The assessment of our ability to meet our future obligations is inherently judgmental, subjective and susceptible to change.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research, development and commercialization of biological products, we are unable to estimate the exact amount of our operating capital requirements. Our future funding requirements will depend on many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costs and results of discovery, preclinical development, laboratory testing and clinical trials for TSHA-102 and any current and future product candidates that we advance;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access sufficient additional capital on a timely basis and on favorable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develop, in-license or acquire other product candidates and technologies in our gene therapy product candidate pipeline;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process development and manufacturing scale-up activities associated with our product candidates and other programs as we advance them through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development requirements of product candidates that we may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headcount growth and associated costs as we expand our research and development capabilities and establish a commercial infrastructure;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future commercialization activities, including product manufacturing, marketing, sales, and distribution, for any of our product candidates for which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preparing, filing and prosecuting patent applications, maintaining and enforcing our intellectual property rights and defending any intellectual property-related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incurred in defending ourselves in any legal proceedings that we may be subject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revenue, if any, received from commercial sales of our product candidates for which we receive marketing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operating as a public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Identifying potential product candidates and conducting preclinical studies and clinical trials is a time-consuming, expensive and uncertain process that takes many years to complete, and we may never generate the necessary data or results required to obtain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marketing approval and achieve product sales. In addition, our product candidates, if approved, may not achieve commercial success. Our commercial revenues, if any, will be derived from sales of product candidates that we do not expect to be commercially available in the near term, if at all. Accordingly, we will need to continue to rely on additional financing to achieve our business objectives. Adequate additional financing may not be available to us on acceptable terms, or at all. To the extent that we raise additional capital through the sale of equity or convertible debt securities, the terms of these equity securities or this debt may restrict our ability to operate. The Trinity Term Loan Agreement contains negative covenants, including, among other things, restrictions on indebtedness, liens investments, mergers, dispositions, prepayment of other indebtedness and dividends and other distributions. Any future additional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shows a summary of our cash flows for the three months ended March 31, 2024 and 2023 (in thousands): </w:t>
      </w:r>
    </w:p>
    <w:p>
      <w:pPr>
        <w:pStyle w:val="TextBody"/>
        <w:bidi w:val="0"/>
        <w:spacing w:before="120" w:after="283"/>
        <w:jc w:val="left"/>
        <w:rPr/>
      </w:pPr>
      <w:r>
        <w:rPr/>
        <w:t> </w:t>
      </w:r>
    </w:p>
    <w:tbl>
      <w:tblPr>
        <w:tblW w:w="7976" w:type="dxa"/>
        <w:jc w:val="left"/>
        <w:tblInd w:w="0" w:type="dxa"/>
        <w:tblLayout w:type="fixed"/>
        <w:tblCellMar>
          <w:top w:w="28" w:type="dxa"/>
          <w:left w:w="28" w:type="dxa"/>
          <w:bottom w:w="28" w:type="dxa"/>
          <w:right w:w="28" w:type="dxa"/>
        </w:tblCellMar>
      </w:tblPr>
      <w:tblGrid>
        <w:gridCol w:w="4636"/>
        <w:gridCol w:w="146"/>
        <w:gridCol w:w="285"/>
        <w:gridCol w:w="996"/>
        <w:gridCol w:w="224"/>
        <w:gridCol w:w="197"/>
        <w:gridCol w:w="285"/>
        <w:gridCol w:w="996"/>
        <w:gridCol w:w="21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83"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211" w:type="dxa"/>
            <w:tcBorders/>
            <w:shd w:fill="FFFFFF" w:val="clear"/>
            <w:vAlign w:val="center"/>
          </w:tcPr>
          <w:p>
            <w:pPr>
              <w:pStyle w:val="TableContents"/>
              <w:bidi w:val="0"/>
              <w:spacing w:before="0" w:after="283"/>
              <w:jc w:val="center"/>
              <w:rPr/>
            </w:pPr>
            <w:r>
              <w:rPr/>
              <w:t> </w:t>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vAlign w:val="center"/>
          </w:tcPr>
          <w:p>
            <w:pPr>
              <w:pStyle w:val="TableContents"/>
              <w:bidi w:val="0"/>
              <w:spacing w:before="0" w:after="283"/>
              <w:jc w:val="left"/>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(19,798</w:t>
            </w:r>
          </w:p>
        </w:tc>
        <w:tc>
          <w:tcPr>
            <w:tcW w:w="2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(20,185</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CFF0FC" w:val="cle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(19,960</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2024, our net cash used in operating activities of $19.8 million primarily consisted of a net loss of $24.1 million, primarily attributable to our spending on research and development expenses. The net loss of $24.1 million was partially offset by adjustments for non-cash items, primarily stock-based compensation expense of $3.2 million and other non-cash items of $1.0 million, net. Additional cash provided by operating assets and liabilities of $0.3 million was primarily attributable to an increase in accounts payable of $4.0 million and offset by a decrease in deferred revenue of $3.4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2023, our net cash used in operating activities of $20.2 million primarily consisted of a net loss of $17.6 million, primarily attributable to our spending on research and development expenses. The net loss of $17.6 million was partially offset by adjustments for non-cash items, primarily stock-based compensation expense of $1.7 million. Additional cash used in operating activities of $5.0 million was primarily due to a decrease in deferred revenue.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2024, investing activities used $0.1 million of cash primarily attributable to the purchase of lab equipment. During the three months ended March 31, 2023, investing activities used $3.9 million of cash primarily attributable to capital expenditures related to the close-out of our in-house manufacturing facility project.</w:t>
      </w:r>
    </w:p>
    <w:p>
      <w:pPr>
        <w:pStyle w:val="TextBody"/>
        <w:bidi w:val="0"/>
        <w:spacing w:before="24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2024, financing activities used less than $0.1 million of cash, which is primarily attributable to the payment of lease financing obligations which were partially offset by ESPP contributions. During the three months ended March 31, 2023, financing activities used $0.4 million of cash, which is primarily attributable to the payment of shelf registration costs and other financing transactions.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did not have during the periods presented, and we do not currently have, any off-balance sheet arrangements, as defined in the rules and regulations of the SEC.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material changes to our critical accounting policies that are disclosed in our audited consolidated financial statements for the year ended December 31, 2023 filed with the SEC on March 19,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Note 2 to our unaudited condensed consolidated financial statements located in “Part I – Financial Information, Item 1. Financial Statements” in this Quarterly Report on Form 10-Q for a description of recent accounting pronouncements applicable to our condensed consolidated financial statements.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Emerging Growth Company and Smaller Reporting Company Status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2012, the Jumpstart Our Business Startups Act of 2012, or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elected the extended transition period for complying with new or revised accounting standards, which delays the adoption of these accounting standards until they would apply to private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as an emerging growth company, we may take advantage of specified reduced disclosure and other requirements that are otherwise applicable generally to public companies. These provisions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exception from compliance with the auditor attestation requirements of Section 404 of the Sarbanes-Oxley Act of 2002, as amended;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disclosure about our executive compensation arrangements in our periodic reports, proxy statements and registration statements;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exemptions from the requirements of holding non-binding advisory votes on executive compensation or golden parachute arrangements;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exemption from compliance with the requirements of the Public Company Accounting Oversight Board regarding the communication of critical audit matters in the auditor’s report on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take advantage of these provisions until we no longer qualify as an emerging growth company. We will cease to qualify as an emerging growth company on the date that is the earliest of: (i) December 31, 2025,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Quarterly Report on Form 10-Q and our other filings with the SEC. Accordingly, the information contained herein may be different than you might obtain from other public companies in which you hold equity interests.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t>
      </w:r>
    </w:p>
    <w:p>
      <w:pPr>
        <w:pStyle w:val="TextBody"/>
        <w:bidi w:val="0"/>
        <w:spacing w:before="360" w:after="283"/>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required under this Item.</w:t>
      </w:r>
    </w:p>
    <w:p>
      <w:pPr>
        <w:pStyle w:val="TextBody"/>
        <w:bidi w:val="0"/>
        <w:spacing w:before="360" w:after="283"/>
        <w:jc w:val="left"/>
        <w:rPr>
          <w:rFonts w:ascii="Times New Roman" w:hAnsi="Times New Roman"/>
          <w:b/>
          <w:color w:val="000000"/>
          <w:sz w:val="20"/>
        </w:rPr>
      </w:pPr>
      <w:bookmarkStart w:id="12" w:name="item_4_controls_procedures"/>
      <w:bookmarkEnd w:id="12"/>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Chief Financial Officer, has evaluated the effectiveness of our disclosure controls and procedures (as defined in Rules 13a-15(e) and 15d-15(e) under the Exchange Act ), as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end of the period covered by this Form 10-Q. Based on such evaluation, our Chief Executive Officer and Chief Financial Officer have concluded that as of March 31, 2024, our disclosure controls and procedures were effective to provide reasonable assurance that the information required to be disclosed by us in this Form 10-Q was (a) reported within the time periods specified by SEC rules and regulations, and (b) communicated to our management, including our Chief Executive Officer and Chief Financial Officer, to allow timely decisions regarding any required disclosure.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Inherent Limitations on Effectiveness of Internal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3" w:name="part_iior_information"/>
      <w:bookmarkEnd w:id="13"/>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36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subject to any material legal proceedings. 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pStyle w:val="TextBody"/>
        <w:bidi w:val="0"/>
        <w:spacing w:before="36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2023, filed with the Securities and Exchange Commission on March 19, 2024.</w:t>
      </w:r>
    </w:p>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 Recent Sales of Unregistered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 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tem_5_or_information"/>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exhibits listed on the Exhibit Index are either filed or furnished with this report or incorporated herein by reference. </w:t>
      </w:r>
    </w:p>
    <w:p>
      <w:pPr>
        <w:pStyle w:val="TextBody"/>
        <w:bidi w:val="0"/>
        <w:jc w:val="both"/>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3"/>
        <w:gridCol w:w="146"/>
        <w:gridCol w:w="9226"/>
      </w:tblGrid>
      <w:tr>
        <w:trPr/>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833"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Amended and Restated Certificate of Incorporation (incorporated by reference to Exhibit 3.1 to the Company’s Current Report on Form 8-K (File No. 001-39536), filed with the Securities and Exchange Commission on September 29, 2020).</w:t>
              </w:r>
            </w:hyperlink>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Amended and Restated Bylaws (incorporated by reference to Exhibit 3.4 to the Company’s Current Report on Form 8-K (File No. 001-39536), filed with the Securities and Exchange Commission on September 29, 2020).</w:t>
              </w:r>
            </w:hyperlink>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Certificate of Amendment to the Amended and Restated Certificate of Incorporation of (incorporated by reference to Exhibit 3.1 to the Company’s Current Report on Form 8-K (File No. 001-39536), filed with the Securities and Exchange Commission on November 15, 2023).</w:t>
              </w:r>
            </w:hyperlink>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sha-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sha-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sha-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sha-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Instance Document - the instance document does not appear in the Interactive Data File because its XBRL tags are embedded within the Inline XBRL document</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127" w:type="dxa"/>
        <w:jc w:val="left"/>
        <w:tblInd w:w="0" w:type="dxa"/>
        <w:tblLayout w:type="fixed"/>
        <w:tblCellMar>
          <w:top w:w="28" w:type="dxa"/>
          <w:left w:w="28" w:type="dxa"/>
          <w:bottom w:w="28" w:type="dxa"/>
          <w:right w:w="28" w:type="dxa"/>
        </w:tblCellMar>
      </w:tblPr>
      <w:tblGrid>
        <w:gridCol w:w="1741"/>
        <w:gridCol w:w="109"/>
        <w:gridCol w:w="406"/>
        <w:gridCol w:w="387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Taysha Gene Therapies, Inc.</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Sean Nolan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Sean Nolan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Kamran Alam</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Kamran Alam</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tsha-ex31_1.htm"/>
      <w:bookmarkStart w:id="23" w:name="kstshaex31_1"/>
      <w:bookmarkEnd w:id="22"/>
      <w:bookmarkEnd w:id="23"/>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Sean Nolan,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Taysha Gene Therapies,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62" w:type="dxa"/>
        <w:jc w:val="left"/>
        <w:tblInd w:w="0" w:type="dxa"/>
        <w:tblLayout w:type="fixed"/>
        <w:tblCellMar>
          <w:top w:w="28" w:type="dxa"/>
          <w:left w:w="28" w:type="dxa"/>
          <w:bottom w:w="28" w:type="dxa"/>
          <w:right w:w="28" w:type="dxa"/>
        </w:tblCellMar>
      </w:tblPr>
      <w:tblGrid>
        <w:gridCol w:w="1741"/>
        <w:gridCol w:w="109"/>
        <w:gridCol w:w="406"/>
        <w:gridCol w:w="250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Sean Nolan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Sean Nolan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tsha-ex31_2.htm"/>
      <w:bookmarkStart w:id="25" w:name="kstshaex31_2"/>
      <w:bookmarkEnd w:id="24"/>
      <w:bookmarkEnd w:id="25"/>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Kamran Alam,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Taysha Gene Therapies,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567" w:type="dxa"/>
        <w:jc w:val="left"/>
        <w:tblInd w:w="0" w:type="dxa"/>
        <w:tblLayout w:type="fixed"/>
        <w:tblCellMar>
          <w:top w:w="28" w:type="dxa"/>
          <w:left w:w="28" w:type="dxa"/>
          <w:bottom w:w="28" w:type="dxa"/>
          <w:right w:w="28" w:type="dxa"/>
        </w:tblCellMar>
      </w:tblPr>
      <w:tblGrid>
        <w:gridCol w:w="1741"/>
        <w:gridCol w:w="109"/>
        <w:gridCol w:w="406"/>
        <w:gridCol w:w="531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Kamran Alam</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Kamran Alam</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tsha-ex32_1.htm"/>
      <w:bookmarkStart w:id="27" w:name="kstshaex32_1"/>
      <w:bookmarkEnd w:id="26"/>
      <w:bookmarkEnd w:id="27"/>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Sean Nolan, Chief Executive Officer of Taysha Gene Therapies, Inc. (the “Company”) hereby certifies that, to the best of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Quarterly Report on Form 10-Q for the period ended March 31, 2024, to which this Certification is attached as Exhibit 32.1 (the “Periodic Report”) fully complies with the requirements of Section 13(a) or Section 15(d) of the Exchange Act;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jc w:val="left"/>
        <w:rPr/>
      </w:pPr>
      <w:r>
        <w:rPr/>
        <w:t> </w:t>
      </w:r>
    </w:p>
    <w:tbl>
      <w:tblPr>
        <w:tblW w:w="4762" w:type="dxa"/>
        <w:jc w:val="left"/>
        <w:tblInd w:w="0" w:type="dxa"/>
        <w:tblLayout w:type="fixed"/>
        <w:tblCellMar>
          <w:top w:w="28" w:type="dxa"/>
          <w:left w:w="28" w:type="dxa"/>
          <w:bottom w:w="28" w:type="dxa"/>
          <w:right w:w="28" w:type="dxa"/>
        </w:tblCellMar>
      </w:tblPr>
      <w:tblGrid>
        <w:gridCol w:w="1741"/>
        <w:gridCol w:w="109"/>
        <w:gridCol w:w="406"/>
        <w:gridCol w:w="250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Sean Nolan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Sean Nolan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tsha-ex32_2.htm"/>
      <w:bookmarkStart w:id="29" w:name="kstshaex32_2"/>
      <w:bookmarkEnd w:id="28"/>
      <w:bookmarkEnd w:id="29"/>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Kamran Alam, Chief Financial Officer of Taysha Gene Therapies, Inc. (the “Company”) hereby certifies that, to the best of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Quarterly Report on Form 10-Q for the period ended March 31, 2024, to which this Certification is attached as Exhibit 32.2 (the “Periodic Report”) fully complies with the requirements of Section 13(a) or Section 15(d) of the Exchange Act;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jc w:val="left"/>
        <w:rPr/>
      </w:pPr>
      <w:r>
        <w:rPr/>
        <w:t> </w:t>
      </w:r>
    </w:p>
    <w:tbl>
      <w:tblPr>
        <w:tblW w:w="7567" w:type="dxa"/>
        <w:jc w:val="left"/>
        <w:tblInd w:w="0" w:type="dxa"/>
        <w:tblLayout w:type="fixed"/>
        <w:tblCellMar>
          <w:top w:w="28" w:type="dxa"/>
          <w:left w:w="28" w:type="dxa"/>
          <w:bottom w:w="28" w:type="dxa"/>
          <w:right w:w="28" w:type="dxa"/>
        </w:tblCellMar>
      </w:tblPr>
      <w:tblGrid>
        <w:gridCol w:w="1741"/>
        <w:gridCol w:w="109"/>
        <w:gridCol w:w="406"/>
        <w:gridCol w:w="531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Kamran Alam</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Kamran Alam</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hyperlink" Target="https://www.sec.gov/Archives/edgar/data/1806310/000119312520257858/d78879dex31.htm" TargetMode="External"/><Relationship Id="rId11" Type="http://schemas.openxmlformats.org/officeDocument/2006/relationships/hyperlink" Target="https://www.sec.gov/Archives/edgar/data/1806310/000119312520247565/d938924dex34.htm" TargetMode="External"/><Relationship Id="rId12" Type="http://schemas.openxmlformats.org/officeDocument/2006/relationships/hyperlink" Target="https://www.sec.gov/Archives/edgar/data/1806310/000119312523277914/d941656dex31.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31249</Words>
  <Characters>172111</Characters>
  <CharactersWithSpaces>203656</CharactersWithSpaces>
  <Paragraphs>3916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