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20" w:right="1620" w:hanging="3812"/>
        <w:spacing w:after="0" w:line="236" w:lineRule="auto"/>
        <w:tabs>
          <w:tab w:leader="none" w:pos="475"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00" w:lineRule="exact"/>
        <w:rPr>
          <w:sz w:val="24"/>
          <w:szCs w:val="24"/>
          <w:color w:val="auto"/>
        </w:rPr>
      </w:pPr>
    </w:p>
    <w:p>
      <w:pPr>
        <w:spacing w:after="0" w:line="255" w:lineRule="exact"/>
        <w:rPr>
          <w:sz w:val="24"/>
          <w:szCs w:val="24"/>
          <w:color w:val="auto"/>
        </w:rPr>
      </w:pPr>
    </w:p>
    <w:p>
      <w:pPr>
        <w:ind w:left="3320" w:right="1620" w:hanging="3312"/>
        <w:spacing w:after="0" w:line="236" w:lineRule="auto"/>
        <w:tabs>
          <w:tab w:leader="none" w:pos="458"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w:t>
      </w:r>
    </w:p>
    <w:p>
      <w:pPr>
        <w:spacing w:after="0" w:line="90"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Commission File Number: 001-39536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Taysha Gene Therapies,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4500" w:type="dxa"/>
            <w:vAlign w:val="bottom"/>
          </w:tcPr>
          <w:p>
            <w:pPr>
              <w:jc w:val="center"/>
              <w:ind w:right="1824"/>
              <w:spacing w:after="0"/>
              <w:rPr>
                <w:sz w:val="20"/>
                <w:szCs w:val="20"/>
                <w:color w:val="auto"/>
              </w:rPr>
            </w:pPr>
            <w:r>
              <w:rPr>
                <w:rFonts w:ascii="Arial" w:cs="Arial" w:eastAsia="Arial" w:hAnsi="Arial"/>
                <w:sz w:val="18"/>
                <w:szCs w:val="18"/>
                <w:b w:val="1"/>
                <w:bCs w:val="1"/>
                <w:color w:val="auto"/>
                <w:w w:val="91"/>
              </w:rPr>
              <w:t>Delaware</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84-3199512</w:t>
            </w:r>
          </w:p>
        </w:tc>
      </w:tr>
      <w:tr>
        <w:trPr>
          <w:trHeight w:val="135"/>
        </w:trPr>
        <w:tc>
          <w:tcPr>
            <w:tcW w:w="4500" w:type="dxa"/>
            <w:vAlign w:val="bottom"/>
          </w:tcPr>
          <w:p>
            <w:pPr>
              <w:jc w:val="center"/>
              <w:ind w:right="1824"/>
              <w:spacing w:after="0" w:line="135" w:lineRule="exact"/>
              <w:rPr>
                <w:sz w:val="20"/>
                <w:szCs w:val="20"/>
                <w:color w:val="auto"/>
              </w:rPr>
            </w:pPr>
            <w:r>
              <w:rPr>
                <w:rFonts w:ascii="Arial" w:cs="Arial" w:eastAsia="Arial" w:hAnsi="Arial"/>
                <w:sz w:val="13"/>
                <w:szCs w:val="13"/>
                <w:b w:val="1"/>
                <w:bCs w:val="1"/>
                <w:color w:val="auto"/>
                <w:w w:val="87"/>
              </w:rPr>
              <w:t>( State or other jurisdiction of</w:t>
            </w:r>
          </w:p>
        </w:tc>
        <w:tc>
          <w:tcPr>
            <w:tcW w:w="2900" w:type="dxa"/>
            <w:vAlign w:val="bottom"/>
          </w:tcPr>
          <w:p>
            <w:pPr>
              <w:jc w:val="center"/>
              <w:ind w:left="184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500" w:type="dxa"/>
            <w:vAlign w:val="bottom"/>
          </w:tcPr>
          <w:p>
            <w:pPr>
              <w:jc w:val="center"/>
              <w:ind w:right="182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900" w:type="dxa"/>
            <w:vAlign w:val="bottom"/>
          </w:tcPr>
          <w:p>
            <w:pPr>
              <w:jc w:val="center"/>
              <w:ind w:left="184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500" w:type="dxa"/>
            <w:vAlign w:val="bottom"/>
          </w:tcPr>
          <w:p>
            <w:pPr>
              <w:jc w:val="center"/>
              <w:ind w:right="1824"/>
              <w:spacing w:after="0"/>
              <w:rPr>
                <w:sz w:val="20"/>
                <w:szCs w:val="20"/>
                <w:color w:val="auto"/>
              </w:rPr>
            </w:pPr>
            <w:r>
              <w:rPr>
                <w:rFonts w:ascii="Arial" w:cs="Arial" w:eastAsia="Arial" w:hAnsi="Arial"/>
                <w:sz w:val="18"/>
                <w:szCs w:val="18"/>
                <w:b w:val="1"/>
                <w:bCs w:val="1"/>
                <w:color w:val="auto"/>
                <w:w w:val="89"/>
              </w:rPr>
              <w:t>3000 Pegasus Park Drive Ste 1430</w:t>
            </w:r>
          </w:p>
        </w:tc>
        <w:tc>
          <w:tcPr>
            <w:tcW w:w="2900" w:type="dxa"/>
            <w:vAlign w:val="bottom"/>
          </w:tcPr>
          <w:p>
            <w:pPr>
              <w:spacing w:after="0"/>
              <w:rPr>
                <w:sz w:val="18"/>
                <w:szCs w:val="18"/>
                <w:color w:val="auto"/>
              </w:rPr>
            </w:pPr>
          </w:p>
        </w:tc>
      </w:tr>
      <w:tr>
        <w:trPr>
          <w:trHeight w:val="216"/>
        </w:trPr>
        <w:tc>
          <w:tcPr>
            <w:tcW w:w="4500" w:type="dxa"/>
            <w:vAlign w:val="bottom"/>
          </w:tcPr>
          <w:p>
            <w:pPr>
              <w:jc w:val="center"/>
              <w:ind w:right="1824"/>
              <w:spacing w:after="0"/>
              <w:rPr>
                <w:sz w:val="20"/>
                <w:szCs w:val="20"/>
                <w:color w:val="auto"/>
              </w:rPr>
            </w:pPr>
            <w:r>
              <w:rPr>
                <w:rFonts w:ascii="Arial" w:cs="Arial" w:eastAsia="Arial" w:hAnsi="Arial"/>
                <w:sz w:val="18"/>
                <w:szCs w:val="18"/>
                <w:b w:val="1"/>
                <w:bCs w:val="1"/>
                <w:color w:val="auto"/>
                <w:w w:val="87"/>
              </w:rPr>
              <w:t>Dallas, Texas</w:t>
            </w:r>
          </w:p>
        </w:tc>
        <w:tc>
          <w:tcPr>
            <w:tcW w:w="2900" w:type="dxa"/>
            <w:vAlign w:val="bottom"/>
          </w:tcPr>
          <w:p>
            <w:pPr>
              <w:jc w:val="right"/>
              <w:ind w:right="186"/>
              <w:spacing w:after="0"/>
              <w:rPr>
                <w:sz w:val="20"/>
                <w:szCs w:val="20"/>
                <w:color w:val="auto"/>
              </w:rPr>
            </w:pPr>
            <w:r>
              <w:rPr>
                <w:rFonts w:ascii="Arial" w:cs="Arial" w:eastAsia="Arial" w:hAnsi="Arial"/>
                <w:sz w:val="18"/>
                <w:szCs w:val="18"/>
                <w:b w:val="1"/>
                <w:bCs w:val="1"/>
                <w:color w:val="auto"/>
              </w:rPr>
              <w:t>75247</w:t>
            </w:r>
          </w:p>
        </w:tc>
      </w:tr>
      <w:tr>
        <w:trPr>
          <w:trHeight w:val="164"/>
        </w:trPr>
        <w:tc>
          <w:tcPr>
            <w:tcW w:w="4500" w:type="dxa"/>
            <w:vAlign w:val="bottom"/>
          </w:tcPr>
          <w:p>
            <w:pPr>
              <w:jc w:val="center"/>
              <w:ind w:right="182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00" w:type="dxa"/>
            <w:vAlign w:val="bottom"/>
          </w:tcPr>
          <w:p>
            <w:pPr>
              <w:jc w:val="center"/>
              <w:ind w:left="184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(214) 612-0000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$0.00001 per share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TSHA</w:t>
            </w:r>
          </w:p>
        </w:tc>
        <w:tc>
          <w:tcPr>
            <w:tcW w:w="120" w:type="dxa"/>
            <w:vAlign w:val="bottom"/>
          </w:tcPr>
          <w:p>
            <w:pPr>
              <w:spacing w:after="0"/>
              <w:rPr>
                <w:sz w:val="17"/>
                <w:szCs w:val="17"/>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94"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00"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600" w:right="20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11, 2021, the registrant had 37,917,473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334645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8"/>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18"/>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2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50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Statements of Operations</w:t>
              </w:r>
            </w:hyperlink>
          </w:p>
        </w:tc>
        <w:tc>
          <w:tcPr>
            <w:tcW w:w="748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Convertible Preferred Stock and Stockholders’ Equity (Deficit)</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580" w:type="dxa"/>
            <w:vAlign w:val="bottom"/>
            <w:tcBorders>
              <w:top w:val="single" w:sz="8" w:color="0000EE"/>
            </w:tcBorders>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Statements of Cash Flows</w:t>
              </w:r>
            </w:hyperlink>
          </w:p>
        </w:tc>
        <w:tc>
          <w:tcPr>
            <w:tcW w:w="37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Quantitative and Qualitative Disclosures About Market Risk</w:t>
              </w:r>
            </w:hyperlink>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OTHER INFORMATION</w:t>
              </w:r>
            </w:hyperlink>
          </w:p>
        </w:tc>
        <w:tc>
          <w:tcPr>
            <w:tcW w:w="7420" w:type="dxa"/>
            <w:vAlign w:val="bottom"/>
            <w:gridSpan w:val="9"/>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Risk Factors</w:t>
              </w:r>
            </w:hyperlink>
          </w:p>
        </w:tc>
        <w:tc>
          <w:tcPr>
            <w:tcW w:w="79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18"/>
                <w:szCs w:val="18"/>
                <w:color w:val="auto"/>
              </w:rPr>
            </w:pPr>
          </w:p>
        </w:tc>
        <w:tc>
          <w:tcPr>
            <w:tcW w:w="496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754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80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228,684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offering costs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239,629</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lease asset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242,829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258,881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4,083</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18,958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 - Note 10</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w w:val="93"/>
              </w:rPr>
              <w:t>Preferred stock, $0.00001 par value per share; 10,000,000 shares authorized and no shares issued and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March 31, 2021 and December 31, 2020</w:t>
            </w:r>
          </w:p>
        </w:tc>
        <w:tc>
          <w:tcPr>
            <w:tcW w:w="2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w w:val="91"/>
              </w:rPr>
              <w:t>Common stock, $0.00001 par value per share; 200,000,000 shares authorized and 37,761,435 issued and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outstanding as of March 31, 2021 and December 31, 2020</w:t>
            </w:r>
          </w:p>
        </w:tc>
        <w:tc>
          <w:tcPr>
            <w:tcW w:w="28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316,022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(93,150)</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(61,126)</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222,872</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242,829</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258,881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w:t>
            </w:r>
          </w:p>
        </w:tc>
        <w:tc>
          <w:tcPr>
            <w:tcW w:w="100" w:type="dxa"/>
            <w:vAlign w:val="bottom"/>
          </w:tcPr>
          <w:p>
            <w:pPr>
              <w:spacing w:after="0"/>
              <w:rPr>
                <w:sz w:val="14"/>
                <w:szCs w:val="1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For the Three Months</w:t>
            </w:r>
          </w:p>
        </w:tc>
      </w:tr>
      <w:tr>
        <w:trPr>
          <w:trHeight w:val="171"/>
        </w:trPr>
        <w:tc>
          <w:tcPr>
            <w:tcW w:w="7720" w:type="dxa"/>
            <w:vAlign w:val="bottom"/>
          </w:tcPr>
          <w:p>
            <w:pPr>
              <w:spacing w:after="0"/>
              <w:rPr>
                <w:sz w:val="14"/>
                <w:szCs w:val="14"/>
                <w:color w:val="auto"/>
              </w:rPr>
            </w:pPr>
          </w:p>
        </w:tc>
        <w:tc>
          <w:tcPr>
            <w:tcW w:w="1840" w:type="dxa"/>
            <w:vAlign w:val="bottom"/>
            <w:gridSpan w:val="3"/>
          </w:tcPr>
          <w:p>
            <w:pPr>
              <w:ind w:left="80"/>
              <w:spacing w:after="0"/>
              <w:rPr>
                <w:sz w:val="20"/>
                <w:szCs w:val="20"/>
                <w:color w:val="auto"/>
              </w:rPr>
            </w:pPr>
            <w:r>
              <w:rPr>
                <w:rFonts w:ascii="Arial" w:cs="Arial" w:eastAsia="Arial" w:hAnsi="Arial"/>
                <w:sz w:val="14"/>
                <w:szCs w:val="14"/>
                <w:b w:val="1"/>
                <w:bCs w:val="1"/>
                <w:color w:val="auto"/>
              </w:rPr>
              <w:t>Ended March 31, 2021</w:t>
            </w:r>
          </w:p>
        </w:tc>
        <w:tc>
          <w:tcPr>
            <w:tcW w:w="1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Ended March 31,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23,854</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5,514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8,236</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32,090</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(32,090)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preferred stock tranche liability</w:t>
            </w: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(32,024)</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(5,431)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per common share, basic and 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36,992,377</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10,894,999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10"/>
              <w:spacing w:after="0"/>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r>
      <w:tr>
        <w:trPr>
          <w:trHeight w:val="161"/>
        </w:trPr>
        <w:tc>
          <w:tcPr>
            <w:tcW w:w="512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10"/>
              <w:spacing w:after="0"/>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Stockholders'</w:t>
            </w:r>
          </w:p>
        </w:tc>
      </w:tr>
      <w:tr>
        <w:trPr>
          <w:trHeight w:val="156"/>
        </w:trPr>
        <w:tc>
          <w:tcPr>
            <w:tcW w:w="5120" w:type="dxa"/>
            <w:vAlign w:val="bottom"/>
          </w:tcPr>
          <w:p>
            <w:pPr>
              <w:spacing w:after="0"/>
              <w:rPr>
                <w:sz w:val="13"/>
                <w:szCs w:val="13"/>
                <w:color w:val="auto"/>
              </w:rPr>
            </w:pPr>
          </w:p>
        </w:tc>
        <w:tc>
          <w:tcPr>
            <w:tcW w:w="1260" w:type="dxa"/>
            <w:vAlign w:val="bottom"/>
            <w:gridSpan w:val="2"/>
          </w:tcPr>
          <w:p>
            <w:pPr>
              <w:ind w:left="320"/>
              <w:spacing w:after="0"/>
              <w:rPr>
                <w:sz w:val="20"/>
                <w:szCs w:val="20"/>
                <w:color w:val="auto"/>
              </w:rPr>
            </w:pPr>
            <w:r>
              <w:rPr>
                <w:rFonts w:ascii="Arial" w:cs="Arial" w:eastAsia="Arial" w:hAnsi="Arial"/>
                <w:sz w:val="13"/>
                <w:szCs w:val="13"/>
                <w:b w:val="1"/>
                <w:bCs w:val="1"/>
                <w:color w:val="auto"/>
              </w:rPr>
              <w:t>Shares</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10"/>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Equity</w:t>
            </w:r>
          </w:p>
        </w:tc>
      </w:tr>
      <w:tr>
        <w:trPr>
          <w:trHeight w:val="155"/>
        </w:trPr>
        <w:tc>
          <w:tcPr>
            <w:tcW w:w="51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December 31, 2020</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37,761,435</w:t>
            </w:r>
          </w:p>
        </w:tc>
        <w:tc>
          <w:tcPr>
            <w:tcW w:w="24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ind w:right="650"/>
              <w:spacing w:after="0" w:line="155" w:lineRule="exact"/>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tcBorders>
            <w:shd w:val="clear" w:color="auto" w:fill="CFF0FC"/>
          </w:tcPr>
          <w:p>
            <w:pPr>
              <w:ind w:left="60"/>
              <w:spacing w:after="0" w:line="155" w:lineRule="exact"/>
              <w:rPr>
                <w:sz w:val="20"/>
                <w:szCs w:val="20"/>
                <w:color w:val="auto"/>
              </w:rPr>
            </w:pPr>
            <w:r>
              <w:rPr>
                <w:rFonts w:ascii="Arial" w:cs="Arial" w:eastAsia="Arial" w:hAnsi="Arial"/>
                <w:sz w:val="14"/>
                <w:szCs w:val="14"/>
                <w:b w:val="1"/>
                <w:bCs w:val="1"/>
                <w:color w:val="auto"/>
                <w:w w:val="99"/>
              </w:rPr>
              <w:t>—</w:t>
            </w:r>
          </w:p>
        </w:tc>
        <w:tc>
          <w:tcPr>
            <w:tcW w:w="240" w:type="dxa"/>
            <w:vAlign w:val="bottom"/>
            <w:tcBorders>
              <w:top w:val="single" w:sz="8" w:color="CFF0FC"/>
              <w:right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312,428</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(61,126)</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251,302</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1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4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3,594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3,594</w:t>
            </w:r>
          </w:p>
        </w:tc>
        <w:tc>
          <w:tcPr>
            <w:tcW w:w="100" w:type="dxa"/>
            <w:vAlign w:val="bottom"/>
          </w:tcPr>
          <w:p>
            <w:pPr>
              <w:spacing w:after="0"/>
              <w:rPr>
                <w:sz w:val="14"/>
                <w:szCs w:val="14"/>
                <w:color w:val="auto"/>
              </w:rPr>
            </w:pPr>
          </w:p>
        </w:tc>
      </w:tr>
      <w:tr>
        <w:trPr>
          <w:trHeight w:val="162"/>
        </w:trPr>
        <w:tc>
          <w:tcPr>
            <w:tcW w:w="51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spacing w:after="0"/>
              <w:rPr>
                <w:sz w:val="14"/>
                <w:szCs w:val="14"/>
                <w:color w:val="auto"/>
              </w:rPr>
            </w:pPr>
          </w:p>
        </w:tc>
        <w:tc>
          <w:tcPr>
            <w:tcW w:w="460" w:type="dxa"/>
            <w:vAlign w:val="bottom"/>
            <w:tcBorders>
              <w:right w:val="single" w:sz="8" w:color="auto"/>
            </w:tcBorders>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(32,024)</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(32,024)</w:t>
            </w:r>
          </w:p>
        </w:tc>
      </w:tr>
      <w:tr>
        <w:trPr>
          <w:trHeight w:val="156"/>
        </w:trPr>
        <w:tc>
          <w:tcPr>
            <w:tcW w:w="51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March 31, 2021</w:t>
            </w: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37,761,435</w:t>
            </w:r>
          </w:p>
        </w:tc>
        <w:tc>
          <w:tcPr>
            <w:tcW w:w="240" w:type="dxa"/>
            <w:vAlign w:val="bottom"/>
          </w:tcPr>
          <w:p>
            <w:pPr>
              <w:spacing w:after="0"/>
              <w:rPr>
                <w:sz w:val="13"/>
                <w:szCs w:val="13"/>
                <w:color w:val="auto"/>
              </w:rPr>
            </w:pPr>
          </w:p>
        </w:tc>
        <w:tc>
          <w:tcPr>
            <w:tcW w:w="800" w:type="dxa"/>
            <w:vAlign w:val="bottom"/>
            <w:tcBorders>
              <w:top w:val="single" w:sz="8" w:color="auto"/>
            </w:tcBorders>
          </w:tcPr>
          <w:p>
            <w:pPr>
              <w:jc w:val="right"/>
              <w:ind w:right="650"/>
              <w:spacing w:after="0" w:line="155" w:lineRule="exact"/>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w w:val="99"/>
              </w:rPr>
              <w: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316,022</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(93,150)</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222,872</w:t>
            </w:r>
          </w:p>
        </w:tc>
        <w:tc>
          <w:tcPr>
            <w:tcW w:w="100" w:type="dxa"/>
            <w:vAlign w:val="bottom"/>
          </w:tcPr>
          <w:p>
            <w:pPr>
              <w:spacing w:after="0"/>
              <w:rPr>
                <w:sz w:val="13"/>
                <w:szCs w:val="13"/>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1160" w:type="dxa"/>
            <w:vAlign w:val="bottom"/>
            <w:gridSpan w:val="3"/>
          </w:tcPr>
          <w:p>
            <w:pPr>
              <w:jc w:val="center"/>
              <w:ind w:left="570"/>
              <w:spacing w:after="0"/>
              <w:rPr>
                <w:sz w:val="20"/>
                <w:szCs w:val="20"/>
                <w:color w:val="auto"/>
              </w:rPr>
            </w:pPr>
            <w:r>
              <w:rPr>
                <w:rFonts w:ascii="Arial" w:cs="Arial" w:eastAsia="Arial" w:hAnsi="Arial"/>
                <w:sz w:val="13"/>
                <w:szCs w:val="13"/>
                <w:b w:val="1"/>
                <w:bCs w:val="1"/>
                <w:color w:val="auto"/>
                <w:w w:val="92"/>
              </w:rPr>
              <w:t>Series A</w:t>
            </w:r>
          </w:p>
        </w:tc>
        <w:tc>
          <w:tcPr>
            <w:tcW w:w="6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1"/>
              </w:rPr>
              <w:t>Stockholders'</w:t>
            </w:r>
          </w:p>
        </w:tc>
      </w:tr>
      <w:tr>
        <w:trPr>
          <w:trHeight w:val="162"/>
        </w:trPr>
        <w:tc>
          <w:tcPr>
            <w:tcW w:w="4240" w:type="dxa"/>
            <w:vAlign w:val="bottom"/>
          </w:tcPr>
          <w:p>
            <w:pPr>
              <w:spacing w:after="0"/>
              <w:rPr>
                <w:sz w:val="14"/>
                <w:szCs w:val="14"/>
                <w:color w:val="auto"/>
              </w:rPr>
            </w:pPr>
          </w:p>
        </w:tc>
        <w:tc>
          <w:tcPr>
            <w:tcW w:w="2060" w:type="dxa"/>
            <w:vAlign w:val="bottom"/>
            <w:tcBorders>
              <w:right w:val="single" w:sz="8" w:color="auto"/>
            </w:tcBorders>
            <w:gridSpan w:val="5"/>
          </w:tcPr>
          <w:p>
            <w:pPr>
              <w:jc w:val="center"/>
              <w:ind w:right="260"/>
              <w:spacing w:after="0"/>
              <w:rPr>
                <w:sz w:val="20"/>
                <w:szCs w:val="20"/>
                <w:color w:val="auto"/>
              </w:rPr>
            </w:pPr>
            <w:r>
              <w:rPr>
                <w:rFonts w:ascii="Arial" w:cs="Arial" w:eastAsia="Arial" w:hAnsi="Arial"/>
                <w:sz w:val="13"/>
                <w:szCs w:val="13"/>
                <w:b w:val="1"/>
                <w:bCs w:val="1"/>
                <w:color w:val="auto"/>
                <w:w w:val="95"/>
              </w:rPr>
              <w:t>Convertible</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6"/>
              </w:rPr>
              <w:t>Paid-in</w:t>
            </w: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Equity</w:t>
            </w:r>
          </w:p>
        </w:tc>
      </w:tr>
      <w:tr>
        <w:trPr>
          <w:trHeight w:val="161"/>
        </w:trPr>
        <w:tc>
          <w:tcPr>
            <w:tcW w:w="4240" w:type="dxa"/>
            <w:vAlign w:val="bottom"/>
          </w:tcPr>
          <w:p>
            <w:pPr>
              <w:spacing w:after="0"/>
              <w:rPr>
                <w:sz w:val="14"/>
                <w:szCs w:val="1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4"/>
              </w:rPr>
              <w:t>Preferred Stock</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Borders>
              <w:bottom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4"/>
              </w:rPr>
              <w:t>(Deficit)</w:t>
            </w:r>
          </w:p>
        </w:tc>
        <w:tc>
          <w:tcPr>
            <w:tcW w:w="60" w:type="dxa"/>
            <w:vAlign w:val="bottom"/>
          </w:tcPr>
          <w:p>
            <w:pPr>
              <w:spacing w:after="0"/>
              <w:rPr>
                <w:sz w:val="14"/>
                <w:szCs w:val="14"/>
                <w:color w:val="auto"/>
              </w:rPr>
            </w:pPr>
          </w:p>
        </w:tc>
      </w:tr>
      <w:tr>
        <w:trPr>
          <w:trHeight w:val="155"/>
        </w:trPr>
        <w:tc>
          <w:tcPr>
            <w:tcW w:w="4240" w:type="dxa"/>
            <w:vAlign w:val="bottom"/>
          </w:tcPr>
          <w:p>
            <w:pPr>
              <w:spacing w:after="0"/>
              <w:rPr>
                <w:sz w:val="13"/>
                <w:szCs w:val="13"/>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90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c>
          <w:tcPr>
            <w:tcW w:w="100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42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December 31, 2019</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10,894,999</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ind w:left="520"/>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980</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CFF0FC"/>
            </w:tcBorders>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(1,115)</w:t>
            </w:r>
          </w:p>
        </w:tc>
        <w:tc>
          <w:tcPr>
            <w:tcW w:w="1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CFF0FC"/>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(135)</w:t>
            </w:r>
          </w:p>
        </w:tc>
      </w:tr>
      <w:tr>
        <w:trPr>
          <w:trHeight w:val="143"/>
        </w:trPr>
        <w:tc>
          <w:tcPr>
            <w:tcW w:w="4240" w:type="dxa"/>
            <w:vAlign w:val="bottom"/>
          </w:tcPr>
          <w:p>
            <w:pPr>
              <w:spacing w:after="0" w:line="143" w:lineRule="exact"/>
              <w:rPr>
                <w:sz w:val="20"/>
                <w:szCs w:val="20"/>
                <w:color w:val="auto"/>
              </w:rPr>
            </w:pPr>
            <w:r>
              <w:rPr>
                <w:rFonts w:ascii="Arial" w:cs="Arial" w:eastAsia="Arial" w:hAnsi="Arial"/>
                <w:sz w:val="14"/>
                <w:szCs w:val="14"/>
                <w:color w:val="auto"/>
              </w:rPr>
              <w:t>Issuance of Series A convertible preferred stock,</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4240" w:type="dxa"/>
            <w:vAlign w:val="bottom"/>
          </w:tcPr>
          <w:p>
            <w:pPr>
              <w:ind w:left="120"/>
              <w:spacing w:after="0" w:line="149" w:lineRule="exact"/>
              <w:rPr>
                <w:sz w:val="20"/>
                <w:szCs w:val="20"/>
                <w:color w:val="auto"/>
              </w:rPr>
            </w:pPr>
            <w:r>
              <w:rPr>
                <w:rFonts w:ascii="Arial" w:cs="Arial" w:eastAsia="Arial" w:hAnsi="Arial"/>
                <w:sz w:val="14"/>
                <w:szCs w:val="14"/>
                <w:color w:val="auto"/>
              </w:rPr>
              <w:t>net of offering costs of $430 and issuance of</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4240" w:type="dxa"/>
            <w:vAlign w:val="bottom"/>
          </w:tcPr>
          <w:p>
            <w:pPr>
              <w:ind w:left="120"/>
              <w:spacing w:after="0"/>
              <w:rPr>
                <w:sz w:val="20"/>
                <w:szCs w:val="20"/>
                <w:color w:val="auto"/>
              </w:rPr>
            </w:pPr>
            <w:r>
              <w:rPr>
                <w:rFonts w:ascii="Arial" w:cs="Arial" w:eastAsia="Arial" w:hAnsi="Arial"/>
                <w:sz w:val="14"/>
                <w:szCs w:val="14"/>
                <w:color w:val="auto"/>
              </w:rPr>
              <w:t>preferred stock tranche liability of $1,050</w:t>
            </w:r>
          </w:p>
        </w:tc>
        <w:tc>
          <w:tcPr>
            <w:tcW w:w="800" w:type="dxa"/>
            <w:vAlign w:val="bottom"/>
          </w:tcPr>
          <w:p>
            <w:pPr>
              <w:jc w:val="right"/>
              <w:spacing w:after="0"/>
              <w:rPr>
                <w:sz w:val="20"/>
                <w:szCs w:val="20"/>
                <w:color w:val="auto"/>
              </w:rPr>
            </w:pPr>
            <w:r>
              <w:rPr>
                <w:rFonts w:ascii="Arial" w:cs="Arial" w:eastAsia="Arial" w:hAnsi="Arial"/>
                <w:sz w:val="14"/>
                <w:szCs w:val="14"/>
                <w:color w:val="auto"/>
              </w:rPr>
              <w:t>6,000,000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16,520</w:t>
            </w:r>
          </w:p>
        </w:tc>
        <w:tc>
          <w:tcPr>
            <w:tcW w:w="2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42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(5,431)</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(5,431)</w:t>
            </w:r>
          </w:p>
        </w:tc>
      </w:tr>
      <w:tr>
        <w:trPr>
          <w:trHeight w:val="156"/>
        </w:trPr>
        <w:tc>
          <w:tcPr>
            <w:tcW w:w="42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March 31, 2020</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6,000,000</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16,520</w:t>
            </w:r>
          </w:p>
        </w:tc>
        <w:tc>
          <w:tcPr>
            <w:tcW w:w="2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10,894,999</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ind w:left="520"/>
              <w:spacing w:after="0" w:line="155" w:lineRule="exact"/>
              <w:rPr>
                <w:sz w:val="20"/>
                <w:szCs w:val="20"/>
                <w:color w:val="auto"/>
              </w:rPr>
            </w:pPr>
            <w:r>
              <w:rPr>
                <w:rFonts w:ascii="Arial" w:cs="Arial" w:eastAsia="Arial" w:hAnsi="Arial"/>
                <w:sz w:val="14"/>
                <w:szCs w:val="14"/>
                <w:b w:val="1"/>
                <w:bCs w:val="1"/>
                <w:color w:val="auto"/>
                <w:w w:val="99"/>
              </w:rPr>
              <w:t>—</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980</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(6,546)</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(5,566)</w:t>
            </w:r>
          </w:p>
        </w:tc>
        <w:tc>
          <w:tcPr>
            <w:tcW w:w="60" w:type="dxa"/>
            <w:vAlign w:val="bottom"/>
          </w:tcPr>
          <w:p>
            <w:pPr>
              <w:spacing w:after="0"/>
              <w:rPr>
                <w:sz w:val="13"/>
                <w:szCs w:val="13"/>
                <w:color w:val="auto"/>
              </w:rPr>
            </w:pP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For the Three Months</w:t>
            </w:r>
          </w:p>
        </w:tc>
        <w:tc>
          <w:tcPr>
            <w:tcW w:w="100" w:type="dxa"/>
            <w:vAlign w:val="bottom"/>
          </w:tcPr>
          <w:p>
            <w:pPr>
              <w:spacing w:after="0"/>
              <w:rPr>
                <w:sz w:val="14"/>
                <w:szCs w:val="1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For the Three Months</w:t>
            </w:r>
          </w:p>
        </w:tc>
      </w:tr>
      <w:tr>
        <w:trPr>
          <w:trHeight w:val="171"/>
        </w:trPr>
        <w:tc>
          <w:tcPr>
            <w:tcW w:w="7720" w:type="dxa"/>
            <w:vAlign w:val="bottom"/>
          </w:tcPr>
          <w:p>
            <w:pPr>
              <w:spacing w:after="0"/>
              <w:rPr>
                <w:sz w:val="14"/>
                <w:szCs w:val="14"/>
                <w:color w:val="auto"/>
              </w:rPr>
            </w:pPr>
          </w:p>
        </w:tc>
        <w:tc>
          <w:tcPr>
            <w:tcW w:w="18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9"/>
              </w:rPr>
              <w:t>Ended March 31, 2021</w:t>
            </w:r>
          </w:p>
        </w:tc>
        <w:tc>
          <w:tcPr>
            <w:tcW w:w="1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8"/>
              </w:rPr>
              <w:t>Ended March 31,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(32,024)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(5,431)</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preferred stock tranche liability</w:t>
            </w: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(180)</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 license expense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(4,184)</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1,872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Due to related party</w:t>
            </w:r>
          </w:p>
        </w:tc>
        <w:tc>
          <w:tcPr>
            <w:tcW w:w="10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(22,035)</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plant and equipment</w:t>
            </w: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Proceeds from issuances of Series A convertible preferred stock</w:t>
            </w:r>
          </w:p>
        </w:tc>
        <w:tc>
          <w:tcPr>
            <w:tcW w:w="10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18,000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note payable to related party</w:t>
            </w: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Repayment of note payable to related party</w:t>
            </w:r>
          </w:p>
        </w:tc>
        <w:tc>
          <w:tcPr>
            <w:tcW w:w="100" w:type="dxa"/>
            <w:vAlign w:val="bottom"/>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(1,646)</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(22,569)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16,328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at the beginning of the period</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251,253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at the end of the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228,684</w:t>
            </w:r>
          </w:p>
        </w:tc>
        <w:tc>
          <w:tcPr>
            <w:tcW w:w="2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16,328</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Purchase of research and development license not yet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5,500</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in accounts payable and accrued expenses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Acquisition of property, plant and equipment funded by landlord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607</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offering costs not yet paid</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Allocation of preferred stock tranche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Series A issuance costs not yet paid</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1—Organization and Description of Business Operations</w:t>
      </w:r>
    </w:p>
    <w:p>
      <w:pPr>
        <w:spacing w:after="0" w:line="121"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Taysha Gene Therapies, Inc. (the “Company” or “Taysha”) was originally formed under the laws of the State of Texas on September 20, 2019 (“Inception”). Taysha converted to a Delaware corporation on February 13, 2020, which had no impact to the Company’s par value or issued and authorized capital structure.</w:t>
      </w:r>
    </w:p>
    <w:p>
      <w:pPr>
        <w:spacing w:after="0" w:line="184"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Taysha is a patient-centric gene therapy company focused on developing and commercializing AAV-based gene therapies for the treatment of monogenic diseases of the central nervous system in both rare and large patient populations.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On September 16, 2020, the Company effected a 1.0895-for-one stock split of its authorized, issued and outstanding shares of common stock and a proportional adjustment to the existing conversion ratios for each series of the Company’s convertible preferred stock as discussed in Note 5. Accordingly, all share and per share amounts for the periods presented in the accompanying condensed consolidated financial statements and notes thereto have been adjusted retroactively, where applicable, to reflect this stock split and adjustment of the convertible preferred stock conversion ratios. On September 16, 2020, the Company also increased the number of shares of common stock authorized for issuance under the 2020 Equity Incentive Plan (the “Existing Plan”) to 3,845,294.</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On September 23, 2020, the Company’s registration statement on Form S-1 (File No. 333-248559) related to the initial public offering (“IPO”) of its common stock became effective and on September 28, 2020, the IPO closed. Pursuant to the IPO, the Company issued and sold 9,050,000 shares of common stock at a public offering price of $20.00 per share, which included 1,180,434 shares of common stock issued upon the exercise in full of the underwriters’ option to purchase additional shares. The Company received net proceeds of $165.9 million after deducting underwriting discounts and commissions and other offering costs of $2.5 million. The shares began trading on the Nasdaq Global Select Market on September 24, 2020.</w:t>
      </w:r>
    </w:p>
    <w:p>
      <w:pPr>
        <w:spacing w:after="0" w:line="161"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On September 28, 2020, in connection with the closing of the IPO, 10,000,000 shares of Series A and 5,647,048 shares of Series B convertible preferred stock automatically converted into an aggregate of 17,047,378 shares of common stock with a conversion ratio of 1.0895 shares of common stock for each share of Series A and Series B convertible preferred stock.</w:t>
      </w:r>
    </w:p>
    <w:p>
      <w:pPr>
        <w:spacing w:after="0" w:line="184" w:lineRule="exact"/>
        <w:rPr>
          <w:sz w:val="20"/>
          <w:szCs w:val="20"/>
          <w:color w:val="auto"/>
        </w:rPr>
      </w:pPr>
    </w:p>
    <w:p>
      <w:pPr>
        <w:jc w:val="both"/>
        <w:ind w:right="80" w:firstLine="749"/>
        <w:spacing w:after="0" w:line="263" w:lineRule="auto"/>
        <w:rPr>
          <w:sz w:val="20"/>
          <w:szCs w:val="20"/>
          <w:color w:val="auto"/>
        </w:rPr>
      </w:pPr>
      <w:r>
        <w:rPr>
          <w:rFonts w:ascii="Arial" w:cs="Arial" w:eastAsia="Arial" w:hAnsi="Arial"/>
          <w:sz w:val="18"/>
          <w:szCs w:val="18"/>
          <w:color w:val="auto"/>
        </w:rPr>
        <w:t>As a result of the IPO, including the underwriters’ exercise in full of their option to purchase additional shares, and the conversions of the Series A and B convertible preferred stock, the Company’s total number of outstanding shares increased by 26,097,378 immediately following the closing of the IPO.</w:t>
      </w:r>
    </w:p>
    <w:p>
      <w:pPr>
        <w:spacing w:after="0" w:line="184" w:lineRule="exact"/>
        <w:rPr>
          <w:sz w:val="20"/>
          <w:szCs w:val="20"/>
          <w:color w:val="auto"/>
        </w:rPr>
      </w:pPr>
    </w:p>
    <w:p>
      <w:pPr>
        <w:jc w:val="both"/>
        <w:ind w:right="140" w:firstLine="749"/>
        <w:spacing w:after="0" w:line="263" w:lineRule="auto"/>
        <w:rPr>
          <w:sz w:val="20"/>
          <w:szCs w:val="20"/>
          <w:color w:val="auto"/>
        </w:rPr>
      </w:pPr>
      <w:r>
        <w:rPr>
          <w:rFonts w:ascii="Arial" w:cs="Arial" w:eastAsia="Arial" w:hAnsi="Arial"/>
          <w:sz w:val="18"/>
          <w:szCs w:val="18"/>
          <w:color w:val="auto"/>
        </w:rPr>
        <w:t>Upon the effectiveness of the Company’s registration statement related to the IPO, the Company’s 2020 Stock Incentive Plan (the “New Plan”) and 2020 Employee Stock Purchase Plan became effective. At that time, all shares reserved for issuance under the Existing Plan ceased to be available for issuance under such plan and became available for issuance under the New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Company has incurred operating losses since inception and expects to continue to incur significant operating losses for the foreseeable future and may never become profitable. As of March 31, 2021, the Company had an accumulated deficit of $93.2 million.</w:t>
      </w:r>
    </w:p>
    <w:p>
      <w:pPr>
        <w:spacing w:after="0" w:line="170" w:lineRule="exact"/>
        <w:rPr>
          <w:sz w:val="20"/>
          <w:szCs w:val="20"/>
          <w:color w:val="auto"/>
        </w:rPr>
      </w:pPr>
    </w:p>
    <w:p>
      <w:pPr>
        <w:ind w:right="120" w:firstLine="749"/>
        <w:spacing w:after="0" w:line="286" w:lineRule="auto"/>
        <w:rPr>
          <w:sz w:val="20"/>
          <w:szCs w:val="20"/>
          <w:color w:val="auto"/>
        </w:rPr>
      </w:pPr>
      <w:r>
        <w:rPr>
          <w:rFonts w:ascii="Arial" w:cs="Arial" w:eastAsia="Arial" w:hAnsi="Arial"/>
          <w:sz w:val="17"/>
          <w:szCs w:val="17"/>
          <w:color w:val="auto"/>
        </w:rPr>
        <w:t>Prior to the closing of the Company’s IPO, between March and July 2020, the Company closed on the sale of an aggregate of 10,000,000 shares of Series A convertible preferred stock for gross proceeds of $30.0 million. Between July and August 2020, the Company closed on the sale of an aggregate of 5,647,048 shares of Series B convertible preferred stock for gross proceeds of $96.0 million.</w:t>
      </w:r>
    </w:p>
    <w:p>
      <w:pPr>
        <w:spacing w:after="0" w:line="381" w:lineRule="exact"/>
        <w:rPr>
          <w:sz w:val="20"/>
          <w:szCs w:val="20"/>
          <w:color w:val="auto"/>
        </w:rPr>
      </w:pPr>
    </w:p>
    <w:p>
      <w:pPr>
        <w:ind w:right="120" w:firstLine="749"/>
        <w:spacing w:after="0" w:line="296" w:lineRule="auto"/>
        <w:rPr>
          <w:sz w:val="20"/>
          <w:szCs w:val="20"/>
          <w:color w:val="auto"/>
        </w:rPr>
      </w:pPr>
      <w:r>
        <w:rPr>
          <w:rFonts w:ascii="Arial" w:cs="Arial" w:eastAsia="Arial" w:hAnsi="Arial"/>
          <w:sz w:val="16"/>
          <w:szCs w:val="16"/>
          <w:color w:val="auto"/>
        </w:rPr>
        <w:t>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on terms acceptable to the Company. As of March 31, 2021, the Company had cash of $228.7 million which the Company believes will be sufficient to fund its planned operations for a period of at least twelve months from the date of issuance of these condensed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80" w:firstLine="749"/>
        <w:spacing w:after="0" w:line="270" w:lineRule="auto"/>
        <w:rPr>
          <w:sz w:val="20"/>
          <w:szCs w:val="20"/>
          <w:color w:val="auto"/>
        </w:rPr>
      </w:pPr>
      <w:r>
        <w:rPr>
          <w:rFonts w:ascii="Arial" w:cs="Arial" w:eastAsia="Arial" w:hAnsi="Arial"/>
          <w:sz w:val="17"/>
          <w:szCs w:val="17"/>
          <w:color w:val="auto"/>
        </w:rPr>
        <w:t>In December 2019, the novel coronavirus (“COVID-19”) emerged and has subsequently spread worldwide. The World Health Organization has declared COVID-19 a global pandemic, resulting in federal, state and local governments and private entities implementing various restrictions, including travel restrictions, restrictions on public gatherings, stay at home orders, and advisories and quarantining people who may have been exposed to the virus. The Company has been actively monitoring COVID-19 and its impact globally. Management believes the financial results for the three months ended March 31, 2021 were not significantly impacted by COVID-19. In addition, management believes the remote working arrangements and travel restrictions imposed by various governmental jurisdictions have had limited impact on the Company’s ability to maintain internal operations during the three months ended March 31, 2021. The full extent to which the COVID-19 pandemic will directly or indirectly impact the Company’s business, results of operations and financial condition will depend on future developments that are highly uncertain, including as a result of new information that may emerge concerning COVID-19 and the actions taken to contain it or treat COVID-19.</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The unaudited condensed consolidated financial statements have been prepared in conformity with accounting principles generally accepted in the United States ("GAAP") as determined by the Financial Accounting Standards Board (“FASB”) Accounting Standards Codification (“ASC”) for interim financial information and the instructions to Form 10-Q and Article 10 of Regulation S-X and are consistent in all material respects with those included in the Company’s Annual Report on Form 10-K for the year ended December 31, 2020, filed with the Securities and Exchange Commission ("SEC") on March 3, 2021 (the “2020 Annual Report”). In the opinion of management, the unaudited condensed consolidated financial statements reflect all adjustments, which include only normal recurring adjustments necessary for the fair statement of the balances and results for the periods presented. The consolidated balance sheet as of December 31, 2020 is derived from audited financial statements, however, it does not include all of the information and footnotes required by GAAP for complete financial statements. These unaudited condensed consolidated financial statements should be read in conjunction with the consolidated financial statements and related notes in the Company’s 2020 Annual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accompanying interim condensed consolidated financial statements include the accounts of Taysha and its inactive wholly owned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subsidiaries that were incorporated during 2020. All intercompany transactions and balances have been eliminated in consolidation.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IPO (as an input into stock-based compensation), estimating preclinical manufacturing accruals and accrued or prepaid research and development expenses, and the valuation of the preferred stock tranche liability.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 In response to the ongoing and rapidly evolving COVID-19 pandemic, management considered the impact of the estimated economic implications on the Company’s critical and significant accounting estimates, including assessment of impairment of long-lived assets.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600" w:firstLine="749"/>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as disclosed in Note 2 to the audited consolidated financial statements included in the 2020 Annual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333"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color w:val="auto"/>
        </w:rPr>
        <w:t>In February 2016, the FASB issued ASU No. 2016-02, Leases (Topic 842), as amended, with guidance regarding the accounting for and disclosure of leases. This update requires lessees to recognize the liabilities related to all leases, including operating leases, with a term greater than 12 months on the balance sheets. This update also requires lessees and lessors to disclose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ind w:right="160"/>
        <w:spacing w:after="0" w:line="255" w:lineRule="auto"/>
        <w:rPr>
          <w:sz w:val="20"/>
          <w:szCs w:val="20"/>
          <w:color w:val="auto"/>
        </w:rPr>
      </w:pPr>
      <w:r>
        <w:rPr>
          <w:rFonts w:ascii="Arial" w:cs="Arial" w:eastAsia="Arial" w:hAnsi="Arial"/>
          <w:sz w:val="18"/>
          <w:szCs w:val="18"/>
          <w:color w:val="auto"/>
        </w:rPr>
        <w:t>key information about their leasing transactions. This guidance will become effective for the Company for annual reporting periods beginning after December 15, 2021 and interim periods within fiscal years beginning after December 15, 2022. The new standard requires the use of one of the following two approaches, either (1) retrospectively to each prior reporting period presented in the financial statements with the cumulative effect recognized at the beginning of the earliest comparative period presented, or (2) retrospectively at the beginning of the period of adoption through a cumulative-effect adjustment. The Company has not yet concluded which approach will be utilized to adopt the new standard and is currently evaluating the impact of this standard on its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3—Balance Sheet Components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ind w:left="760"/>
              <w:spacing w:after="0"/>
              <w:rPr>
                <w:sz w:val="20"/>
                <w:szCs w:val="20"/>
                <w:color w:val="auto"/>
              </w:rPr>
            </w:pPr>
            <w:r>
              <w:rPr>
                <w:rFonts w:ascii="Arial" w:cs="Arial" w:eastAsia="Arial" w:hAnsi="Arial"/>
                <w:sz w:val="18"/>
                <w:szCs w:val="18"/>
                <w:color w:val="auto"/>
              </w:rPr>
              <w:t>Prepaid expenses and other current assets consisted of the following (in thousands):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Prepaid insurance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1,654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bonus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Prepaid clinical trial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10,817</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760"/>
              <w:spacing w:after="0"/>
              <w:rPr>
                <w:sz w:val="20"/>
                <w:szCs w:val="20"/>
                <w:color w:val="auto"/>
              </w:rPr>
            </w:pPr>
            <w:r>
              <w:rPr>
                <w:rFonts w:ascii="Arial" w:cs="Arial" w:eastAsia="Arial" w:hAnsi="Arial"/>
                <w:sz w:val="18"/>
                <w:szCs w:val="18"/>
                <w:color w:val="auto"/>
              </w:rPr>
              <w:t>Property, plant and equipment consisted of the following (in thousands):</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Laboratory equipment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Depreciation expense was $32,000 for the three months ended March 31, 2021. There was no depreciation expense for the three months ended March 31, 2020.</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ind w:left="7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1"/>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license fees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5,500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professional and consulting fees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construction in progress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14,875</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4—Research, 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 Southwestern Agreement</w:t>
      </w:r>
    </w:p>
    <w:p>
      <w:pPr>
        <w:spacing w:after="0" w:line="117"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On November 19, 2019, the Company entered into a research, collaboration and license agreement (“UT Southwestern Agreement”) with the Board of Regents of the University of Texas System on behalf of The University of Texas Southwestern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ind w:right="180"/>
        <w:spacing w:after="0" w:line="255" w:lineRule="auto"/>
        <w:rPr>
          <w:sz w:val="20"/>
          <w:szCs w:val="20"/>
          <w:color w:val="auto"/>
        </w:rPr>
      </w:pPr>
      <w:r>
        <w:rPr>
          <w:rFonts w:ascii="Arial" w:cs="Arial" w:eastAsia="Arial" w:hAnsi="Arial"/>
          <w:sz w:val="18"/>
          <w:szCs w:val="18"/>
          <w:color w:val="auto"/>
        </w:rPr>
        <w:t>Medical Center (“UT Southwestern”). Under the UT Southwestern Agreement, UT Southwestern is primarily responsible for preclinical development activities with respect to licensed products for use in certain specified indications (up to investigational new drug application-enabling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192"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64"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w:t>
      </w:r>
    </w:p>
    <w:p>
      <w:pPr>
        <w:spacing w:after="0" w:line="184" w:lineRule="exact"/>
        <w:rPr>
          <w:sz w:val="20"/>
          <w:szCs w:val="20"/>
          <w:color w:val="auto"/>
        </w:rPr>
      </w:pPr>
    </w:p>
    <w:p>
      <w:pPr>
        <w:ind w:right="60" w:firstLine="749"/>
        <w:spacing w:after="0" w:line="279" w:lineRule="auto"/>
        <w:rPr>
          <w:sz w:val="20"/>
          <w:szCs w:val="20"/>
          <w:color w:val="auto"/>
        </w:rPr>
      </w:pPr>
      <w:r>
        <w:rPr>
          <w:rFonts w:ascii="Arial" w:cs="Arial" w:eastAsia="Arial" w:hAnsi="Arial"/>
          <w:sz w:val="17"/>
          <w:szCs w:val="17"/>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171"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In November 2019, as partial consideration for the license rights granted under the UT Southwestern Agreement, the Company issued 2,179,000 shares of its common stock, or 20% of its then outstanding fully-diluted common stock, to UT Southwestern. As additional consideration, UT Southwestern was entitled to receive additional shares if their holdings fell below 10% on a fully-diluted basis before or as a result of the completion of a qualified financing. In March 2020, following the initial closing of the Series A convertible preferred stock agreement, which met the definition of such qualified financing, the anti-dilution feature expired and no additional shares were issued. The Company does not have any future milestone or royalty obligations to UT Southwestern under the UT Southwestern Agreement other than costs related to maintenance of patents.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Queen’s Agreement</w:t>
      </w:r>
    </w:p>
    <w:p>
      <w:pPr>
        <w:spacing w:after="0" w:line="117" w:lineRule="exact"/>
        <w:rPr>
          <w:sz w:val="20"/>
          <w:szCs w:val="20"/>
          <w:color w:val="auto"/>
        </w:rPr>
      </w:pPr>
    </w:p>
    <w:p>
      <w:pPr>
        <w:ind w:right="60" w:firstLine="749"/>
        <w:spacing w:after="0" w:line="269" w:lineRule="auto"/>
        <w:rPr>
          <w:sz w:val="20"/>
          <w:szCs w:val="20"/>
          <w:color w:val="auto"/>
        </w:rPr>
      </w:pPr>
      <w:r>
        <w:rPr>
          <w:rFonts w:ascii="Arial" w:cs="Arial" w:eastAsia="Arial" w:hAnsi="Arial"/>
          <w:sz w:val="17"/>
          <w:szCs w:val="17"/>
          <w:color w:val="auto"/>
        </w:rPr>
        <w:t>In late December 2019, the Company entered into a research grant agreement (“RGA”) with Queen’s University at Kingston (“Queen’s”), for certain research and development activities related to the generation of AAV9 vector. The Company committed to fund $3.8 million under the RGA with Queen’s. The Company issued Queen’s a promise-to-pay note whereby any amounts paid directly by Queen’s for the manufacture of the vector for use in the funded research activities, to the extent such amounts had not already been funded by the Company to Queen’s, would become a loan obligation for the Company (the “Note”), subject to an interest rate of 6%. Any amounts outstanding under the Note were required to be repaid, along with any accrued interest, by or before June 30, 2020. In the event of default, any amount outstanding was deemed immediately payable by RA Session II, the Company’s President and Chief Executive Officer, as a personal guarantor (see Note 8). For the period from Inception through December 31, 2019, the Company did not incur any expenses associated with the Queen’s RGA, and no amounts were due or outstanding under the Note as of December 31, 2019. For the year ended December 31, 2020, the Company paid all expenses associated with the Queen’s RGA, thus no amounts were due or outstanding under the Note as of December 31, 2020, and the promise-to-pay has therefore expired.</w:t>
      </w:r>
    </w:p>
    <w:p>
      <w:pPr>
        <w:spacing w:after="0" w:line="185"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which is recorded in research and development expenses in the condensed consolidated statements of operations for the three months ended March 31, 2020. The Company is obligated to make aggregate cash payments of up to $10.0 million upon the completion of a combination of regulatory milestones and up to $10.0 million upon the completion of a combination of commercial milestones. In further consideration of the rights granted, beginning with the Company’s first commercial sale of the Licensed Products, the Company will also pay an annual earned royalty in the low single digits on net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ind w:right="80"/>
        <w:spacing w:after="0" w:line="311" w:lineRule="auto"/>
        <w:rPr>
          <w:sz w:val="20"/>
          <w:szCs w:val="20"/>
          <w:color w:val="auto"/>
        </w:rPr>
      </w:pPr>
      <w:r>
        <w:rPr>
          <w:rFonts w:ascii="Arial" w:cs="Arial" w:eastAsia="Arial" w:hAnsi="Arial"/>
          <w:sz w:val="16"/>
          <w:szCs w:val="16"/>
          <w:color w:val="auto"/>
        </w:rPr>
        <w:t>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Abeona CLN1 Agreements</w:t>
      </w:r>
    </w:p>
    <w:p>
      <w:pPr>
        <w:spacing w:after="0" w:line="117" w:lineRule="exact"/>
        <w:rPr>
          <w:sz w:val="20"/>
          <w:szCs w:val="20"/>
          <w:color w:val="auto"/>
        </w:rPr>
      </w:pPr>
    </w:p>
    <w:p>
      <w:pPr>
        <w:ind w:right="60" w:firstLine="749"/>
        <w:spacing w:after="0" w:line="287" w:lineRule="auto"/>
        <w:rPr>
          <w:sz w:val="20"/>
          <w:szCs w:val="20"/>
          <w:color w:val="auto"/>
        </w:rPr>
      </w:pPr>
      <w:r>
        <w:rPr>
          <w:rFonts w:ascii="Arial" w:cs="Arial" w:eastAsia="Arial" w:hAnsi="Arial"/>
          <w:sz w:val="16"/>
          <w:szCs w:val="16"/>
          <w:color w:val="auto"/>
        </w:rPr>
        <w:t>In August 2020, the Company entered into license and inventory purchase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agreements, the Company made initial cash payments to Abeona of $3.0 million for the license fee and $4.0 million for purchase of clinical materials and reimbursement for previously incurred development costs in October 2020. In exchange for the license rights, the Company recorded an aggregate of $7.0 million within research and development expenses in the consolidated statements of operations for the year ended December 31, 2020 since the acquired license or acquired inventory do not have an alternative future use.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license agreement for convenience upon specified prior written notice to Abeona.</w:t>
      </w:r>
    </w:p>
    <w:p>
      <w:pPr>
        <w:spacing w:after="0" w:line="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additional milestone payments were made in connection with this agreement during the three months ended March 31,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Abeona Rett Agreement</w:t>
      </w:r>
    </w:p>
    <w:p>
      <w:pPr>
        <w:spacing w:after="0" w:line="117" w:lineRule="exact"/>
        <w:rPr>
          <w:sz w:val="20"/>
          <w:szCs w:val="20"/>
          <w:color w:val="auto"/>
        </w:rPr>
      </w:pPr>
    </w:p>
    <w:p>
      <w:pPr>
        <w:ind w:right="140" w:firstLine="749"/>
        <w:spacing w:after="0" w:line="279" w:lineRule="auto"/>
        <w:rPr>
          <w:sz w:val="20"/>
          <w:szCs w:val="20"/>
          <w:color w:val="auto"/>
        </w:rPr>
      </w:pPr>
      <w:r>
        <w:rPr>
          <w:rFonts w:ascii="Arial" w:cs="Arial" w:eastAsia="Arial" w:hAnsi="Arial"/>
          <w:sz w:val="17"/>
          <w:szCs w:val="17"/>
          <w:color w:val="auto"/>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63"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Subject to certain obligations of Abeona, the Company is required to use commercially reasonable efforts to develop at least one licensed product and commercialize at least one licensed product in the United States.</w:t>
      </w:r>
    </w:p>
    <w:p>
      <w:pPr>
        <w:spacing w:after="0" w:line="62" w:lineRule="exact"/>
        <w:rPr>
          <w:sz w:val="20"/>
          <w:szCs w:val="20"/>
          <w:color w:val="auto"/>
        </w:rPr>
      </w:pPr>
    </w:p>
    <w:p>
      <w:pPr>
        <w:ind w:right="120" w:firstLine="749"/>
        <w:spacing w:after="0" w:line="254" w:lineRule="auto"/>
        <w:rPr>
          <w:sz w:val="20"/>
          <w:szCs w:val="20"/>
          <w:color w:val="auto"/>
        </w:rPr>
      </w:pPr>
      <w:r>
        <w:rPr>
          <w:rFonts w:ascii="Arial" w:cs="Arial" w:eastAsia="Arial" w:hAnsi="Arial"/>
          <w:sz w:val="18"/>
          <w:szCs w:val="18"/>
          <w:color w:val="auto"/>
        </w:rPr>
        <w:t>In connection with the Abeona Rett Agreement, the Company paid Abeona a one-time upfront license fee of $3.0 million which is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84"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 additional milestone payments were made in connection with the Abeona Rett Agreement during the three months ended March 31, 2021.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Worldwide Rights for TSHA-120 for the treatment of GAN</w:t>
      </w:r>
    </w:p>
    <w:p>
      <w:pPr>
        <w:spacing w:after="0" w:line="117" w:lineRule="exact"/>
        <w:rPr>
          <w:sz w:val="20"/>
          <w:szCs w:val="20"/>
          <w:color w:val="auto"/>
        </w:rPr>
      </w:pPr>
    </w:p>
    <w:p>
      <w:pPr>
        <w:ind w:right="260" w:firstLine="749"/>
        <w:spacing w:after="0" w:line="257" w:lineRule="auto"/>
        <w:rPr>
          <w:sz w:val="20"/>
          <w:szCs w:val="20"/>
          <w:color w:val="auto"/>
        </w:rPr>
      </w:pPr>
      <w:r>
        <w:rPr>
          <w:rFonts w:ascii="Arial" w:cs="Arial" w:eastAsia="Arial" w:hAnsi="Arial"/>
          <w:sz w:val="18"/>
          <w:szCs w:val="18"/>
          <w:color w:val="auto"/>
        </w:rPr>
        <w:t>In March 2021, the Company acquired the exclusive worldwide rights to a clinical-stage AAV9 gene therapy program, now known as TSHA-120, for the treatment of Giant Axonal Neuropathy (“GAN”). TSHA-120 is an intrathecally dosed AAV9 gene therapy currently being evaluated in a clinical trial for the treatment of GAN. The trial is being conducted by the National Institutes of Health in close collaboration with a leading patient advocacy group focused on finding treatments and cures for GAN. TSHA-120 has received rare pediatric disease and orphan drug designations from the U.S. Food and Drug Administration for the treatment of GAN.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right="240"/>
        <w:spacing w:after="0" w:line="277" w:lineRule="auto"/>
        <w:rPr>
          <w:sz w:val="20"/>
          <w:szCs w:val="20"/>
          <w:color w:val="auto"/>
        </w:rPr>
      </w:pPr>
      <w:r>
        <w:rPr>
          <w:rFonts w:ascii="Arial" w:cs="Arial" w:eastAsia="Arial" w:hAnsi="Arial"/>
          <w:sz w:val="18"/>
          <w:szCs w:val="18"/>
          <w:color w:val="auto"/>
        </w:rPr>
        <w:t>The worldwide rights was acquired through a license agreement, effective March 29, 2021, between Hannah’s Hope Fund for Giant Axonal Neuropathy, Inc. (“HHF”).</w:t>
      </w:r>
    </w:p>
    <w:p>
      <w:pPr>
        <w:spacing w:after="0" w:line="62"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Under the terms of the agreement, in exchange for granting the Company the exclusive worldwide rights to TSHA-120, HHF will receive an upfront payment of $5.5 million and will be eligible to receive clinical, regulatory and commercial milestones totaling up to $19.3 million, as well as a low, single-digit royalty on net sales upon commercialization of the product.</w:t>
      </w:r>
    </w:p>
    <w:p>
      <w:pPr>
        <w:spacing w:after="0" w:line="76" w:lineRule="exact"/>
        <w:rPr>
          <w:sz w:val="20"/>
          <w:szCs w:val="20"/>
          <w:color w:val="auto"/>
        </w:rPr>
      </w:pPr>
    </w:p>
    <w:p>
      <w:pPr>
        <w:ind w:right="440" w:firstLine="749"/>
        <w:spacing w:after="0" w:line="263" w:lineRule="auto"/>
        <w:rPr>
          <w:sz w:val="20"/>
          <w:szCs w:val="20"/>
          <w:color w:val="auto"/>
        </w:rPr>
      </w:pPr>
      <w:r>
        <w:rPr>
          <w:rFonts w:ascii="Arial" w:cs="Arial" w:eastAsia="Arial" w:hAnsi="Arial"/>
          <w:sz w:val="18"/>
          <w:szCs w:val="18"/>
          <w:color w:val="auto"/>
        </w:rPr>
        <w:t>In exchange for the license rights, the Company recorded an aggregate of $5.5 million within research and development expenses in the condensed consolidated statements of operations since the acquired license does not have an alternative future use. This license fee was not paid as of March 31, 2021 and has been recorded in accrued expenses and other current liabilities.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5—Stockholders’ Equity (Deficit), Convertible Preferred Stock and Tranche Liability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337"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The Company amended its certificate of incorporation on March 4, 2020, July 2, 2020 and again on July 28, 2020 such that the total number of shares of common stock authorized to be issued was increased to 32,685,000, and the total number of shares of preferred stock authorized to be issued was increased to 15,647,052, of which 10,000,000 preferred shares were designated Series A convertible preferred stock and 5,647,052 were designated Series B convertible preferred stock. On September 28, 2020, the Company amended its certificate of incorporation such that the total number of shares of common stock authorized to be issued was increased to 200,000,000, and the total number of shares of new preferred stock authorized to be issued was 10,000,000. As of March 31, 2021 and December 31, 2020, no shares of preferred stock were issued or outstanding.</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w:t>
      </w:r>
    </w:p>
    <w:p>
      <w:pPr>
        <w:spacing w:after="0" w:line="337"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On September 28, 2020, the Company issued an aggregate of 7,869,566 shares of common stock in the IPO, and on September 29, 2020, the Company issued an aggregate of 1,180,434 shares of common stock upon the underwriters’ exercise in full of their option to purchase additional shares, each at the public offering price of $20.00 per share less underwriting discounts and commissions. In connection with the IPO, the Company received gross proceeds of $181.0 million, which was offset by issuance costs, including underwriters’ discounts and commissions, of approximately $15.1 million.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and B convertible preferred stock</w:t>
      </w:r>
    </w:p>
    <w:p>
      <w:pPr>
        <w:spacing w:after="0" w:line="337"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On March 4, 2020, the Company entered into a purchase agreement (the “Series A Purchase Agreement”) providing for a private placement of up to 10,000,000 shares of Series A convertible preferred stock at an original issuance price of $3.00 per share, subject to separate closings, including: (1) 6,000,000 shares at the initial closing on March 4, 2020, and (2) 2,000,000 shares at each of two subsequent closings triggered by the achievement of specific clinical milestones. The Series A Purchase Agreement obligated the Company to issue and sell and the Series A investors to purchase up to a total of 4,000,000 additional shares of Series A convertible preferred stock (the “Milestone Shares”) at the same price per share upon the achievement of certain defined clinical milestones (the “tranche liability”). The determination as to whether the milestone events had been met was subject to certification by the Board of Directors. Each Series A investor had the right, but not the obligation, to purchase all or any portion of the Milestone Shares at any time in its sole option and in its sole and absolute discretion, whether or not the Company had achieved the applicable clinical milestone.</w:t>
      </w:r>
    </w:p>
    <w:p>
      <w:pPr>
        <w:spacing w:after="0" w:line="273" w:lineRule="exact"/>
        <w:rPr>
          <w:sz w:val="20"/>
          <w:szCs w:val="20"/>
          <w:color w:val="auto"/>
        </w:rPr>
      </w:pPr>
    </w:p>
    <w:p>
      <w:pPr>
        <w:ind w:right="100" w:firstLine="749"/>
        <w:spacing w:after="0" w:line="273" w:lineRule="auto"/>
        <w:rPr>
          <w:sz w:val="20"/>
          <w:szCs w:val="20"/>
          <w:color w:val="auto"/>
        </w:rPr>
      </w:pPr>
      <w:r>
        <w:rPr>
          <w:rFonts w:ascii="Arial" w:cs="Arial" w:eastAsia="Arial" w:hAnsi="Arial"/>
          <w:sz w:val="17"/>
          <w:szCs w:val="17"/>
          <w:color w:val="auto"/>
        </w:rPr>
        <w:t>On June 30, 2020, several affiliated Series A investors elected to exercise in full their options to purchase 200,000 shares, representing all of their remaining pro-rata portion of the Milestone Shares, prior to the Company’s achievement of the clinical milestones for gross proceeds of $0.6 million. The remainder of the Series A investors exercised in full their options to purchase 3,800,000 shares, representing all of their remaining pro-rata portion of the Milestone Shares, prior to the Company’s achievement of the clinical milestones, for gross proceeds of $11.4 million between July 1, 2020 and July 2, 2020. As part of this issuance, the Company issued and sold 3,266,667 shares to PBM TGT Holdings, LLC and 400,000 shares to Nolan Capital, LLC, which stockholders are controlled by certain members of the Company’s board of directors.</w:t>
      </w:r>
    </w:p>
    <w:p>
      <w:pPr>
        <w:spacing w:after="0" w:line="286" w:lineRule="exact"/>
        <w:rPr>
          <w:sz w:val="20"/>
          <w:szCs w:val="20"/>
          <w:color w:val="auto"/>
        </w:rPr>
      </w:pPr>
    </w:p>
    <w:p>
      <w:pPr>
        <w:ind w:right="440" w:firstLine="749"/>
        <w:spacing w:after="0" w:line="308" w:lineRule="auto"/>
        <w:rPr>
          <w:sz w:val="20"/>
          <w:szCs w:val="20"/>
          <w:color w:val="auto"/>
        </w:rPr>
      </w:pPr>
      <w:r>
        <w:rPr>
          <w:rFonts w:ascii="Arial" w:cs="Arial" w:eastAsia="Arial" w:hAnsi="Arial"/>
          <w:sz w:val="17"/>
          <w:szCs w:val="17"/>
          <w:color w:val="auto"/>
        </w:rPr>
        <w:t>On July 2, 2020, the Company entered into a purchase agreement (the “Series B Purchase Agreement”), as later amended on July 28, 2020, providing for a private placement of up to 5,647,052 shares of Series B convertible preferred stock. The Company sold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ind w:right="220"/>
        <w:spacing w:after="0" w:line="277" w:lineRule="auto"/>
        <w:rPr>
          <w:sz w:val="20"/>
          <w:szCs w:val="20"/>
          <w:color w:val="auto"/>
        </w:rPr>
      </w:pPr>
      <w:r>
        <w:rPr>
          <w:rFonts w:ascii="Arial" w:cs="Arial" w:eastAsia="Arial" w:hAnsi="Arial"/>
          <w:sz w:val="18"/>
          <w:szCs w:val="18"/>
          <w:color w:val="auto"/>
        </w:rPr>
        <w:t>5,647,048 shares of Series B convertible preferred stock at a price of $17.00 per share in multiple closings in July and August 2020 for gross proceeds of $96.0 million. The majority of investors that participated in the Series B Purchase Agreement were new investors.</w:t>
      </w:r>
    </w:p>
    <w:p>
      <w:pPr>
        <w:spacing w:after="0" w:line="278"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As described above, in connection with the closing of the IPO, all shares of Series A and Series B convertible preferred stock were automatically converted into an aggregate of 17,047,378 shares of common stock with a conversion ratio, which was adjusted for the stock split, of 1.0895 shares of common stock for each share of Series A and Series B convertible preferred stock then outstanding.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stock tranche liability</w:t>
      </w:r>
    </w:p>
    <w:p>
      <w:pPr>
        <w:spacing w:after="0" w:line="337" w:lineRule="exact"/>
        <w:rPr>
          <w:sz w:val="20"/>
          <w:szCs w:val="20"/>
          <w:color w:val="auto"/>
        </w:rPr>
      </w:pPr>
    </w:p>
    <w:p>
      <w:pPr>
        <w:ind w:right="20" w:firstLine="749"/>
        <w:spacing w:after="0" w:line="289" w:lineRule="auto"/>
        <w:rPr>
          <w:sz w:val="20"/>
          <w:szCs w:val="20"/>
          <w:color w:val="auto"/>
        </w:rPr>
      </w:pPr>
      <w:r>
        <w:rPr>
          <w:rFonts w:ascii="Arial" w:cs="Arial" w:eastAsia="Arial" w:hAnsi="Arial"/>
          <w:sz w:val="16"/>
          <w:szCs w:val="16"/>
          <w:color w:val="auto"/>
        </w:rPr>
        <w:t>The Company concluded that the tranche liability met the definition of a freestanding financial instrument, as it was legally detachable and separately exercisable from the initial closing of the Series A convertible preferred stock. The estimated fair value of the tranche liability was determined using a Monte Carlo simulation at the initial issuance date. As of March 4, 2020, the simulations occurred based on the implied aggregate equity value of the Company derived from the Series A convertible preferred stock offering price of $3.00 per share, along with, in part, the following subjective assumptions: risk-free rate of 0.59%, an expected volatility of 80%, the expected term to a liquidity event of 1 year, and a 60% probability of achieving the clinical milestones and timing thereof. Subsequently, the estimated fair value of the tranche liability was determined using a backsolve approach at June 30, 2020, immediately prior to the issuance of the Milestone Shares, which was calculated based on the aggregate equity value of the Company derived from the Series B convertible preferred stock offering price of $17.00 per share. The subsequent remeasurement also considered, in part, a risk-free rate of 0.17%, an expected volatility of 80%, and the expected term to a liquidity event of 0.5 years.</w:t>
      </w:r>
    </w:p>
    <w:p>
      <w:pPr>
        <w:spacing w:after="0" w:line="274" w:lineRule="exact"/>
        <w:rPr>
          <w:sz w:val="20"/>
          <w:szCs w:val="20"/>
          <w:color w:val="auto"/>
        </w:rPr>
      </w:pPr>
    </w:p>
    <w:p>
      <w:pPr>
        <w:ind w:right="140" w:firstLine="749"/>
        <w:spacing w:after="0" w:line="301" w:lineRule="auto"/>
        <w:rPr>
          <w:sz w:val="20"/>
          <w:szCs w:val="20"/>
          <w:color w:val="auto"/>
        </w:rPr>
      </w:pPr>
      <w:r>
        <w:rPr>
          <w:rFonts w:ascii="Arial" w:cs="Arial" w:eastAsia="Arial" w:hAnsi="Arial"/>
          <w:sz w:val="16"/>
          <w:szCs w:val="16"/>
          <w:color w:val="auto"/>
        </w:rPr>
        <w:t>Based on the analysis, the Company recorded a preferred stock tranche liability of $1.1 million at the issue date to account for the obligation to issue the Milestone Shares at a predetermined fixed price at a future settlement date. The Company remeasured the tranche liability at March 31, 2020, resulting in a gain of $0.2 million that was recorded in other income, net in the condensed consolidated statements of operations. The tranche liability was again later remeasured to fair value and reclassified to convertible preferred stock when the remaining Milestone Shares were sold to the investors.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6—Stock-Based Compensation</w:t>
      </w:r>
    </w:p>
    <w:p>
      <w:pPr>
        <w:spacing w:after="0" w:line="121" w:lineRule="exact"/>
        <w:rPr>
          <w:sz w:val="20"/>
          <w:szCs w:val="20"/>
          <w:color w:val="auto"/>
        </w:rPr>
      </w:pPr>
    </w:p>
    <w:p>
      <w:pPr>
        <w:ind w:right="200" w:firstLine="749"/>
        <w:spacing w:after="0" w:line="279" w:lineRule="auto"/>
        <w:rPr>
          <w:sz w:val="20"/>
          <w:szCs w:val="20"/>
          <w:color w:val="auto"/>
        </w:rPr>
      </w:pPr>
      <w:r>
        <w:rPr>
          <w:rFonts w:ascii="Arial" w:cs="Arial" w:eastAsia="Arial" w:hAnsi="Arial"/>
          <w:sz w:val="17"/>
          <w:szCs w:val="17"/>
          <w:color w:val="auto"/>
        </w:rPr>
        <w:t>On July 1, 2020, the Company’s board of directors approved the Existing Plan which permits the granting of incentive stock options, non-statutory stock options, stock appreciation rights, RSAs, RSUs and other stock-based awards to employees, directors, officers and consultants. On July 1, 2020, 3,529,412 shares of common stock were authorized for issuance under the Existing Plan. On September 16, 2020, the Company increased the number of shares of common stock authorized for issuance under the Existing Plan to 3,845,294.</w:t>
      </w:r>
    </w:p>
    <w:p>
      <w:pPr>
        <w:spacing w:after="0" w:line="171" w:lineRule="exact"/>
        <w:rPr>
          <w:sz w:val="20"/>
          <w:szCs w:val="20"/>
          <w:color w:val="auto"/>
        </w:rPr>
      </w:pPr>
    </w:p>
    <w:p>
      <w:pPr>
        <w:ind w:right="20" w:firstLine="749"/>
        <w:spacing w:after="0" w:line="288" w:lineRule="auto"/>
        <w:rPr>
          <w:sz w:val="20"/>
          <w:szCs w:val="20"/>
          <w:color w:val="auto"/>
        </w:rPr>
      </w:pPr>
      <w:r>
        <w:rPr>
          <w:rFonts w:ascii="Arial" w:cs="Arial" w:eastAsia="Arial" w:hAnsi="Arial"/>
          <w:sz w:val="16"/>
          <w:szCs w:val="16"/>
          <w:color w:val="auto"/>
        </w:rPr>
        <w:t>On September 16, 2020, the Company’s stockholders approved the New Plan, which became effective upon the execution of the underwriting agreement in connection with the IPO. The number of shares available for future issuance under the New Plan is the sum of (1) 3,390,168 new shares of common stock, (2) 209,841 remaining shares of common stock reserved under the Existing Plan that became available for issuance upon the effectiveness of the New Plan and (3) the number of shares of common stock subject to outstanding awards under the Existing Plan when the New Plan became effective that thereafter expire or are forfeited, canceled, withheld to satisfy tax withholding or to purchase or exercise an award, repurchased by the Company or are otherwise terminated. At December 31, 2020, there were 2,941,509 shares available for future grant under the New Plan. The number of shares of common stock reserved for issuance under the New Plan will automatically increase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On January 1, 2021 the board of directors increased the number of common stock reserved for issuance under the New Plan by 1,434,934 shares.</w:t>
      </w:r>
    </w:p>
    <w:p>
      <w:pPr>
        <w:spacing w:after="0" w:line="168" w:lineRule="exact"/>
        <w:rPr>
          <w:sz w:val="20"/>
          <w:szCs w:val="20"/>
          <w:color w:val="auto"/>
        </w:rPr>
      </w:pPr>
    </w:p>
    <w:p>
      <w:pPr>
        <w:ind w:firstLine="749"/>
        <w:spacing w:after="0" w:line="254" w:lineRule="auto"/>
        <w:rPr>
          <w:sz w:val="20"/>
          <w:szCs w:val="20"/>
          <w:color w:val="auto"/>
        </w:rPr>
      </w:pPr>
      <w:r>
        <w:rPr>
          <w:rFonts w:ascii="Arial" w:cs="Arial" w:eastAsia="Arial" w:hAnsi="Arial"/>
          <w:sz w:val="18"/>
          <w:szCs w:val="18"/>
          <w:color w:val="auto"/>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Date and ending on (and including) January 1, 2030, in an amount equal to the lesser of (i) one percent (1.0%) of the total number of shares of capital stock outstanding on December 31st of the preceding calendar year, and (ii) 724,000 shares of common stock. No shares have been added to the ESPP as of January 1, 2021 and no issuances have been made under the ESPP as of March 31, 2021.</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00" w:firstLine="749"/>
        <w:spacing w:after="0" w:line="289" w:lineRule="auto"/>
        <w:rPr>
          <w:sz w:val="20"/>
          <w:szCs w:val="20"/>
          <w:color w:val="auto"/>
        </w:rPr>
      </w:pPr>
      <w:r>
        <w:rPr>
          <w:rFonts w:ascii="Arial" w:cs="Arial" w:eastAsia="Arial" w:hAnsi="Arial"/>
          <w:sz w:val="16"/>
          <w:szCs w:val="16"/>
          <w:color w:val="auto"/>
        </w:rPr>
        <w:t>On July 1, 2020, options to purchase 2,896,782 shares of common stock under the Existing Plan were awarded to certain employees and consultants of the Company with an exercise price per share of $0.80, which were expected to vest over a four-year period, all of which were subsequently cancelled (the “Cancelled Options”). The grant date fair value of the Cancelled Options was $13.8 million at the original grant date. In exchange, the Company awarded 2,518,932 RSUs on September 2, 2020, which are expected to vest over a four-year term. The Company accounted for the changes in award terms as a modification in accordance with ASC 718 Compensation – Stock Compensation. The modification was accounted for as an exchange of the original award for a new award with total compensation cost equal to the grant-date fair value of the original award plus any incremental value measured on the modification date. The Company determined that there was no incremental value as the fair value of the original award immediately before the modification was greater than the fair value of the new award immediately after the modification. Accordingly, the Company continues to recognize the remaining compensation cost of the Cancelled Options over the vesting period of the RSUs.</w:t>
      </w:r>
    </w:p>
    <w:p>
      <w:pPr>
        <w:spacing w:after="0" w:line="382" w:lineRule="exact"/>
        <w:rPr>
          <w:sz w:val="20"/>
          <w:szCs w:val="20"/>
          <w:color w:val="auto"/>
        </w:rPr>
      </w:pPr>
    </w:p>
    <w:p>
      <w:pPr>
        <w:ind w:right="400" w:firstLine="749"/>
        <w:spacing w:after="0" w:line="308" w:lineRule="auto"/>
        <w:rPr>
          <w:sz w:val="20"/>
          <w:szCs w:val="20"/>
          <w:color w:val="auto"/>
        </w:rPr>
      </w:pPr>
      <w:r>
        <w:rPr>
          <w:rFonts w:ascii="Arial" w:cs="Arial" w:eastAsia="Arial" w:hAnsi="Arial"/>
          <w:sz w:val="17"/>
          <w:szCs w:val="17"/>
          <w:color w:val="auto"/>
        </w:rPr>
        <w:t>For the three months ended March 31, 2021, 1,621,900 shares of common stock under the New Plan were awarded with a weighted-average grant date fair value per share of $18.75. The stock options vest over four years and have a ten-year contractual term.</w:t>
      </w:r>
    </w:p>
    <w:p>
      <w:pPr>
        <w:spacing w:after="0" w:line="146"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The following weighted-average assumptions were used to estimate the fair value of stock options that were granted during the three months ended March 31, 2021:</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0.64%</w:t>
            </w: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6.1</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Expected volatility</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58"/>
        </w:trPr>
        <w:tc>
          <w:tcPr>
            <w:tcW w:w="8600" w:type="dxa"/>
            <w:vAlign w:val="bottom"/>
            <w:gridSpan w:val="6"/>
          </w:tcPr>
          <w:p>
            <w:pPr>
              <w:ind w:left="760"/>
              <w:spacing w:after="0"/>
              <w:rPr>
                <w:sz w:val="20"/>
                <w:szCs w:val="20"/>
                <w:color w:val="auto"/>
              </w:rPr>
            </w:pPr>
            <w:r>
              <w:rPr>
                <w:rFonts w:ascii="Arial" w:cs="Arial" w:eastAsia="Arial" w:hAnsi="Arial"/>
                <w:sz w:val="18"/>
                <w:szCs w:val="18"/>
                <w:color w:val="auto"/>
                <w:w w:val="97"/>
              </w:rPr>
              <w:t>The following table summarizes stock option activity, during the three months ended March 31, 2021:</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6"/>
        </w:trPr>
        <w:tc>
          <w:tcPr>
            <w:tcW w:w="5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2"/>
        </w:trPr>
        <w:tc>
          <w:tcPr>
            <w:tcW w:w="5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5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56"/>
              <w:spacing w:after="0"/>
              <w:rPr>
                <w:sz w:val="20"/>
                <w:szCs w:val="20"/>
                <w:color w:val="auto"/>
              </w:rPr>
            </w:pPr>
            <w:r>
              <w:rPr>
                <w:rFonts w:ascii="Arial" w:cs="Arial" w:eastAsia="Arial" w:hAnsi="Arial"/>
                <w:sz w:val="14"/>
                <w:szCs w:val="14"/>
                <w:b w:val="1"/>
                <w:bCs w:val="1"/>
                <w:color w:val="auto"/>
                <w:w w:val="99"/>
              </w:rPr>
              <w:t>Intrinsic</w:t>
            </w:r>
          </w:p>
        </w:tc>
      </w:tr>
      <w:tr>
        <w:trPr>
          <w:trHeight w:val="162"/>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Exercise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Contractual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56"/>
              <w:spacing w:after="0"/>
              <w:rPr>
                <w:sz w:val="20"/>
                <w:szCs w:val="20"/>
                <w:color w:val="auto"/>
              </w:rPr>
            </w:pPr>
            <w:r>
              <w:rPr>
                <w:rFonts w:ascii="Arial" w:cs="Arial" w:eastAsia="Arial" w:hAnsi="Arial"/>
                <w:sz w:val="14"/>
                <w:szCs w:val="14"/>
                <w:b w:val="1"/>
                <w:bCs w:val="1"/>
                <w:color w:val="auto"/>
                <w:w w:val="90"/>
              </w:rPr>
              <w:t>Value</w:t>
            </w:r>
          </w:p>
        </w:tc>
      </w:tr>
      <w:tr>
        <w:trPr>
          <w:trHeight w:val="171"/>
        </w:trPr>
        <w:tc>
          <w:tcPr>
            <w:tcW w:w="58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Life (in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(in thousands)</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24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674,842</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20.68</w:t>
            </w:r>
          </w:p>
        </w:tc>
        <w:tc>
          <w:tcPr>
            <w:tcW w:w="1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3,953</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Options granted</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1,621,900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28.81</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cancelled or forfeited</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(10,600)</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26.87</w:t>
            </w:r>
          </w:p>
        </w:tc>
        <w:tc>
          <w:tcPr>
            <w:tcW w:w="1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March 31, 2021</w:t>
            </w: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2,286,142</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26.42</w:t>
            </w:r>
          </w:p>
        </w:tc>
        <w:tc>
          <w:tcPr>
            <w:tcW w:w="14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213</w:t>
            </w: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expected to vest at March 31, 2021</w:t>
            </w: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2,286,142</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26.42</w:t>
            </w:r>
          </w:p>
        </w:tc>
        <w:tc>
          <w:tcPr>
            <w:tcW w:w="14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213</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Options exercisable at March 31, 2021</w:t>
            </w: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27,552</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20.44</w:t>
            </w: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6</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80" w:firstLine="749"/>
        <w:spacing w:after="0" w:line="311" w:lineRule="auto"/>
        <w:rPr>
          <w:sz w:val="20"/>
          <w:szCs w:val="20"/>
          <w:color w:val="auto"/>
        </w:rPr>
      </w:pPr>
      <w:r>
        <w:rPr>
          <w:rFonts w:ascii="Arial" w:cs="Arial" w:eastAsia="Arial" w:hAnsi="Arial"/>
          <w:sz w:val="16"/>
          <w:szCs w:val="16"/>
          <w:color w:val="auto"/>
        </w:rPr>
        <w:t>The aggregate intrinsic value in the above table is calculated as the difference between the fair value of the Company’s common stock as of March 31, 2021 and the exercise price of the stock options. As of March 31, 2021, the total unrecognized compensation related to unvested stock option awards granted was $37.0 million, which the Company expects to recognize over a weighted-average period of approximately 3.7 years.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On September 2, 2020, the Company issued 331,121 RSUs to an employee under the Existing Plan; 25% of the shares of common stock underlying the RSUs vest at each anniversary over a four-year period. The RSUs are subject to a service-based vesting condition. The RSUs were also subject to a liquidity-based performance vesting condition that was met upon the closing of the IPO. The Company at any time may accelerate the vesting of the RSUs. Such shares are not accounted for as outstanding until they vest. As of March 31, 2021, the total unrecognized compensation related to unvested RSUs granted, including the remaining compensation cost associated with the RSUs granted on September 2, 2020 in exchange for the Cancelled Options, was $15.4 million which is expected to be amortized on a straight-line basis over the weighted-average remaining vesting period of approximately 1.7 years. The Company’s RSU activity for the three months ended March 31, 2021 was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7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7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320"/>
              <w:spacing w:after="0"/>
              <w:rPr>
                <w:sz w:val="20"/>
                <w:szCs w:val="20"/>
                <w:color w:val="auto"/>
              </w:rPr>
            </w:pPr>
            <w:r>
              <w:rPr>
                <w:rFonts w:ascii="Arial" w:cs="Arial" w:eastAsia="Arial" w:hAnsi="Arial"/>
                <w:sz w:val="14"/>
                <w:szCs w:val="14"/>
                <w:b w:val="1"/>
                <w:bCs w:val="1"/>
                <w:color w:val="auto"/>
                <w:w w:val="97"/>
              </w:rPr>
              <w:t>Grant Date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4"/>
                <w:szCs w:val="14"/>
                <w:color w:val="auto"/>
              </w:rPr>
            </w:pPr>
          </w:p>
        </w:tc>
        <w:tc>
          <w:tcPr>
            <w:tcW w:w="1420" w:type="dxa"/>
            <w:vAlign w:val="bottom"/>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r>
      <w:tr>
        <w:trPr>
          <w:trHeight w:val="171"/>
        </w:trPr>
        <w:tc>
          <w:tcPr>
            <w:tcW w:w="772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4"/>
                <w:szCs w:val="14"/>
                <w:color w:val="auto"/>
              </w:rPr>
            </w:pPr>
          </w:p>
        </w:tc>
        <w:tc>
          <w:tcPr>
            <w:tcW w:w="142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per Share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January 1, 2021</w:t>
            </w:r>
          </w:p>
        </w:tc>
        <w:tc>
          <w:tcPr>
            <w:tcW w:w="168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2,850,053</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60"/>
              <w:spacing w:after="0"/>
              <w:rPr>
                <w:sz w:val="20"/>
                <w:szCs w:val="20"/>
                <w:color w:val="auto"/>
              </w:rPr>
            </w:pPr>
            <w:r>
              <w:rPr>
                <w:rFonts w:ascii="Arial" w:cs="Arial" w:eastAsia="Arial" w:hAnsi="Arial"/>
                <w:sz w:val="18"/>
                <w:szCs w:val="18"/>
                <w:color w:val="auto"/>
              </w:rPr>
              <w:t>6.37</w:t>
            </w: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Restricted units 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tcPr>
          <w:p>
            <w:pPr>
              <w:jc w:val="right"/>
              <w:ind w:right="6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Nonvested at March 31, 2021</w:t>
            </w:r>
          </w:p>
        </w:tc>
        <w:tc>
          <w:tcPr>
            <w:tcW w:w="16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2,850,053</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8"/>
                <w:szCs w:val="18"/>
                <w:color w:val="auto"/>
              </w:rPr>
              <w:t>6.37</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right="140" w:firstLine="749"/>
        <w:spacing w:after="0" w:line="279" w:lineRule="auto"/>
        <w:rPr>
          <w:sz w:val="20"/>
          <w:szCs w:val="20"/>
          <w:color w:val="auto"/>
        </w:rPr>
      </w:pPr>
      <w:r>
        <w:rPr>
          <w:rFonts w:ascii="Arial" w:cs="Arial" w:eastAsia="Arial" w:hAnsi="Arial"/>
          <w:sz w:val="17"/>
          <w:szCs w:val="17"/>
          <w:color w:val="auto"/>
        </w:rPr>
        <w:t>RA Session II, the Company’s President and Chief Executive Officer, was awarded 769,058 RSAs under the Existing Plan on July 1, 2020, which are expected to vest over a three-year term, subject to continuous employment. As of March 31, 2021, the total unrecognized compensation related to unvested RSAs granted was $3.0 million which is expected to be amortized on a straight-line basis over the weighted-average remaining vesting period of approximately 2.0 years. The fair value of these RSAs at the grant date of July 1, 2020 was $5.28 per share.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RSA activity for the three months ended March 31, 2021 was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7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7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320"/>
              <w:spacing w:after="0"/>
              <w:rPr>
                <w:sz w:val="20"/>
                <w:szCs w:val="20"/>
                <w:color w:val="auto"/>
              </w:rPr>
            </w:pPr>
            <w:r>
              <w:rPr>
                <w:rFonts w:ascii="Arial" w:cs="Arial" w:eastAsia="Arial" w:hAnsi="Arial"/>
                <w:sz w:val="14"/>
                <w:szCs w:val="14"/>
                <w:b w:val="1"/>
                <w:bCs w:val="1"/>
                <w:color w:val="auto"/>
                <w:w w:val="97"/>
              </w:rPr>
              <w:t>Grant Date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4"/>
                <w:szCs w:val="14"/>
                <w:color w:val="auto"/>
              </w:rPr>
            </w:pPr>
          </w:p>
        </w:tc>
        <w:tc>
          <w:tcPr>
            <w:tcW w:w="1420" w:type="dxa"/>
            <w:vAlign w:val="bottom"/>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r>
      <w:tr>
        <w:trPr>
          <w:trHeight w:val="171"/>
        </w:trPr>
        <w:tc>
          <w:tcPr>
            <w:tcW w:w="772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4"/>
                <w:szCs w:val="14"/>
                <w:color w:val="auto"/>
              </w:rPr>
            </w:pPr>
          </w:p>
        </w:tc>
        <w:tc>
          <w:tcPr>
            <w:tcW w:w="1420" w:type="dxa"/>
            <w:vAlign w:val="bottom"/>
          </w:tcPr>
          <w:p>
            <w:pPr>
              <w:jc w:val="center"/>
              <w:ind w:right="300"/>
              <w:spacing w:after="0"/>
              <w:rPr>
                <w:sz w:val="20"/>
                <w:szCs w:val="20"/>
                <w:color w:val="auto"/>
              </w:rPr>
            </w:pPr>
            <w:r>
              <w:rPr>
                <w:rFonts w:ascii="Arial" w:cs="Arial" w:eastAsia="Arial" w:hAnsi="Arial"/>
                <w:sz w:val="14"/>
                <w:szCs w:val="14"/>
                <w:b w:val="1"/>
                <w:bCs w:val="1"/>
                <w:color w:val="auto"/>
                <w:w w:val="92"/>
              </w:rPr>
              <w:t>per Share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2020</w:t>
            </w:r>
          </w:p>
        </w:tc>
        <w:tc>
          <w:tcPr>
            <w:tcW w:w="168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769,058</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ind w:right="60"/>
              <w:spacing w:after="0"/>
              <w:rPr>
                <w:sz w:val="20"/>
                <w:szCs w:val="20"/>
                <w:color w:val="auto"/>
              </w:rPr>
            </w:pPr>
            <w:r>
              <w:rPr>
                <w:rFonts w:ascii="Arial" w:cs="Arial" w:eastAsia="Arial" w:hAnsi="Arial"/>
                <w:sz w:val="18"/>
                <w:szCs w:val="18"/>
                <w:color w:val="auto"/>
              </w:rPr>
              <w:t>5.28</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Restricted stock 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Nonvested at March 31, 2021</w:t>
            </w:r>
          </w:p>
        </w:tc>
        <w:tc>
          <w:tcPr>
            <w:tcW w:w="16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769,058</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8"/>
                <w:szCs w:val="18"/>
                <w:color w:val="auto"/>
              </w:rPr>
              <w:t>5.28</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for the stock options, RSAs and RSUs recorded in the condensed consolidated statements of operations for the three months ended March 31, 2021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jc w:val="right"/>
              <w:ind w:right="297"/>
              <w:spacing w:after="0"/>
              <w:rPr>
                <w:sz w:val="20"/>
                <w:szCs w:val="20"/>
                <w:color w:val="auto"/>
              </w:rPr>
            </w:pPr>
            <w:r>
              <w:rPr>
                <w:rFonts w:ascii="Arial" w:cs="Arial" w:eastAsia="Arial" w:hAnsi="Arial"/>
                <w:sz w:val="14"/>
                <w:szCs w:val="14"/>
                <w:b w:val="1"/>
                <w:bCs w:val="1"/>
                <w:color w:val="auto"/>
                <w:w w:val="99"/>
              </w:rPr>
              <w:t>For the Three Months</w:t>
            </w:r>
          </w:p>
        </w:tc>
      </w:tr>
      <w:tr>
        <w:trPr>
          <w:trHeight w:val="171"/>
        </w:trPr>
        <w:tc>
          <w:tcPr>
            <w:tcW w:w="9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8"/>
              </w:rPr>
              <w:t>Ended March 31, 2021</w:t>
            </w:r>
          </w:p>
        </w:tc>
      </w:tr>
      <w:tr>
        <w:trPr>
          <w:trHeight w:val="223"/>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1,579</w:t>
            </w:r>
          </w:p>
        </w:tc>
      </w:tr>
      <w:tr>
        <w:trPr>
          <w:trHeight w:val="230"/>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2,015</w:t>
            </w:r>
          </w:p>
        </w:tc>
      </w:tr>
      <w:tr>
        <w:trPr>
          <w:trHeight w:val="223"/>
        </w:trPr>
        <w:tc>
          <w:tcPr>
            <w:tcW w:w="92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3,594</w:t>
            </w:r>
          </w:p>
        </w:tc>
      </w:tr>
      <w:tr>
        <w:trPr>
          <w:trHeight w:val="20"/>
        </w:trPr>
        <w:tc>
          <w:tcPr>
            <w:tcW w:w="9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7—Net Loss Per Common Share</w:t>
      </w:r>
    </w:p>
    <w:p>
      <w:pPr>
        <w:spacing w:after="0" w:line="121"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Basic net loss per common share is computed by dividing net loss attributable to common stockholders by the weighted-average number of shares of common stock outstanding for the period. Since the Company had a net loss in all periods presented, basic and diluted net loss per common share are the same.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ind w:left="760"/>
        <w:spacing w:after="0"/>
        <w:rPr>
          <w:sz w:val="20"/>
          <w:szCs w:val="20"/>
          <w:color w:val="auto"/>
        </w:rPr>
      </w:pPr>
      <w:r>
        <w:rPr>
          <w:rFonts w:ascii="Arial" w:cs="Arial" w:eastAsia="Arial" w:hAnsi="Arial"/>
          <w:sz w:val="16"/>
          <w:szCs w:val="16"/>
          <w:color w:val="auto"/>
        </w:rPr>
        <w:t>The following table represents the calculation of basic and diluted net loss per common share (in thousands, except share and per share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gridSpan w:val="3"/>
          </w:tcPr>
          <w:p>
            <w:pPr>
              <w:jc w:val="right"/>
              <w:ind w:right="47"/>
              <w:spacing w:after="0"/>
              <w:rPr>
                <w:sz w:val="20"/>
                <w:szCs w:val="20"/>
                <w:color w:val="auto"/>
              </w:rPr>
            </w:pPr>
            <w:r>
              <w:rPr>
                <w:rFonts w:ascii="Arial" w:cs="Arial" w:eastAsia="Arial" w:hAnsi="Arial"/>
                <w:sz w:val="14"/>
                <w:szCs w:val="14"/>
                <w:b w:val="1"/>
                <w:bCs w:val="1"/>
                <w:color w:val="auto"/>
              </w:rPr>
              <w:t>For the Three Months</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gridSpan w:val="3"/>
          </w:tcPr>
          <w:p>
            <w:pPr>
              <w:jc w:val="right"/>
              <w:ind w:right="187"/>
              <w:spacing w:after="0"/>
              <w:rPr>
                <w:sz w:val="20"/>
                <w:szCs w:val="20"/>
                <w:color w:val="auto"/>
              </w:rPr>
            </w:pPr>
            <w:r>
              <w:rPr>
                <w:rFonts w:ascii="Arial" w:cs="Arial" w:eastAsia="Arial" w:hAnsi="Arial"/>
                <w:sz w:val="14"/>
                <w:szCs w:val="14"/>
                <w:b w:val="1"/>
                <w:bCs w:val="1"/>
                <w:color w:val="auto"/>
              </w:rPr>
              <w:t>Ended March 31,</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740" w:type="dxa"/>
            <w:vAlign w:val="bottom"/>
            <w:tcBorders>
              <w:bottom w:val="single" w:sz="8" w:color="CFF0FC"/>
            </w:tcBorders>
          </w:tcPr>
          <w:p>
            <w:pPr>
              <w:spacing w:after="0"/>
              <w:rPr>
                <w:sz w:val="14"/>
                <w:szCs w:val="14"/>
                <w:color w:val="auto"/>
              </w:rPr>
            </w:pPr>
          </w:p>
        </w:tc>
        <w:tc>
          <w:tcPr>
            <w:tcW w:w="68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6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(32,024)</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w w:val="98"/>
              </w:rPr>
              <w:t>Weighted-average shares of common stock outstanding used to compute net loss per</w:t>
            </w:r>
          </w:p>
        </w:tc>
        <w:tc>
          <w:tcPr>
            <w:tcW w:w="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common share, basic and diluted</w:t>
            </w:r>
          </w:p>
        </w:tc>
        <w:tc>
          <w:tcPr>
            <w:tcW w:w="68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36,992,377</w:t>
            </w:r>
          </w:p>
        </w:tc>
        <w:tc>
          <w:tcPr>
            <w:tcW w:w="160" w:type="dxa"/>
            <w:vAlign w:val="bottom"/>
            <w:tcBorders>
              <w:bottom w:val="single" w:sz="8" w:color="CFF0FC"/>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10,894,999</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common share, basic and diluted</w:t>
            </w:r>
          </w:p>
        </w:tc>
        <w:tc>
          <w:tcPr>
            <w:tcW w:w="6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749"/>
        <w:spacing w:after="0" w:line="224" w:lineRule="exact"/>
        <w:rPr>
          <w:sz w:val="20"/>
          <w:szCs w:val="20"/>
          <w:color w:val="auto"/>
        </w:rPr>
      </w:pPr>
      <w:r>
        <w:rPr>
          <w:rFonts w:ascii="Arial" w:cs="Arial" w:eastAsia="Arial" w:hAnsi="Arial"/>
          <w:sz w:val="17"/>
          <w:szCs w:val="17"/>
          <w:color w:val="auto"/>
        </w:rPr>
        <w:t>The following common stock equivalents outstanding as of March 31, 2021 and 2020 were excluded from the computation of diluted net loss per share attributable to common stockholders for the periods presented because including them would have been anti</w:t>
      </w:r>
      <w:r>
        <w:rPr>
          <w:rFonts w:ascii="MS PGothic" w:cs="MS PGothic" w:eastAsia="MS PGothic" w:hAnsi="MS PGothic"/>
          <w:sz w:val="17"/>
          <w:szCs w:val="17"/>
          <w:color w:val="auto"/>
        </w:rPr>
        <w:t>‑</w:t>
      </w:r>
      <w:r>
        <w:rPr>
          <w:rFonts w:ascii="Arial" w:cs="Arial" w:eastAsia="Arial" w:hAnsi="Arial"/>
          <w:sz w:val="17"/>
          <w:szCs w:val="17"/>
          <w:color w:val="auto"/>
        </w:rPr>
        <w:t>dilutive:</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86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 2021</w:t>
            </w:r>
          </w:p>
        </w:tc>
        <w:tc>
          <w:tcPr>
            <w:tcW w:w="15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2020</w:t>
            </w: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2,850,053</w:t>
            </w:r>
          </w:p>
        </w:tc>
        <w:tc>
          <w:tcPr>
            <w:tcW w:w="2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Unvested RSAs</w:t>
            </w:r>
          </w:p>
        </w:tc>
        <w:tc>
          <w:tcPr>
            <w:tcW w:w="1580" w:type="dxa"/>
            <w:vAlign w:val="bottom"/>
          </w:tcPr>
          <w:p>
            <w:pPr>
              <w:jc w:val="right"/>
              <w:spacing w:after="0"/>
              <w:rPr>
                <w:sz w:val="20"/>
                <w:szCs w:val="20"/>
                <w:color w:val="auto"/>
              </w:rPr>
            </w:pPr>
            <w:r>
              <w:rPr>
                <w:rFonts w:ascii="Arial" w:cs="Arial" w:eastAsia="Arial" w:hAnsi="Arial"/>
                <w:sz w:val="18"/>
                <w:szCs w:val="18"/>
                <w:color w:val="auto"/>
              </w:rPr>
              <w:t>769,058</w:t>
            </w:r>
          </w:p>
        </w:tc>
        <w:tc>
          <w:tcPr>
            <w:tcW w:w="2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2,286,142</w:t>
            </w: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5,905,253</w:t>
            </w:r>
          </w:p>
        </w:tc>
        <w:tc>
          <w:tcPr>
            <w:tcW w:w="28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8—Related Party Transactions</w:t>
      </w:r>
    </w:p>
    <w:p>
      <w:pPr>
        <w:spacing w:after="0" w:line="121" w:lineRule="exact"/>
        <w:rPr>
          <w:sz w:val="20"/>
          <w:szCs w:val="20"/>
          <w:color w:val="auto"/>
        </w:rPr>
      </w:pPr>
    </w:p>
    <w:p>
      <w:pPr>
        <w:ind w:right="80" w:firstLine="749"/>
        <w:spacing w:after="0" w:line="296" w:lineRule="auto"/>
        <w:rPr>
          <w:sz w:val="20"/>
          <w:szCs w:val="20"/>
          <w:color w:val="auto"/>
        </w:rPr>
      </w:pPr>
      <w:r>
        <w:rPr>
          <w:rFonts w:ascii="Arial" w:cs="Arial" w:eastAsia="Arial" w:hAnsi="Arial"/>
          <w:sz w:val="16"/>
          <w:szCs w:val="16"/>
          <w:color w:val="auto"/>
        </w:rPr>
        <w:t>RA Session II, President and Chief Executive Officer and a member of the Company’s board of directors, was a guarantor under the Guaranty and Security Agreement between himself, Queen’s and the Company, and in the event of the Company’s failure to fund its obligations under the RGA with Queen’s, had personally guaranteed payments due by the Company to Queen’s. In addition, the Company entered into two secured promissory notes with Mr. Session in January 2020 for an aggregate of $1.67 million, with 10% interest. The Company secured the notes with a first priority security interest in certain assets of the Company. During March 2020, the Company repaid $1.65 million of the notes, and the remaining balance was repaid in July 2020.</w:t>
      </w:r>
    </w:p>
    <w:p>
      <w:pPr>
        <w:spacing w:after="0" w:line="377" w:lineRule="exact"/>
        <w:rPr>
          <w:sz w:val="20"/>
          <w:szCs w:val="20"/>
          <w:color w:val="auto"/>
        </w:rPr>
      </w:pPr>
    </w:p>
    <w:p>
      <w:pPr>
        <w:ind w:right="60" w:firstLine="749"/>
        <w:spacing w:after="0" w:line="290" w:lineRule="auto"/>
        <w:rPr>
          <w:sz w:val="20"/>
          <w:szCs w:val="20"/>
          <w:color w:val="auto"/>
        </w:rPr>
      </w:pPr>
      <w:r>
        <w:rPr>
          <w:rFonts w:ascii="Arial" w:cs="Arial" w:eastAsia="Arial" w:hAnsi="Arial"/>
          <w:sz w:val="16"/>
          <w:szCs w:val="16"/>
          <w:color w:val="auto"/>
        </w:rPr>
        <w:t>In March 2020, the Company entered into a services agreement with PBM Capital Group, LLC (“PBM”), an affiliate of PBM TGT Holdings, LLC whereby PBM provides accounting and other administrative and management services related to payroll administration, human resources, bookkeeping, preparation of financial statements and tax returns, accounts payable and receivable, and other similar functions for a fee of $2,500 per month. Paul B. Manning, a member of the Company’s board of directors and a holder of more than 5% of the Company’s capital stock, is the Chief Executive Officer of PBM Capital Group, LLC and has sole voting and investment power with respect to the shares held by PBM TGT Holdings, LLC. In September 2020, PBM TGT Holdings, LLC distributed all of the shares of Series A convertible preferred stock it previously held to its beneficial owners, including Mr. Manning and entities controlled by Mr. Manning, for no additional consideration in accordance with the terms of its operating agreement. As of March 31, 2021, and December 31, 2020, the Company had recorded an immaterial amount due to PBM in the consolidated balance sheets.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337"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There is no provision for income taxes because the Company has incurred operating losses and capitalized certain items for income tax purposes since its inception and maintains a full valuation allowance against its net deferred tax assets.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420"/>
        <w:spacing w:after="0" w:line="277" w:lineRule="auto"/>
        <w:rPr>
          <w:sz w:val="20"/>
          <w:szCs w:val="20"/>
          <w:color w:val="auto"/>
        </w:rPr>
      </w:pPr>
      <w:r>
        <w:rPr>
          <w:rFonts w:ascii="Arial" w:cs="Arial" w:eastAsia="Arial" w:hAnsi="Arial"/>
          <w:sz w:val="18"/>
          <w:szCs w:val="18"/>
          <w:color w:val="auto"/>
        </w:rPr>
        <w:t>reported amount of income tax expense for the period differs from the amount that would result from applying the federal statutory tax rate to net loss before taxes primarily because of the change in valuation allowance.</w:t>
      </w:r>
    </w:p>
    <w:p>
      <w:pPr>
        <w:spacing w:after="0" w:line="170"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As of March 31, 2021, there were no material changes to either the nature or the amounts of the uncertain tax positions previously determined for the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80" w:firstLine="749"/>
        <w:spacing w:after="0" w:line="308" w:lineRule="auto"/>
        <w:rPr>
          <w:sz w:val="20"/>
          <w:szCs w:val="20"/>
          <w:color w:val="auto"/>
        </w:rPr>
      </w:pPr>
      <w:r>
        <w:rPr>
          <w:rFonts w:ascii="Arial" w:cs="Arial" w:eastAsia="Arial" w:hAnsi="Arial"/>
          <w:sz w:val="17"/>
          <w:szCs w:val="17"/>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ind w:right="380" w:firstLine="749"/>
        <w:spacing w:after="0" w:line="263"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The Company’s maximum exposure under these arrangements is unknown at March 31, 2021. The Company does not anticipate recognizing any significant losses relating to these arrangements.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Durham Lease</w:t>
      </w:r>
    </w:p>
    <w:p>
      <w:pPr>
        <w:spacing w:after="0" w:line="229"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is expected to have a term of approximately fifteen years and six months. The Company has two options to extend the term of the Durham Lease, each for a period of an additional five years.</w:t>
      </w:r>
    </w:p>
    <w:p>
      <w:pPr>
        <w:spacing w:after="0" w:line="188"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The Company was not required to provide a security deposit in connection with its entry into the Durham Lease. The Company will be responsible for constructing interior improvements within the Facility. The Durham Landlord has the right to terminate the Durham Lease upon specified events of default, including the Company’s failure to pay rent in a timely manner and upon the occurrence of certain events of insolvency with respect to the Company.</w:t>
      </w:r>
    </w:p>
    <w:p>
      <w:pPr>
        <w:spacing w:after="0" w:line="187" w:lineRule="exact"/>
        <w:rPr>
          <w:sz w:val="20"/>
          <w:szCs w:val="20"/>
          <w:color w:val="auto"/>
        </w:rPr>
      </w:pPr>
    </w:p>
    <w:p>
      <w:pPr>
        <w:ind w:right="200" w:firstLine="749"/>
        <w:spacing w:after="0" w:line="286" w:lineRule="auto"/>
        <w:rPr>
          <w:sz w:val="20"/>
          <w:szCs w:val="20"/>
          <w:color w:val="auto"/>
        </w:rPr>
      </w:pPr>
      <w:r>
        <w:rPr>
          <w:rFonts w:ascii="Arial" w:cs="Arial" w:eastAsia="Arial" w:hAnsi="Arial"/>
          <w:sz w:val="17"/>
          <w:szCs w:val="17"/>
          <w:color w:val="auto"/>
        </w:rPr>
        <w:t>The Company may terminate the Durham Lease if construction of the base building shell of the Facility is not complete by May 16, 2021. The Company incurred initial direct costs to enter into the Durham Lease of approximately $0.8 million. The costs have been recorded on the consolidated balance sheets as a deferred lease asset and will be amortized into earnings over the term of the Durham Lease.</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Dallas Lease</w:t>
      </w:r>
    </w:p>
    <w:p>
      <w:pPr>
        <w:spacing w:after="0" w:line="229"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On January 11, 2021, the Company entered into a lease agreement (the “Dallas Lease”) with Pegasus Park, LLC, a Delaware limited liability company (the “Dallas Landlord”), pursuant to which the Company will lease approximately 15,000 square feet of office space at 3000 Pegasus Park Drive, Dallas, Texas 75247 (the “Office Space”).</w:t>
      </w:r>
    </w:p>
    <w:p>
      <w:pPr>
        <w:spacing w:after="0" w:line="359"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The Lease commences on the date on which certain improvements to the Office Space have been made and the Office Space is tendered to the Company for possession, which the Company and the Dallas Landlord presently anticipate to be delivered on or about May 15, 2021, and will have a term of approximately ten years. The Company has an option to extend the term of the Lease for one additional period of five years. The Company’s obligation for the payment of base rent for the Office Space will initially be approximately $32,500 per month and will increase annually, up to an estimated monthly base rent of $50,000 during the term of the Lease. The Company is obligated to pay operating costs and utilities applicable to the Office Space. The Company was required to provide a security deposit of $32,500 in connection with its entry into the Lease. Total future minimum lease payments under the Dallas Lease over the initial 10 year term are approximately $4.9 million. The Company will be responsible for costs of constructing interior improvements within the Office Space that exceed a construction allowance provided by the Dallas Landlord not to exceed $40.00 per rentable square foot.</w:t>
      </w:r>
    </w:p>
    <w:p>
      <w:pPr>
        <w:spacing w:after="0" w:line="165"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Company has a right of first refusal with respect to certain additional adjacent office space before the Dallas Landlord accepts any offer for such space.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8" w:name="page19"/>
    <w:bookmarkEnd w:id="18"/>
    <w:p>
      <w:pPr>
        <w:ind w:right="180" w:firstLine="749"/>
        <w:spacing w:after="0" w:line="259" w:lineRule="auto"/>
        <w:rPr>
          <w:sz w:val="20"/>
          <w:szCs w:val="20"/>
          <w:color w:val="auto"/>
        </w:rPr>
      </w:pPr>
      <w:r>
        <w:rPr>
          <w:rFonts w:ascii="Arial" w:cs="Arial" w:eastAsia="Arial" w:hAnsi="Arial"/>
          <w:sz w:val="18"/>
          <w:szCs w:val="18"/>
          <w:color w:val="auto"/>
        </w:rPr>
        <w:t>The Landlord has the right to terminate the Lease, or the Company’s right to possess the Office Space without terminating the Lease, upon specified events of default, including the Company’s failure to pay rent in a timely manner and upon the occurrence of certain events of insolvency with respect to the Company. The Company may terminate the Lease if the Office Space is not delivered will all improvements to be made by the Landlord pursuant to the Lease substantially completed by May 31, 2021.</w:t>
      </w:r>
    </w:p>
    <w:p>
      <w:pPr>
        <w:spacing w:after="0" w:line="187"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As of March 31, 2021, the Company recognized approximately $0.6 million of lease construction incentive based on the construction allowance provided. The construction incentive has been recorded on the consolidated balance sheets as a deferred lease incentive obligation and will be amortized into earnings as a deduction of rent expense over the term of the Dallas Lease.</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2020 and the related Management’s Discussion and Analysis of Financial Condition and Results of Operations, included in our Annual Report on Form 10-K for the year ended December 31, 2020, or Annual Report, filed with the Securities and Exchange Commission, or the SEC, on March 3, 2021. Unless the context requires otherwise, references in this Quarterly Report on Form 10-Q to “we,” “us,” and “our” refer to Taysha Gene Therapies, Inc. together with its consolidated subsidiaries.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749"/>
        <w:spacing w:after="0" w:line="287" w:lineRule="auto"/>
        <w:rPr>
          <w:sz w:val="20"/>
          <w:szCs w:val="20"/>
          <w:color w:val="auto"/>
        </w:rPr>
      </w:pPr>
      <w:r>
        <w:rPr>
          <w:rFonts w:ascii="Arial" w:cs="Arial" w:eastAsia="Arial" w:hAnsi="Arial"/>
          <w:sz w:val="16"/>
          <w:szCs w:val="16"/>
          <w:i w:val="1"/>
          <w:iCs w:val="1"/>
          <w:color w:val="auto"/>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our Annual Report. The forward-looking statements are applicable only as of the date on which they are made, and we do not assume any obligation to update any forward-looking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w:t>
      </w:r>
    </w:p>
    <w:p>
      <w:pPr>
        <w:spacing w:after="0" w:line="243" w:lineRule="exact"/>
        <w:rPr>
          <w:sz w:val="20"/>
          <w:szCs w:val="20"/>
          <w:color w:val="auto"/>
        </w:rPr>
      </w:pPr>
    </w:p>
    <w:p>
      <w:pPr>
        <w:ind w:right="560" w:firstLine="749"/>
        <w:spacing w:after="0" w:line="277" w:lineRule="auto"/>
        <w:rPr>
          <w:sz w:val="20"/>
          <w:szCs w:val="20"/>
          <w:color w:val="auto"/>
        </w:rPr>
      </w:pPr>
      <w:r>
        <w:rPr>
          <w:rFonts w:ascii="Arial" w:cs="Arial" w:eastAsia="Arial" w:hAnsi="Arial"/>
          <w:sz w:val="18"/>
          <w:szCs w:val="18"/>
          <w:color w:val="auto"/>
        </w:rPr>
        <w:t>All brand names or trademarks appearing in this report are the property of their respective holders. Unless the context requires otherwise, references in this report to the “Company,” “we,” “us,” and “our” refer to Taysha Gene Therapies, Inc.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color w:val="auto"/>
        </w:rPr>
        <w:t>We are a patient-centric gene therapy company focused on developing and commercializing AAV-based gene therapies for the treatment of monogenic diseases of the central nervous system, or CNS,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26 gene therapy product candidates, with exclusive options to acquire four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We recently acquired exclusive worldwide rights to a clinical-stage, intrathecally dosed AAV9 gene therapy program, now known as TSHA-120, for the treatment of giant axonal neuropathy, or GAN. A Phase 1/2 clinical trial of TSHA-120 is being conducted by the National Institutes of Health under an accepted investigational new drug application, or IND, and we expect to provide a regulatory and clinical update by the end of 2021. A Phase 1/2 clinical trial of TSHA-101 was initiated by Queen’s University at Kingston, or Queen’s University, under an accepted Clinical Trial Application, or CTA, in Canada, and Queen’s University expects to report preliminary safety and biomarker data in the second half of 2021 and preliminary clinical data by the end of 2021. We plan to submit an IND for TSHA-101 for the treatment of GM2 gangliosidosis to the U.S. Food and Drug Administration, or FDA, and initiate a Phase 1/2 clinical trial in the United States, each in the second half of 2021. In addition, we plan to submit INDs / CTAs for each of TSHA-102 in Rett syndrome and TSHA-104 in SURF1-associated Leigh syndrome in the second half of 2021 and one of the following programs in 2021: TSHA-103 in SLC6A1 haploinsufficiency, TSHA-105 in SLC13A5 deficiency, TSHA-111-LAFORIN and TSHA-111-MALIN for two different forms of Lafora disease, TSHA-112 in APBD and TSHA-119 in GM2 AB variant. We are also developing TSHA-118 for the treatment of CLN1 disease (one of the forms of Batten disease) and intend to initiate a Phase 1/2 clinical trial of TSHA-118 in the second half of 2021 under a currently open IND. In addition to our product pipeline candidates, we are building a platform of next-generation technologies to optimize key components of our AAV-based gene therapies, including redosing, transgene regulation and capsid development.</w:t>
      </w:r>
    </w:p>
    <w:p>
      <w:pPr>
        <w:spacing w:after="0" w:line="61"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We have a limited operating history. Since our inception, our operations have focused on organizing and staffing our company, business planning, raising capital and entering into collaboration agreements for conducting preclinical research and development activities for our product candidates. All of our lead product candidates are still in the clinical or preclinical development stage. We do not have any product candidates approved for sale and have not generated any revenue from product sales. We have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0" w:name="page21"/>
    <w:bookmarkEnd w:id="20"/>
    <w:p>
      <w:pPr>
        <w:ind w:right="500"/>
        <w:spacing w:after="0" w:line="277" w:lineRule="auto"/>
        <w:rPr>
          <w:sz w:val="20"/>
          <w:szCs w:val="20"/>
          <w:color w:val="auto"/>
        </w:rPr>
      </w:pPr>
      <w:r>
        <w:rPr>
          <w:rFonts w:ascii="Arial" w:cs="Arial" w:eastAsia="Arial" w:hAnsi="Arial"/>
          <w:sz w:val="18"/>
          <w:szCs w:val="18"/>
          <w:color w:val="auto"/>
        </w:rPr>
        <w:t>funded our operations through the sale of equity, raising an aggregate of $307.0 million of gross proceeds from our initial public offering and private placements of our convertible preferred stock.</w:t>
      </w:r>
    </w:p>
    <w:p>
      <w:pPr>
        <w:spacing w:after="0" w:line="278"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Since our inception, we have incurred significant operating losses. Our net losses were $32.0 million for the three months ended March 31, 2021 and $5.4 million for the three months ended March 31, 2020. As of March 31, 2021, we had an accumulated deficit of $93.2 million. We expect to continue to incur significant expenses and operating losses for the foreseeable future. We anticipate that our expenses will increase significantly in connection with our ongoing activities, as we:</w:t>
      </w:r>
    </w:p>
    <w:p>
      <w:pPr>
        <w:spacing w:after="0" w:line="79"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advance the preclinical and clinical development of our product candidates and preclinical and discovery programs;</w:t>
      </w:r>
    </w:p>
    <w:p>
      <w:pPr>
        <w:spacing w:after="0" w:line="117" w:lineRule="exact"/>
        <w:rPr>
          <w:rFonts w:ascii="Arial" w:cs="Arial" w:eastAsia="Arial" w:hAnsi="Arial"/>
          <w:sz w:val="18"/>
          <w:szCs w:val="18"/>
          <w:color w:val="auto"/>
        </w:rPr>
      </w:pPr>
    </w:p>
    <w:p>
      <w:pPr>
        <w:ind w:left="1120" w:right="34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our ongoing clinical trial of TSHA-101 and TSHA-120, as well as initiate and complete additional clinical trials of TSHA-101, TSHA-118, TSHA-102, TSHA-104 and any other current and future product candidates that we advance;</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develop our gene therapy product candidate pipeline and next-generation platforms;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scale up our clinical and regulatory capabilities;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manufacture current Good Manufacturing Practice, or cGMP material for clinical trials or potential commercial sales;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and validate a commercial-scale cGMP manufacturing facility;</w:t>
      </w:r>
    </w:p>
    <w:p>
      <w:pPr>
        <w:spacing w:after="0" w:line="117" w:lineRule="exact"/>
        <w:rPr>
          <w:rFonts w:ascii="Arial" w:cs="Arial" w:eastAsia="Arial" w:hAnsi="Arial"/>
          <w:sz w:val="18"/>
          <w:szCs w:val="18"/>
          <w:color w:val="auto"/>
        </w:rPr>
      </w:pPr>
    </w:p>
    <w:p>
      <w:pPr>
        <w:ind w:left="1120" w:right="6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regulatory, manufacturing and scientific and administrative personnel;</w:t>
      </w:r>
    </w:p>
    <w:p>
      <w:pPr>
        <w:spacing w:after="0" w:line="117"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We are advancing a deep and sustainable product portfolio of 26 gene therapy product candidates for monogenic diseases of the CNS in both rare and large patient populations, with exclusive options to acquire four additional development programs at no cost. Our portfolio of gene therapy candidates targets broad neurological indications across three distinct therapeutic categories: neurodegenerative diseases, neurodevelopmental disorders and genetic epilepsies. Our current pipeline, including the stage of development of each of our product candidates, is represented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245745</wp:posOffset>
            </wp:positionV>
            <wp:extent cx="6163310" cy="3103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6331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In March 2021, we acquired the exclusive worldwide rights to a clinical-stage AAV9 gene therapy program, now known as TSHA-120, for the treatment of GAN, pursuant to a license agreement with Hannah’s Hope Fund for Giant Axonal Neuropathy, Inc., or HHF. Under the terms of the agreement, HHF will receive an upfront payment of $5.5 million and will be eligible to receive clinical, regulatory and commercial milestones totaling up to $19.3 million, as well as a low, single-digit royalty on net sales upon commercialization of TSHA-120.</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TSHA-120 for Giant Axonal Neuropathy</w:t>
      </w:r>
    </w:p>
    <w:p>
      <w:pPr>
        <w:spacing w:after="0" w:line="117" w:lineRule="exact"/>
        <w:rPr>
          <w:sz w:val="20"/>
          <w:szCs w:val="20"/>
          <w:color w:val="auto"/>
        </w:rPr>
      </w:pPr>
    </w:p>
    <w:p>
      <w:pPr>
        <w:ind w:right="40" w:firstLine="749"/>
        <w:spacing w:after="0" w:line="286" w:lineRule="auto"/>
        <w:rPr>
          <w:sz w:val="20"/>
          <w:szCs w:val="20"/>
          <w:color w:val="auto"/>
        </w:rPr>
      </w:pPr>
      <w:r>
        <w:rPr>
          <w:rFonts w:ascii="Arial" w:cs="Arial" w:eastAsia="Arial" w:hAnsi="Arial"/>
          <w:sz w:val="17"/>
          <w:szCs w:val="17"/>
          <w:color w:val="auto"/>
        </w:rPr>
        <w:t>We recently acquired exclusive worldwide rights to a clinical-stage, intrathecally dosed AAV9 gene therapy program, now known as TSHA-120, for the treatment of giant axonal neuropathy, or GAN. GAN is a rare autosomal recessive disease of the central and peripheral nervous systems caused by loss-of-function gigaxonin gene mutations. The estimated prevalence of GAN is 2,400 patients in the Unites States and European Union.</w:t>
      </w:r>
    </w:p>
    <w:p>
      <w:pPr>
        <w:spacing w:after="0" w:line="273"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Symptoms and features of children with GAN usually develop around the age of five years and include an abnormal, wide based, unsteady gait, weakness and some sensory loss. There is often associated dull, tightly curled, coarse hair, giant axons seen on a nerve biopsy, and spinal cord atrophy and white matter abnormality seen on MRI. Symptoms progress and as the children grow older they develop progressive scoliosis and contractures, their weakness progresses to the point where they will need a wheelchair for mobility, respiratory muscle strength diminishes to the point where the child will need a ventilator (usually in the early to mid teens) and the children often die during their late teens or early twenties, typically due to respiratory failure. There is an early- and late-onset phenotype associated with the disease, with shared physiology. The late-onset phenotype is often categorized as Charcot-Marie-Tooth Type 2, or CMT2, with a lack of tightly curled hair and CNS symptoms with relatively slow progression of disease. This phenotype represents up to 6% of all CMT2 diagnosis. In the late-onset population, patients have poor quality of life but the disease is not life-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2" w:name="page23"/>
    <w:bookmarkEnd w:id="22"/>
    <w:p>
      <w:pPr>
        <w:ind w:right="80"/>
        <w:spacing w:after="0" w:line="277" w:lineRule="auto"/>
        <w:rPr>
          <w:sz w:val="20"/>
          <w:szCs w:val="20"/>
          <w:color w:val="auto"/>
        </w:rPr>
      </w:pPr>
      <w:r>
        <w:rPr>
          <w:rFonts w:ascii="Arial" w:cs="Arial" w:eastAsia="Arial" w:hAnsi="Arial"/>
          <w:sz w:val="18"/>
          <w:szCs w:val="18"/>
          <w:color w:val="auto"/>
        </w:rPr>
        <w:t>limiting. In early-onset disease, symptomatic treatments attempt to maximize physical development and minimize the rate of deterioration. Currently, there are no approved disease-modifying treatments available.</w:t>
      </w:r>
    </w:p>
    <w:p>
      <w:pPr>
        <w:spacing w:after="0" w:line="278" w:lineRule="exact"/>
        <w:rPr>
          <w:sz w:val="20"/>
          <w:szCs w:val="20"/>
          <w:color w:val="auto"/>
        </w:rPr>
      </w:pPr>
    </w:p>
    <w:p>
      <w:pPr>
        <w:jc w:val="both"/>
        <w:ind w:right="280" w:firstLine="749"/>
        <w:spacing w:after="0" w:line="263" w:lineRule="auto"/>
        <w:rPr>
          <w:sz w:val="20"/>
          <w:szCs w:val="20"/>
          <w:color w:val="auto"/>
        </w:rPr>
      </w:pPr>
      <w:r>
        <w:rPr>
          <w:rFonts w:ascii="Arial" w:cs="Arial" w:eastAsia="Arial" w:hAnsi="Arial"/>
          <w:sz w:val="18"/>
          <w:szCs w:val="18"/>
          <w:color w:val="auto"/>
        </w:rPr>
        <w:t>TSHA-120 is an AAV9 self-complementary viral vector encoding the full length human gigaxonin protein. The construct was invented by Dr. Steven Gray and is the first AAV9 gene therapy candidate to deliver a functional copy of the GAN gene under the control of a JeT promoter that drives ubiquitous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400050</wp:posOffset>
            </wp:positionV>
            <wp:extent cx="5417820" cy="1739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1782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have received orphan drug designation and rare pediatric disease designation from the FDA for TSHA-120 for the treatment of GAN.</w:t>
      </w:r>
    </w:p>
    <w:p>
      <w:pPr>
        <w:spacing w:after="0" w:line="345"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There is an ongoing natural history study being led by the NIH, that has already identified and followed a number of patients with GAN for over five years with disease progression characterized by a number of clinical assessments. The GAN natural history study was initiated in 2013 and included 45 GAN patients, aged 3 to 21 years. As would be expected for a neurodegenerative disease, younger patients have higher baseline scores. However, the rate of decline in the MFM32 scores demonstrated consistency across patients of all ages, with most demonstrating an average 8-point decline per year regardless of age and/or baseline MFM32 score, as shown in the natural history plot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189230</wp:posOffset>
            </wp:positionV>
            <wp:extent cx="3531870" cy="28632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3187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 4-point score change in the MFM32 is considered clinically meaningful, suggesting that GAN patients lose significant function annually.</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left="760"/>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jc w:val="both"/>
        <w:ind w:right="160" w:firstLine="749"/>
        <w:spacing w:after="0" w:line="263" w:lineRule="auto"/>
        <w:rPr>
          <w:sz w:val="20"/>
          <w:szCs w:val="20"/>
          <w:color w:val="auto"/>
        </w:rPr>
      </w:pPr>
      <w:r>
        <w:rPr>
          <w:rFonts w:ascii="Arial" w:cs="Arial" w:eastAsia="Arial" w:hAnsi="Arial"/>
          <w:sz w:val="18"/>
          <w:szCs w:val="18"/>
          <w:color w:val="auto"/>
        </w:rPr>
        <w:t xml:space="preserve">TSHA-120 performed well across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and demonstrated improved motor function and nerve pathology, and long-term safety across several animal models. Of note, improved dorsal root ganglia, or DRG, pathology was demonstrated in TSHA-120-treated GAN knockout mice. These preclinical results have been published in a number of peer-reviewed journals.</w:t>
      </w:r>
    </w:p>
    <w:p>
      <w:pPr>
        <w:spacing w:after="0" w:line="292"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Additional preclinical data from a GAN knockout rodent model that had received AAV9-mediated GAN gene therapy demonstrated that GAN rodents treated at 16 months performed significantly better than 18-month old untreated GAN rodents and equivalently to controls. These rodents were evaluated using a rotarod performance test which is designed to evaluate endurance, balance, grip strength and motor coordination in rodents. The time to fall off the rotarod, known as latency, was also evaluated and the data below demonstrate the clear difference in latency in treated versus untreated GAN rodents.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196850</wp:posOffset>
            </wp:positionV>
            <wp:extent cx="4646295" cy="2425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4629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0" w:firstLine="749"/>
        <w:spacing w:after="0" w:line="301" w:lineRule="auto"/>
        <w:rPr>
          <w:sz w:val="20"/>
          <w:szCs w:val="20"/>
          <w:color w:val="auto"/>
        </w:rPr>
      </w:pPr>
      <w:r>
        <w:rPr>
          <w:rFonts w:ascii="Arial" w:cs="Arial" w:eastAsia="Arial" w:hAnsi="Arial"/>
          <w:sz w:val="16"/>
          <w:szCs w:val="16"/>
          <w:color w:val="auto"/>
        </w:rPr>
        <w:t>A result is considered to be statistically significant when the probability of the result occurring by random chance, rather than from the efficacy of the treatment, is sufficiently low. The conventional method for determining the statistical significance of a result is known as the “p-value,” which represents the probability that random chance caused the result (e.g., a p-value = 0.01 means that there is a 1% probability that the difference between the control group and the treatment group is purely due to random chance). Generally, a p-value less than 0.05 is considered statistically significant.</w:t>
      </w:r>
    </w:p>
    <w:p>
      <w:pPr>
        <w:spacing w:after="0" w:line="265"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With respect to dorsal root ganglia, or DRG, inflammation that has been a topic of considerable interest within the gene therapy circles, in GAN and in the majority of diseases in our neurodegenerative franchise, the DRG have a significantly abnormal histological appearance and function as a consequence of underlying disease pathophysiology. Treatment with TSHA-120 resulted in considerable improvements in the pathological appearance of the DRG in the GAN knockout mice. Shown below is tissue from a GAN knockout mouse model with numerous abnormal neuronal inclusions containing aggregates of damaged neurofilament in the</w:t>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24" w:name="page25"/>
    <w:bookmarkEnd w:id="24"/>
    <w:p>
      <w:pPr>
        <w:ind w:right="400"/>
        <w:spacing w:after="0" w:line="277" w:lineRule="auto"/>
        <w:rPr>
          <w:sz w:val="20"/>
          <w:szCs w:val="20"/>
          <w:color w:val="auto"/>
        </w:rPr>
      </w:pPr>
      <w:r>
        <w:rPr>
          <w:rFonts w:ascii="Arial" w:cs="Arial" w:eastAsia="Arial" w:hAnsi="Arial"/>
          <w:sz w:val="18"/>
          <w:szCs w:val="18"/>
          <w:color w:val="auto"/>
        </w:rPr>
        <w:t>DRG as indicated by the yellow arrows. On image C, the tissue from the GAN knockout mice treated with an intrathecal injection of TSHA-120 had a notable improvement in the reduction of these neuronal inclusions in the DRG.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186055</wp:posOffset>
            </wp:positionV>
            <wp:extent cx="5666105" cy="213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6610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firstLine="749"/>
        <w:spacing w:after="0" w:line="342" w:lineRule="auto"/>
        <w:rPr>
          <w:sz w:val="20"/>
          <w:szCs w:val="20"/>
          <w:color w:val="auto"/>
        </w:rPr>
      </w:pPr>
      <w:r>
        <w:rPr>
          <w:rFonts w:ascii="Arial" w:cs="Arial" w:eastAsia="Arial" w:hAnsi="Arial"/>
          <w:sz w:val="16"/>
          <w:szCs w:val="16"/>
          <w:color w:val="auto"/>
        </w:rPr>
        <w:t>When a quantitative approach to the reduction in inclusions in the DRG was applied, it was observed that TSHA-120 treated mice experienced a statistically significant reduction in the average number of neuronal inclusions versus the GAN knockout mice that received vehicle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156210</wp:posOffset>
            </wp:positionV>
            <wp:extent cx="3111500" cy="31286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150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Results of Ongoing Phase 1/2 Clinical Trial</w:t>
      </w:r>
    </w:p>
    <w:p>
      <w:pPr>
        <w:spacing w:after="0" w:line="333"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A Phase 1/2 clinical trial of TSHA-120 is being conducted by the NIH under an accepted IND. The ongoing trial is a single-site, open-label, non-randomized dose-escalation trial, in which patients are intrathecally dosed with one of 4 dose levels of TSHA-120 – 3.5x10</w:t>
      </w:r>
      <w:r>
        <w:rPr>
          <w:rFonts w:ascii="Arial" w:cs="Arial" w:eastAsia="Arial" w:hAnsi="Arial"/>
          <w:sz w:val="13"/>
          <w:szCs w:val="13"/>
          <w:color w:val="auto"/>
        </w:rPr>
        <w:t>13</w:t>
      </w:r>
      <w:r>
        <w:rPr>
          <w:rFonts w:ascii="Arial" w:cs="Arial" w:eastAsia="Arial" w:hAnsi="Arial"/>
          <w:sz w:val="16"/>
          <w:szCs w:val="16"/>
          <w:color w:val="auto"/>
        </w:rPr>
        <w:t xml:space="preserve"> total vg, 1.2x10</w:t>
      </w:r>
      <w:r>
        <w:rPr>
          <w:rFonts w:ascii="Arial" w:cs="Arial" w:eastAsia="Arial" w:hAnsi="Arial"/>
          <w:sz w:val="13"/>
          <w:szCs w:val="13"/>
          <w:color w:val="auto"/>
        </w:rPr>
        <w:t>14</w:t>
      </w:r>
      <w:r>
        <w:rPr>
          <w:rFonts w:ascii="Arial" w:cs="Arial" w:eastAsia="Arial" w:hAnsi="Arial"/>
          <w:sz w:val="16"/>
          <w:szCs w:val="16"/>
          <w:color w:val="auto"/>
        </w:rPr>
        <w:t xml:space="preserve"> total vg,</w:t>
      </w:r>
    </w:p>
    <w:p>
      <w:pPr>
        <w:spacing w:after="0" w:line="256" w:lineRule="auto"/>
        <w:rPr>
          <w:sz w:val="20"/>
          <w:szCs w:val="20"/>
          <w:color w:val="auto"/>
        </w:rPr>
      </w:pPr>
      <w:r>
        <w:rPr>
          <w:rFonts w:ascii="Arial" w:cs="Arial" w:eastAsia="Arial" w:hAnsi="Arial"/>
          <w:sz w:val="18"/>
          <w:szCs w:val="18"/>
          <w:color w:val="auto"/>
        </w:rPr>
        <w:t>1.8x10</w:t>
      </w:r>
      <w:r>
        <w:rPr>
          <w:rFonts w:ascii="Arial" w:cs="Arial" w:eastAsia="Arial" w:hAnsi="Arial"/>
          <w:sz w:val="15"/>
          <w:szCs w:val="15"/>
          <w:color w:val="auto"/>
        </w:rPr>
        <w:t>14</w:t>
      </w:r>
      <w:r>
        <w:rPr>
          <w:rFonts w:ascii="Arial" w:cs="Arial" w:eastAsia="Arial" w:hAnsi="Arial"/>
          <w:sz w:val="18"/>
          <w:szCs w:val="18"/>
          <w:color w:val="auto"/>
        </w:rPr>
        <w:t xml:space="preserve"> total vg or 3.5x10</w:t>
      </w:r>
      <w:r>
        <w:rPr>
          <w:rFonts w:ascii="Arial" w:cs="Arial" w:eastAsia="Arial" w:hAnsi="Arial"/>
          <w:sz w:val="15"/>
          <w:szCs w:val="15"/>
          <w:color w:val="auto"/>
        </w:rPr>
        <w:t>14</w:t>
      </w:r>
      <w:r>
        <w:rPr>
          <w:rFonts w:ascii="Arial" w:cs="Arial" w:eastAsia="Arial" w:hAnsi="Arial"/>
          <w:sz w:val="18"/>
          <w:szCs w:val="18"/>
          <w:color w:val="auto"/>
        </w:rPr>
        <w:t xml:space="preserve"> total vg. The primary endpoint is to assess safety, with secondary endpoints measuring efficacy using pathologic, physiologic, functional, and clinical markers. To date, 14 patients have been intrathecally dosed and six patients have at least three years’ worth of long-term follow up data. The 1.8x10</w:t>
      </w:r>
      <w:r>
        <w:rPr>
          <w:rFonts w:ascii="Arial" w:cs="Arial" w:eastAsia="Arial" w:hAnsi="Arial"/>
          <w:sz w:val="15"/>
          <w:szCs w:val="15"/>
          <w:color w:val="auto"/>
        </w:rPr>
        <w:t>14</w:t>
      </w:r>
      <w:r>
        <w:rPr>
          <w:rFonts w:ascii="Arial" w:cs="Arial" w:eastAsia="Arial" w:hAnsi="Arial"/>
          <w:sz w:val="18"/>
          <w:szCs w:val="18"/>
          <w:color w:val="auto"/>
        </w:rPr>
        <w:t xml:space="preserve"> total vg dose and</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1.2x10</w:t>
      </w:r>
      <w:r>
        <w:rPr>
          <w:rFonts w:ascii="Arial" w:cs="Arial" w:eastAsia="Arial" w:hAnsi="Arial"/>
          <w:sz w:val="13"/>
          <w:szCs w:val="13"/>
          <w:color w:val="auto"/>
        </w:rPr>
        <w:t>14</w:t>
      </w:r>
      <w:r>
        <w:rPr>
          <w:rFonts w:ascii="Arial" w:cs="Arial" w:eastAsia="Arial" w:hAnsi="Arial"/>
          <w:sz w:val="16"/>
          <w:szCs w:val="16"/>
          <w:color w:val="auto"/>
        </w:rPr>
        <w:t xml:space="preserve"> total vg cohorts demonstrated dose-related and meaningful slowing of disease progression in the first year post dosing, as illustrated below. The</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1.8x10</w:t>
      </w:r>
      <w:r>
        <w:rPr>
          <w:rFonts w:ascii="Arial" w:cs="Arial" w:eastAsia="Arial" w:hAnsi="Arial"/>
          <w:sz w:val="15"/>
          <w:szCs w:val="15"/>
          <w:color w:val="auto"/>
        </w:rPr>
        <w:t>14</w:t>
      </w:r>
      <w:r>
        <w:rPr>
          <w:rFonts w:ascii="Arial" w:cs="Arial" w:eastAsia="Arial" w:hAnsi="Arial"/>
          <w:sz w:val="18"/>
          <w:szCs w:val="18"/>
          <w:color w:val="auto"/>
        </w:rPr>
        <w:t xml:space="preserve"> total vg dose effected a statistically significant 8-point improvement versus the historical control over the course of a year and the 1.2x10</w:t>
      </w:r>
      <w:r>
        <w:rPr>
          <w:rFonts w:ascii="Arial" w:cs="Arial" w:eastAsia="Arial" w:hAnsi="Arial"/>
          <w:sz w:val="15"/>
          <w:szCs w:val="15"/>
          <w:color w:val="auto"/>
        </w:rPr>
        <w:t>14</w:t>
      </w:r>
      <w:r>
        <w:rPr>
          <w:rFonts w:ascii="Arial" w:cs="Arial" w:eastAsia="Arial" w:hAnsi="Arial"/>
          <w:sz w:val="18"/>
          <w:szCs w:val="18"/>
          <w:color w:val="auto"/>
        </w:rPr>
        <w:t xml:space="preserve"> total vg dose effected a statistically significant 6-point improvement over the course of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193675</wp:posOffset>
            </wp:positionV>
            <wp:extent cx="3505835" cy="2905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0583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Six patients in the trial have been followed for more than three years. Patients dosed with 1.8x10</w:t>
      </w:r>
      <w:r>
        <w:rPr>
          <w:rFonts w:ascii="Arial" w:cs="Arial" w:eastAsia="Arial" w:hAnsi="Arial"/>
          <w:sz w:val="15"/>
          <w:szCs w:val="15"/>
          <w:color w:val="auto"/>
        </w:rPr>
        <w:t>14</w:t>
      </w:r>
      <w:r>
        <w:rPr>
          <w:rFonts w:ascii="Arial" w:cs="Arial" w:eastAsia="Arial" w:hAnsi="Arial"/>
          <w:sz w:val="18"/>
          <w:szCs w:val="18"/>
          <w:color w:val="auto"/>
        </w:rPr>
        <w:t xml:space="preserve"> total vg and 1.2x10</w:t>
      </w:r>
      <w:r>
        <w:rPr>
          <w:rFonts w:ascii="Arial" w:cs="Arial" w:eastAsia="Arial" w:hAnsi="Arial"/>
          <w:sz w:val="15"/>
          <w:szCs w:val="15"/>
          <w:color w:val="auto"/>
        </w:rPr>
        <w:t>14</w:t>
      </w:r>
      <w:r>
        <w:rPr>
          <w:rFonts w:ascii="Arial" w:cs="Arial" w:eastAsia="Arial" w:hAnsi="Arial"/>
          <w:sz w:val="18"/>
          <w:szCs w:val="18"/>
          <w:color w:val="auto"/>
        </w:rPr>
        <w:t xml:space="preserve"> total vg have shown sustained dose-dependent improvements in MFM32 scores for more than three years,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186055</wp:posOffset>
            </wp:positionV>
            <wp:extent cx="6163310" cy="22631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6331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26" w:name="page27"/>
    <w:bookmarkEnd w:id="26"/>
    <w:p>
      <w:pPr>
        <w:jc w:val="both"/>
        <w:ind w:right="340" w:firstLine="749"/>
        <w:spacing w:after="0" w:line="263" w:lineRule="auto"/>
        <w:rPr>
          <w:sz w:val="20"/>
          <w:szCs w:val="20"/>
          <w:color w:val="auto"/>
        </w:rPr>
      </w:pPr>
      <w:r>
        <w:rPr>
          <w:rFonts w:ascii="Arial" w:cs="Arial" w:eastAsia="Arial" w:hAnsi="Arial"/>
          <w:sz w:val="18"/>
          <w:szCs w:val="18"/>
          <w:color w:val="auto"/>
        </w:rPr>
        <w:t>To date, TSHA-120 has been well-tolerated at multiple doses with no signs of significant acute or subacute inflammation, no sudden sensory changes and no drug-related or persistent elevation of transaminases. We expect to report additional data from this trial later this year, including results from the highest dose cohort of 3.5x10</w:t>
      </w:r>
      <w:r>
        <w:rPr>
          <w:rFonts w:ascii="Arial" w:cs="Arial" w:eastAsia="Arial" w:hAnsi="Arial"/>
          <w:sz w:val="15"/>
          <w:szCs w:val="15"/>
          <w:color w:val="auto"/>
        </w:rPr>
        <w:t>14</w:t>
      </w:r>
      <w:r>
        <w:rPr>
          <w:rFonts w:ascii="Arial" w:cs="Arial" w:eastAsia="Arial" w:hAnsi="Arial"/>
          <w:sz w:val="18"/>
          <w:szCs w:val="18"/>
          <w:color w:val="auto"/>
        </w:rPr>
        <w:t xml:space="preserve"> total vg.</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Bayesian Analysis of TSHA-120</w:t>
      </w:r>
    </w:p>
    <w:p>
      <w:pPr>
        <w:spacing w:after="0" w:line="333"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To gain further insight into the impact of TSHA-120 treatment on GAN disease progression and to add more robustness to the data, an additional analysis utilizing Bayesian statistical methodology was performed. Bayesian analysis is a useful method that enables direct probability statements about any unknown quantity of interest to be made, in this case, a statement around the probability of a clinically meaningful improvement in MFM32. Bayesian analysis also enables immediate incorporation into the analysis of data gathered as the trial progresses. It is a particularly appropriate approach for a clinical trial in a rare disease and is a way of statistically increasing the power of a clinical trial in a small patient population when used to incorporate auxiliary information such as historical data, or data that are being accumulated as the trial progresses. Importantly, it has been accepted by regulatory agencies in such cases. Below are the results of the Bayesian analysis of patient data from cohorts treated at 1.8x10</w:t>
      </w:r>
      <w:r>
        <w:rPr>
          <w:rFonts w:ascii="Arial" w:cs="Arial" w:eastAsia="Arial" w:hAnsi="Arial"/>
          <w:sz w:val="14"/>
          <w:szCs w:val="14"/>
          <w:color w:val="auto"/>
        </w:rPr>
        <w:t>14</w:t>
      </w:r>
      <w:r>
        <w:rPr>
          <w:rFonts w:ascii="Arial" w:cs="Arial" w:eastAsia="Arial" w:hAnsi="Arial"/>
          <w:sz w:val="17"/>
          <w:szCs w:val="17"/>
          <w:color w:val="auto"/>
        </w:rPr>
        <w:t xml:space="preserve"> total vg and 1.2x10</w:t>
      </w:r>
      <w:r>
        <w:rPr>
          <w:rFonts w:ascii="Arial" w:cs="Arial" w:eastAsia="Arial" w:hAnsi="Arial"/>
          <w:sz w:val="14"/>
          <w:szCs w:val="14"/>
          <w:color w:val="auto"/>
        </w:rPr>
        <w:t>14</w:t>
      </w:r>
      <w:r>
        <w:rPr>
          <w:rFonts w:ascii="Arial" w:cs="Arial" w:eastAsia="Arial" w:hAnsi="Arial"/>
          <w:sz w:val="17"/>
          <w:szCs w:val="17"/>
          <w:color w:val="auto"/>
        </w:rPr>
        <w:t xml:space="preserve"> total vg. As seen in the table, the analysis confirmed both the natural history data of an 8-point decline in the MFM32 total percent score per year, and importantly, that patients treated with 1.8x10</w:t>
      </w:r>
      <w:r>
        <w:rPr>
          <w:rFonts w:ascii="Arial" w:cs="Arial" w:eastAsia="Arial" w:hAnsi="Arial"/>
          <w:sz w:val="14"/>
          <w:szCs w:val="14"/>
          <w:color w:val="auto"/>
        </w:rPr>
        <w:t>14</w:t>
      </w:r>
      <w:r>
        <w:rPr>
          <w:rFonts w:ascii="Arial" w:cs="Arial" w:eastAsia="Arial" w:hAnsi="Arial"/>
          <w:sz w:val="17"/>
          <w:szCs w:val="17"/>
          <w:color w:val="auto"/>
        </w:rPr>
        <w:t xml:space="preserve"> total vg experienced an arrest of disease progression that was statistically significant. The Bayesian analysis confirms the positive findings that were seen with the frequentist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194945</wp:posOffset>
            </wp:positionV>
            <wp:extent cx="4303395" cy="40290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03395"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40" w:firstLine="749"/>
        <w:spacing w:after="0" w:line="263" w:lineRule="auto"/>
        <w:rPr>
          <w:sz w:val="20"/>
          <w:szCs w:val="20"/>
          <w:color w:val="auto"/>
        </w:rPr>
      </w:pPr>
      <w:r>
        <w:rPr>
          <w:rFonts w:ascii="Arial" w:cs="Arial" w:eastAsia="Arial" w:hAnsi="Arial"/>
          <w:sz w:val="18"/>
          <w:szCs w:val="18"/>
          <w:color w:val="auto"/>
        </w:rPr>
        <w:t>As shown below, the Bayesian efficacy analysis confirmed that TSHA-120 halted patients’ pre-treatment rate of decline when compared to individual historical data. As shown on these graphs, the 1.8x10</w:t>
      </w:r>
      <w:r>
        <w:rPr>
          <w:rFonts w:ascii="Arial" w:cs="Arial" w:eastAsia="Arial" w:hAnsi="Arial"/>
          <w:sz w:val="15"/>
          <w:szCs w:val="15"/>
          <w:color w:val="auto"/>
        </w:rPr>
        <w:t>14</w:t>
      </w:r>
      <w:r>
        <w:rPr>
          <w:rFonts w:ascii="Arial" w:cs="Arial" w:eastAsia="Arial" w:hAnsi="Arial"/>
          <w:sz w:val="18"/>
          <w:szCs w:val="18"/>
          <w:color w:val="auto"/>
        </w:rPr>
        <w:t xml:space="preserve"> total vg dose halted patient pre-treatment rate of decline with an average annual slope improvement of 7.78 points while the 1.2x10</w:t>
      </w:r>
      <w:r>
        <w:rPr>
          <w:rFonts w:ascii="Arial" w:cs="Arial" w:eastAsia="Arial" w:hAnsi="Arial"/>
          <w:sz w:val="15"/>
          <w:szCs w:val="15"/>
          <w:color w:val="auto"/>
        </w:rPr>
        <w:t>14</w:t>
      </w:r>
      <w:r>
        <w:rPr>
          <w:rFonts w:ascii="Arial" w:cs="Arial" w:eastAsia="Arial" w:hAnsi="Arial"/>
          <w:sz w:val="18"/>
          <w:szCs w:val="18"/>
          <w:color w:val="auto"/>
        </w:rPr>
        <w:t xml:space="preserve"> total vg dose resulted in a clinically meaningful</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slowing of disease progression with an average annual slope improvement of 6.09 points. These results are consistent with a dose response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234950</wp:posOffset>
            </wp:positionV>
            <wp:extent cx="5974715" cy="1911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7471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Further analyses confirmed that there was a nearly 100% probability of clinically meaningful slowing of disease progression. As shown below, the 1.8x10</w:t>
      </w:r>
      <w:r>
        <w:rPr>
          <w:rFonts w:ascii="Arial" w:cs="Arial" w:eastAsia="Arial" w:hAnsi="Arial"/>
          <w:sz w:val="15"/>
          <w:szCs w:val="15"/>
          <w:color w:val="auto"/>
        </w:rPr>
        <w:t>14</w:t>
      </w:r>
      <w:r>
        <w:rPr>
          <w:rFonts w:ascii="Arial" w:cs="Arial" w:eastAsia="Arial" w:hAnsi="Arial"/>
          <w:sz w:val="18"/>
          <w:szCs w:val="18"/>
          <w:color w:val="auto"/>
        </w:rPr>
        <w:t xml:space="preserve"> total vg dose confirmed a virtually 100% probability of clinically meaningful slowing of disease</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40"/>
          </w:cols>
          <w:pgMar w:left="320" w:top="449" w:right="539" w:bottom="1440"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compared to natural history decline of GAN patients while the 1.2x10</w:t>
      </w:r>
      <w:r>
        <w:rPr>
          <w:rFonts w:ascii="Arial" w:cs="Arial" w:eastAsia="Arial" w:hAnsi="Arial"/>
          <w:sz w:val="15"/>
          <w:szCs w:val="15"/>
          <w:color w:val="auto"/>
        </w:rPr>
        <w:t>14</w:t>
      </w:r>
      <w:r>
        <w:rPr>
          <w:rFonts w:ascii="Arial" w:cs="Arial" w:eastAsia="Arial" w:hAnsi="Arial"/>
          <w:sz w:val="18"/>
          <w:szCs w:val="18"/>
          <w:color w:val="auto"/>
        </w:rPr>
        <w:t xml:space="preserve"> total vg dose confirmed an approximately 85% probability of clinically meaningful slowing of disease and a virtually 100% probability of any slowing of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391795</wp:posOffset>
            </wp:positionV>
            <wp:extent cx="4277360" cy="54089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77360" cy="540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firstLine="749"/>
        <w:spacing w:after="0" w:line="342" w:lineRule="auto"/>
        <w:rPr>
          <w:sz w:val="20"/>
          <w:szCs w:val="20"/>
          <w:color w:val="auto"/>
        </w:rPr>
      </w:pPr>
      <w:r>
        <w:rPr>
          <w:rFonts w:ascii="Arial" w:cs="Arial" w:eastAsia="Arial" w:hAnsi="Arial"/>
          <w:sz w:val="16"/>
          <w:szCs w:val="16"/>
          <w:color w:val="auto"/>
        </w:rPr>
        <w:t>We intend to engage with the FDA, European Medicines Agency, Medicines and Healthcare products Regulatory Agency in the United Kingdom and the Pharmaceuticals and Medical Devices Agency in Japan to discuss the regulatory pathway for TSHA-120 and will provide an update by year-end.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Program Updates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Vagus Nerve Redosing</w:t>
      </w:r>
    </w:p>
    <w:p>
      <w:pPr>
        <w:spacing w:after="0" w:line="11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Proof-of-concept research in the preclinical setting has supported that direct injection into the vagus nerve of TSHA-120 following an intrathecal administration of TSHA-120 may ameliorate autonomic nervous system dysfunction. At either four or sixteen weeks after wild-type rats were injected intrathecally with TSHA-120, they received a second dose via direct injection of the AAV9 vector into the vagus nerve. Four weeks after the second injection, tissues were assessed for expression of our re-dosed virus by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spacing w:after="0" w:line="263" w:lineRule="auto"/>
        <w:rPr>
          <w:sz w:val="20"/>
          <w:szCs w:val="20"/>
          <w:color w:val="auto"/>
        </w:rPr>
      </w:pPr>
      <w:r>
        <w:rPr>
          <w:rFonts w:ascii="Arial" w:cs="Arial" w:eastAsia="Arial" w:hAnsi="Arial"/>
          <w:sz w:val="18"/>
          <w:szCs w:val="18"/>
          <w:color w:val="auto"/>
        </w:rPr>
        <w:t>staining for the green fluorescent protein, GFP, carried by the second AAV9 vector. Examination of the injected vagus nerve and associated nodose ganglia showed a robust expression of GFP (as represented by the brown staining below), indicating that in rats, AAV9 can be re-dosed through a direct nerve injection following intrathecal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194310</wp:posOffset>
            </wp:positionV>
            <wp:extent cx="6163310" cy="27857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6331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firstLine="749"/>
        <w:spacing w:after="0" w:line="277" w:lineRule="auto"/>
        <w:rPr>
          <w:sz w:val="20"/>
          <w:szCs w:val="20"/>
          <w:color w:val="auto"/>
        </w:rPr>
      </w:pPr>
      <w:r>
        <w:rPr>
          <w:rFonts w:ascii="Arial" w:cs="Arial" w:eastAsia="Arial" w:hAnsi="Arial"/>
          <w:sz w:val="18"/>
          <w:szCs w:val="18"/>
          <w:color w:val="auto"/>
        </w:rPr>
        <w:t>Consistent with single-dosing studies, re-dosed animals showed expression in the medulla vagus nerve nuclei. As shown below, GFP expression was seen in the nucleus ambiguous, which controls motor functions critical for vocalization, swallowing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color w:val="auto"/>
        </w:rPr>
        <w:t>peristalsis and in the Pre-Botzinger complex, which contains respiratory rhythm generating neurons – all of which are autonomic functions compromised in GAN and many other neurological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117475</wp:posOffset>
            </wp:positionV>
            <wp:extent cx="6163310" cy="30175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6331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As illustrated below, further support of how vagus nerve injection permits AAV9 redosing was demonstrated in the brain of a naïve animal shown on the left compared to an intrathecally AAV9-immunized rat on the right. Efficient GFP transduction was observed in vagal nerve fibers and in brain neurons. In the area postrema, which has a reduced blood-barrier and is a target for vagal afferent fiber trafficking, there was reduced GFP expression in pre-immunized animals, at four and sixteen weeks, as compared to naïve animals. This suggests that pre-existing neutralization antibodies may dampen the overall transduction of vagal nerve delivered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AAV9, but efficient transduction of autonomic relevant neurons can still be achieved. These results support that the vagus nerve space is immune privileged enough to allow for redosing.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117475</wp:posOffset>
            </wp:positionV>
            <wp:extent cx="6163310" cy="28714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6331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TSHA-102 for Rett Syndrome</w:t>
      </w:r>
    </w:p>
    <w:p>
      <w:pPr>
        <w:spacing w:after="0" w:line="117"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TSHA-102, a neurodevelopmental disorder product candidate, is being developed for the treatment of Rett syndrome, one of the most common genetic causes of severe intellectual disability, characterized by rapid developmental regression and in many cases caused by heterozygous loss of function mutations in MECP2, a gene essential for neuronal and synaptic function in the brain. We designed TSHA-102 to prevent gene overexpression-related toxicity by inserting microRNA, or miRNA target binding sites into the 3’ untranslated region of viral genomes. This overexpression of MECP2 is seen in the clinic in patients with a condition known as MECP2 duplication syndrome, where elevated levels of MECP2 result in a clinical phenotype similar to Rett syndrome both in terms of symptoms and severity. TSHA-102 is constructed from a neuronal specific promoter, MeP426, coupled with the miniMECP2 transgene, a truncated version of MECP2, and miRNA-Responsive Auto-Regulatory Element, or miRARE, our novel miRNA target panel, packaged in self-complementary AAV9.</w:t>
      </w:r>
    </w:p>
    <w:p>
      <w:pPr>
        <w:spacing w:after="0" w:line="300" w:lineRule="exact"/>
        <w:rPr>
          <w:sz w:val="20"/>
          <w:szCs w:val="20"/>
          <w:color w:val="auto"/>
        </w:rPr>
      </w:pPr>
    </w:p>
    <w:p>
      <w:pPr>
        <w:ind w:right="140" w:firstLine="749"/>
        <w:spacing w:after="0" w:line="257" w:lineRule="auto"/>
        <w:rPr>
          <w:sz w:val="20"/>
          <w:szCs w:val="20"/>
          <w:color w:val="auto"/>
        </w:rPr>
      </w:pPr>
      <w:r>
        <w:rPr>
          <w:rFonts w:ascii="Arial" w:cs="Arial" w:eastAsia="Arial" w:hAnsi="Arial"/>
          <w:sz w:val="18"/>
          <w:szCs w:val="18"/>
          <w:color w:val="auto"/>
        </w:rPr>
        <w:t>Recently, preclinical data from the ongoing natural history study for TSHA-102 were published online in Brain, a highly esteemed neurological science peer-reviewed journal. The preclinical study was conducted by the UT Southwestern Medical Center (UT Southwestern) laboratory of Sarah Sinnett, Ph.D., and evaluated the safety and efficacy of regulated miniMECP2 gene transfer, TSHA-102 (AAV9/miniMECP2-miRARE), via intrathecal (IT) administration in adolescent mice between four and five weeks of age. TSHA-102 was compared to unregulated full length MECP2 (AAV9/MECP2) and unregulated miniMECP2 (AAV9/miniMECP2).</w:t>
      </w:r>
    </w:p>
    <w:p>
      <w:pPr>
        <w:spacing w:after="0" w:line="296" w:lineRule="exact"/>
        <w:rPr>
          <w:sz w:val="20"/>
          <w:szCs w:val="20"/>
          <w:color w:val="auto"/>
        </w:rPr>
      </w:pPr>
    </w:p>
    <w:p>
      <w:pPr>
        <w:jc w:val="both"/>
        <w:ind w:right="300" w:firstLine="749"/>
        <w:spacing w:after="0" w:line="263" w:lineRule="auto"/>
        <w:rPr>
          <w:sz w:val="20"/>
          <w:szCs w:val="20"/>
          <w:color w:val="auto"/>
        </w:rPr>
      </w:pPr>
      <w:r>
        <w:rPr>
          <w:rFonts w:ascii="Arial" w:cs="Arial" w:eastAsia="Arial" w:hAnsi="Arial"/>
          <w:sz w:val="18"/>
          <w:szCs w:val="18"/>
          <w:color w:val="auto"/>
        </w:rPr>
        <w:t>TSHA-102 extended knockout survival by 56% via IT delivery. In contrast, the unregulated miniMECP2 gene transfer failed to significantly extend knockout survival at either dose tested. Additionally, the unregulated full-length MECP2 construct did not demonstrate a significant extension in survival and was associated with an unacceptable toxicity profile in wild type mice.</w:t>
      </w:r>
    </w:p>
    <w:p>
      <w:pPr>
        <w:spacing w:after="0" w:line="292"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In addition to survival, behavioral side effects were explored. Mice were subjected to phenotypic scoring and a battery of tests including gait, hindlimb clasping, tremor and others to comprise an aggregate behavioral score. miRARE attenuated miniMECP2-mediated aggravation in wild type aggregate phenotype severity scores. Mice were scored on an aggregate severity scale using an established protocol. AAV9/MECP2- and AAV9/miniMECP2-treated wild type mice had a significantly higher mean (worse) aggregate behavioral severity score versus that observed for saline-treated mice (p &lt;0.05; at 6–30 and 7–27 weeks of age, respectively). TSHA-102-treated wild type mice had a significantly lower (better) mean aggregate severity score versus those of AAV9/MECP2- and AAV9/miniMECP2-treated mice at most timepoints from 11–19 and 9–20 weeks of age, respectively. No significant difference was observed between saline- and TSHA-102-treated wild type mice.</w:t>
      </w:r>
    </w:p>
    <w:p>
      <w:pPr>
        <w:spacing w:after="0" w:line="285" w:lineRule="exact"/>
        <w:rPr>
          <w:sz w:val="20"/>
          <w:szCs w:val="20"/>
          <w:color w:val="auto"/>
        </w:rPr>
      </w:pPr>
    </w:p>
    <w:p>
      <w:pPr>
        <w:ind w:right="520" w:firstLine="749"/>
        <w:spacing w:after="0" w:line="277" w:lineRule="auto"/>
        <w:rPr>
          <w:sz w:val="20"/>
          <w:szCs w:val="20"/>
          <w:color w:val="auto"/>
        </w:rPr>
      </w:pPr>
      <w:r>
        <w:rPr>
          <w:rFonts w:ascii="Arial" w:cs="Arial" w:eastAsia="Arial" w:hAnsi="Arial"/>
          <w:sz w:val="18"/>
          <w:szCs w:val="18"/>
          <w:color w:val="auto"/>
        </w:rPr>
        <w:t>miRARE-mediated genotype-dependent gene regulation was demonstrated by analyzing tissue sections from wild type and knockout mice treated with AAV9 vectors given intrathecally. TSHA-102 demonstrated regulated expression in different regions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ind w:right="200"/>
        <w:spacing w:after="0" w:line="263" w:lineRule="auto"/>
        <w:rPr>
          <w:sz w:val="20"/>
          <w:szCs w:val="20"/>
          <w:color w:val="auto"/>
        </w:rPr>
      </w:pPr>
      <w:r>
        <w:rPr>
          <w:rFonts w:ascii="Arial" w:cs="Arial" w:eastAsia="Arial" w:hAnsi="Arial"/>
          <w:sz w:val="18"/>
          <w:szCs w:val="18"/>
          <w:color w:val="auto"/>
        </w:rPr>
        <w:t>the brain. As shown in the graph and photos below, in the pons and midbrain, miRARE inhibited mean MECP2 gene expression in a genotype-dependent manner as indicated by significantly fewer myc(+) cells observed in wild type mice compared to knockout mice (p&lt;0.05), thereby demonstrating that TSHA-102 achieved MECP2 expression levels similar to normal physiological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125730</wp:posOffset>
            </wp:positionV>
            <wp:extent cx="4783455" cy="53917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83455" cy="539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plan to submit an IND / CTA for TSHA-102 in the second half of 2021 and initiate a clinical trial by the end of 2021.</w:t>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TSHA-104 for SURF1-Associated Leigh Syndrome</w:t>
      </w:r>
    </w:p>
    <w:p>
      <w:pPr>
        <w:spacing w:after="0" w:line="117"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 xml:space="preserve">We are developing TSHA-104, a neurodegenerative product candidate, for the treatment of SURF1-associated Leigh syndrome. The </w:t>
      </w:r>
      <w:r>
        <w:rPr>
          <w:rFonts w:ascii="Arial" w:cs="Arial" w:eastAsia="Arial" w:hAnsi="Arial"/>
          <w:sz w:val="16"/>
          <w:szCs w:val="16"/>
          <w:i w:val="1"/>
          <w:iCs w:val="1"/>
          <w:color w:val="auto"/>
        </w:rPr>
        <w:t>SURF1</w:t>
      </w:r>
      <w:r>
        <w:rPr>
          <w:rFonts w:ascii="Arial" w:cs="Arial" w:eastAsia="Arial" w:hAnsi="Arial"/>
          <w:sz w:val="16"/>
          <w:szCs w:val="16"/>
          <w:color w:val="auto"/>
        </w:rPr>
        <w:t xml:space="preserve"> gene encodes the SURF1 protein, which plays a critical role in mitochondrial translation and is involved in the assembly of the cytochrome c oxidase complex. Mutations in </w:t>
      </w:r>
      <w:r>
        <w:rPr>
          <w:rFonts w:ascii="Arial" w:cs="Arial" w:eastAsia="Arial" w:hAnsi="Arial"/>
          <w:sz w:val="16"/>
          <w:szCs w:val="16"/>
          <w:i w:val="1"/>
          <w:iCs w:val="1"/>
          <w:color w:val="auto"/>
        </w:rPr>
        <w:t>SURF1</w:t>
      </w:r>
      <w:r>
        <w:rPr>
          <w:rFonts w:ascii="Arial" w:cs="Arial" w:eastAsia="Arial" w:hAnsi="Arial"/>
          <w:sz w:val="16"/>
          <w:szCs w:val="16"/>
          <w:color w:val="auto"/>
        </w:rPr>
        <w:t xml:space="preserve"> lead to SURF1-associated Leigh syndrome, a recessively inherited mitochondrial disease, and are the most frequent cause of Leigh syndrome, a rapidly progressive neurological condition characterized by the degeneration of the CNS. To date over 100 </w:t>
      </w:r>
      <w:r>
        <w:rPr>
          <w:rFonts w:ascii="Arial" w:cs="Arial" w:eastAsia="Arial" w:hAnsi="Arial"/>
          <w:sz w:val="16"/>
          <w:szCs w:val="16"/>
          <w:i w:val="1"/>
          <w:iCs w:val="1"/>
          <w:color w:val="auto"/>
        </w:rPr>
        <w:t>SURF1</w:t>
      </w:r>
      <w:r>
        <w:rPr>
          <w:rFonts w:ascii="Arial" w:cs="Arial" w:eastAsia="Arial" w:hAnsi="Arial"/>
          <w:sz w:val="16"/>
          <w:szCs w:val="16"/>
          <w:color w:val="auto"/>
        </w:rPr>
        <w:t xml:space="preserve"> mutations, including non-sense, frame shift and missense variants have been described in literature. The incidence of SURF1-associated Leigh syndrome is estimated to be approximately 1 in 100,000 live births. The estimated prevalence of SURF1 deficiency is 300 to 400 patients in the United States and European Union.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ind w:right="20" w:firstLine="749"/>
        <w:spacing w:after="0" w:line="275" w:lineRule="auto"/>
        <w:rPr>
          <w:sz w:val="20"/>
          <w:szCs w:val="20"/>
          <w:color w:val="auto"/>
        </w:rPr>
      </w:pPr>
      <w:r>
        <w:rPr>
          <w:rFonts w:ascii="Arial" w:cs="Arial" w:eastAsia="Arial" w:hAnsi="Arial"/>
          <w:sz w:val="17"/>
          <w:szCs w:val="17"/>
          <w:color w:val="auto"/>
        </w:rPr>
        <w:t>SURF1-associated Leigh syndrome can lead to difficulty swallowing in infancy, with subsequent failure to thrive. Severely diseased muscle tone leading to respiratory failure, movement disorders and balance abnormalities are common. According to the literature, only a few patients have been reported to survive beyond 10 years of age. In the majority of SURF1-deficient patients, serum lactate is elevated, and elevated levels of serum lactate have been reported in the CSF as well, indicative of mitochondrial dysfunction. We are pursuing a gene replacement strategy with the goal of restoring mitochondrial function in patients with SURF1-associated Leigh syndrome caused by loss-of-function mutations.</w:t>
      </w:r>
    </w:p>
    <w:p>
      <w:pPr>
        <w:spacing w:after="0" w:line="284"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 xml:space="preserve">We are constructing TSHA-104 from a codon-optimized version of the human </w:t>
      </w:r>
      <w:r>
        <w:rPr>
          <w:rFonts w:ascii="Arial" w:cs="Arial" w:eastAsia="Arial" w:hAnsi="Arial"/>
          <w:sz w:val="18"/>
          <w:szCs w:val="18"/>
          <w:i w:val="1"/>
          <w:iCs w:val="1"/>
          <w:color w:val="auto"/>
        </w:rPr>
        <w:t>SURF1</w:t>
      </w:r>
      <w:r>
        <w:rPr>
          <w:rFonts w:ascii="Arial" w:cs="Arial" w:eastAsia="Arial" w:hAnsi="Arial"/>
          <w:sz w:val="18"/>
          <w:szCs w:val="18"/>
          <w:color w:val="auto"/>
        </w:rPr>
        <w:t xml:space="preserve"> gene packaged within a self-complementary AAV9 viral vector under the control of a CBh promoter. We plan to submit an IND / CTA for TSHA-104 in the second half of 2021 and initiate a Phase 1/2 clinical trial by the end of 2021.</w:t>
      </w:r>
    </w:p>
    <w:p>
      <w:pPr>
        <w:spacing w:after="0" w:line="292"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We have received orphan drug designation and rare pediatric disease designation from the FDA for TSHA-104 for the treatment of SURF1-associated Leigh Syndrome.</w:t>
      </w:r>
    </w:p>
    <w:p>
      <w:pPr>
        <w:spacing w:after="0" w:line="2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Data from preclinical studies suggest that functional gene replacement strategy could restore mitochondrial functions in SURF1-associated Leigh syndrome caused by SURF1 loss-of-function mutations, which we believe supports continued development of TSHA-104. In these studies, TSHA-104 was administered at two dose levels via intrathecal lumbar puncture to a knock-out mouse model of SURF1-associated Leigh syndrome. Intrathecal treatment with TSHA-104 was observed to be well tolerated. TSHA-104 also induced SURF1 expression in the brain and partially rescued COX activity in a tissue specific manner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196850</wp:posOffset>
            </wp:positionV>
            <wp:extent cx="4732020" cy="37287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32020"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4" w:name="page35"/>
    <w:bookmarkEnd w:id="34"/>
    <w:p>
      <w:pPr>
        <w:ind w:left="760"/>
        <w:spacing w:after="0"/>
        <w:rPr>
          <w:sz w:val="20"/>
          <w:szCs w:val="20"/>
          <w:color w:val="auto"/>
        </w:rPr>
      </w:pPr>
      <w:r>
        <w:rPr>
          <w:rFonts w:ascii="Arial" w:cs="Arial" w:eastAsia="Arial" w:hAnsi="Arial"/>
          <w:sz w:val="18"/>
          <w:szCs w:val="18"/>
          <w:color w:val="auto"/>
        </w:rPr>
        <w:t>As shown below, TSHA-104 restored elevation of blood lactate on exhaustive exercise in the SURF1 knock-out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220345</wp:posOffset>
            </wp:positionV>
            <wp:extent cx="3857625" cy="36258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57625" cy="362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TSHA-113 for Tauopathies</w:t>
      </w:r>
    </w:p>
    <w:p>
      <w:pPr>
        <w:spacing w:after="0" w:line="117" w:lineRule="exact"/>
        <w:rPr>
          <w:sz w:val="20"/>
          <w:szCs w:val="20"/>
          <w:color w:val="auto"/>
        </w:rPr>
      </w:pPr>
    </w:p>
    <w:p>
      <w:pPr>
        <w:ind w:right="180" w:firstLine="749"/>
        <w:spacing w:after="0" w:line="259" w:lineRule="auto"/>
        <w:rPr>
          <w:sz w:val="20"/>
          <w:szCs w:val="20"/>
          <w:color w:val="auto"/>
        </w:rPr>
      </w:pPr>
      <w:r>
        <w:rPr>
          <w:rFonts w:ascii="Arial" w:cs="Arial" w:eastAsia="Arial" w:hAnsi="Arial"/>
          <w:sz w:val="18"/>
          <w:szCs w:val="18"/>
          <w:color w:val="auto"/>
        </w:rPr>
        <w:t>We are developing TSHA-113 for the treatment of tauopathies. Tau accumulation predicts neurodegeneration in Alzheimer’s disease, and the propagation of tau aggregates is thought to mediate the progression of several neurodegenerative diseases, including progressive supranuclear palsy, corticobasal degeneration, behavioral variant frontotemporal degeneration, chronic traumatic encephalopathy, frontotemporal dementia and parkinsonism linked to chromosome 17.</w:t>
      </w:r>
    </w:p>
    <w:p>
      <w:pPr>
        <w:spacing w:after="0" w:line="295"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As a result, multiple strategies are currently being tested to reduce tau and ameliorate the effects of these diseases. Preclinical studies testing tau anti-sense oligonucleotides, or ASOs, in the PS19 tauopathy mouse model prevented neuronal loss and showed a reversal of pathological tau deposition and seeding. This treatment in being tested in clinical trials. While promising, ASOs only reduced tau protein levels by approximately 50% in mice, and they required repeated, life-long intrathecal administration to reach this maximum effect.</w:t>
      </w:r>
    </w:p>
    <w:p>
      <w:pPr>
        <w:spacing w:after="0" w:line="295"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 xml:space="preserve">We are developing TSHA-113 to utilize AAV-mediated gene silencing to deliver life-long reduction of tau protein levels in neurons following administration of a single dose. We are developing tau-specific miRNA shuttles that have been designed to target mRNA for all six isoforms of tau found in the human brain and/or mouse brain. Our preliminary data in cells has shown that our tau miRNA selectively reduced some human and mouse tau expression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we have packaged our miRNA shuttles in AAV9 capsids for further evaluation in mouse models of human tauopathies.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left="760"/>
        <w:spacing w:after="0"/>
        <w:rPr>
          <w:sz w:val="20"/>
          <w:szCs w:val="20"/>
          <w:color w:val="auto"/>
        </w:rPr>
      </w:pPr>
      <w:r>
        <w:rPr>
          <w:rFonts w:ascii="Arial" w:cs="Arial" w:eastAsia="Arial" w:hAnsi="Arial"/>
          <w:sz w:val="18"/>
          <w:szCs w:val="18"/>
          <w:i w:val="1"/>
          <w:iCs w:val="1"/>
          <w:color w:val="auto"/>
        </w:rPr>
        <w:t>Preclinical Studies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transgenic mouse models carrying human tau, TSHA-113 significantly reduced tau mRNA and protein levels, as shown in the three figures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237490</wp:posOffset>
            </wp:positionV>
            <wp:extent cx="4732020" cy="6626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32020" cy="6626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60"/>
          </w:cols>
          <w:pgMar w:left="320" w:top="665" w:right="61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1622425</wp:posOffset>
            </wp:positionH>
            <wp:positionV relativeFrom="page">
              <wp:posOffset>431800</wp:posOffset>
            </wp:positionV>
            <wp:extent cx="4311650" cy="2768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431165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Mice dosed with TSHA-113 demonstrated widespread function and GFP expression in neurons and glia,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36130" cy="3081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308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 xml:space="preserve">Together with previous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findings, we believe that these data further validate selective reduction of tau mRNA and protein levels and warrant further preclinical development.</w:t>
      </w:r>
    </w:p>
    <w:p>
      <w:pPr>
        <w:spacing w:after="0" w:line="2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TSHA-105 for SLC13A5 Deficiency</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We are developing TSHA-105 for the treatment of SLC13A5 deficiency, a rare autosomal recessive epileptic encephalopathy characterized by the onset of seizures within the first few days of life. The estimated prevalence of SLC13A5 deficiency is 1,900 patients in the United States and European Union. Affected children have impairments in gross motor function and speech production with relative preservation of fine motor skills and receptive speech. SLC13A5 deficiency is caused by bi-allelic loss-of function</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7" w:name="page38"/>
    <w:bookmarkEnd w:id="37"/>
    <w:p>
      <w:pPr>
        <w:ind w:right="120"/>
        <w:spacing w:after="0" w:line="277" w:lineRule="auto"/>
        <w:rPr>
          <w:sz w:val="20"/>
          <w:szCs w:val="20"/>
          <w:color w:val="auto"/>
        </w:rPr>
      </w:pPr>
      <w:r>
        <w:rPr>
          <w:rFonts w:ascii="Arial" w:cs="Arial" w:eastAsia="Arial" w:hAnsi="Arial"/>
          <w:sz w:val="18"/>
          <w:szCs w:val="18"/>
          <w:color w:val="auto"/>
        </w:rPr>
        <w:t xml:space="preserve">mutations in the </w:t>
      </w:r>
      <w:r>
        <w:rPr>
          <w:rFonts w:ascii="Arial" w:cs="Arial" w:eastAsia="Arial" w:hAnsi="Arial"/>
          <w:sz w:val="18"/>
          <w:szCs w:val="18"/>
          <w:i w:val="1"/>
          <w:iCs w:val="1"/>
          <w:color w:val="auto"/>
        </w:rPr>
        <w:t>SLC13A5</w:t>
      </w:r>
      <w:r>
        <w:rPr>
          <w:rFonts w:ascii="Arial" w:cs="Arial" w:eastAsia="Arial" w:hAnsi="Arial"/>
          <w:sz w:val="18"/>
          <w:szCs w:val="18"/>
          <w:color w:val="auto"/>
        </w:rPr>
        <w:t xml:space="preserve"> gene, which codes for a sodium dependent citrate transporter, or NaCT, that is largely expressed in the brain and liver. To date, all tested mutations result in no or a greatly reduced amount of the citrate in the cells.</w:t>
      </w:r>
    </w:p>
    <w:p>
      <w:pPr>
        <w:spacing w:after="0" w:line="278" w:lineRule="exact"/>
        <w:rPr>
          <w:sz w:val="20"/>
          <w:szCs w:val="20"/>
          <w:color w:val="auto"/>
        </w:rPr>
      </w:pPr>
    </w:p>
    <w:p>
      <w:pPr>
        <w:ind w:right="320" w:firstLine="749"/>
        <w:spacing w:after="0" w:line="342" w:lineRule="auto"/>
        <w:rPr>
          <w:sz w:val="20"/>
          <w:szCs w:val="20"/>
          <w:color w:val="auto"/>
        </w:rPr>
      </w:pPr>
      <w:r>
        <w:rPr>
          <w:rFonts w:ascii="Arial" w:cs="Arial" w:eastAsia="Arial" w:hAnsi="Arial"/>
          <w:sz w:val="16"/>
          <w:szCs w:val="16"/>
          <w:color w:val="auto"/>
        </w:rPr>
        <w:t>Diminished NaCT function leads to loss of neuronal uptake of citrate and other metabolites such as succinate that are critical to brain energy metabolism and function. Currently, there are no approved therapies for SLC13A5 deficiency, and treatment is largely to address symptoms.</w:t>
      </w:r>
    </w:p>
    <w:p>
      <w:pPr>
        <w:spacing w:after="0" w:line="232" w:lineRule="exact"/>
        <w:rPr>
          <w:sz w:val="20"/>
          <w:szCs w:val="20"/>
          <w:color w:val="auto"/>
        </w:rPr>
      </w:pPr>
    </w:p>
    <w:p>
      <w:pPr>
        <w:ind w:right="500" w:firstLine="749"/>
        <w:spacing w:after="0" w:line="277" w:lineRule="auto"/>
        <w:rPr>
          <w:sz w:val="20"/>
          <w:szCs w:val="20"/>
          <w:color w:val="auto"/>
        </w:rPr>
      </w:pPr>
      <w:r>
        <w:rPr>
          <w:rFonts w:ascii="Arial" w:cs="Arial" w:eastAsia="Arial" w:hAnsi="Arial"/>
          <w:sz w:val="18"/>
          <w:szCs w:val="18"/>
          <w:color w:val="auto"/>
        </w:rPr>
        <w:t xml:space="preserve">We are developing TSHA-105 as a gene replacement therapy for SLC13A5 deficiency. TSHA-105 is constructed from a codon-optimized human </w:t>
      </w:r>
      <w:r>
        <w:rPr>
          <w:rFonts w:ascii="Arial" w:cs="Arial" w:eastAsia="Arial" w:hAnsi="Arial"/>
          <w:sz w:val="18"/>
          <w:szCs w:val="18"/>
          <w:i w:val="1"/>
          <w:iCs w:val="1"/>
          <w:color w:val="auto"/>
        </w:rPr>
        <w:t>SLC13A5</w:t>
      </w:r>
      <w:r>
        <w:rPr>
          <w:rFonts w:ascii="Arial" w:cs="Arial" w:eastAsia="Arial" w:hAnsi="Arial"/>
          <w:sz w:val="18"/>
          <w:szCs w:val="18"/>
          <w:color w:val="auto"/>
        </w:rPr>
        <w:t xml:space="preserve"> gene packaged in a self-complementary AAV9 capsid.</w:t>
      </w:r>
    </w:p>
    <w:p>
      <w:pPr>
        <w:spacing w:after="0" w:line="278"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We have received orphan drug designation and rare pediatric disease designation from the FDA for TSHA-105 for the treatment of epilepsy caused by caused by SLC13A5 deficiency.</w:t>
      </w:r>
    </w:p>
    <w:p>
      <w:pPr>
        <w:spacing w:after="0" w:line="2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Preclinical Studies</w:t>
      </w:r>
    </w:p>
    <w:p>
      <w:pPr>
        <w:spacing w:after="0" w:line="333"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In preliminary safety studies conducted in wildtype mice, vehicle or TSHA-105 was administered via CSF delivery. Weight and survival in the control and treatment group were the same and no overt toxicities were observed for up to one-year post-treatment.</w:t>
      </w:r>
    </w:p>
    <w:p>
      <w:pPr>
        <w:spacing w:after="0" w:line="278"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Studies to evaluate TSHA-105 were conducted using SLC13A5 knockout mice. In comparison to age-matched, wildtype controls, SLC13A5 knockout mice exhibit altered citrate metabolism along with abnormal electroencephalogram, or EEG, activity and increased seizure susceptibility. At 3 months of age, SLC13A5 knockout mice were treated with TSHA-105 via CSF delivery. Administration of TSHA-105 resulted in a significant, sustainable decrease of plasma citrate levels up to 3-months post-injection,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196215</wp:posOffset>
            </wp:positionV>
            <wp:extent cx="4423410" cy="22288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42341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8" w:name="page39"/>
    <w:bookmarkEnd w:id="38"/>
    <w:p>
      <w:pPr>
        <w:ind w:firstLine="699"/>
        <w:spacing w:after="0" w:line="277" w:lineRule="auto"/>
        <w:rPr>
          <w:sz w:val="20"/>
          <w:szCs w:val="20"/>
          <w:color w:val="auto"/>
        </w:rPr>
      </w:pPr>
      <w:r>
        <w:rPr>
          <w:rFonts w:ascii="Arial" w:cs="Arial" w:eastAsia="Arial" w:hAnsi="Arial"/>
          <w:sz w:val="18"/>
          <w:szCs w:val="18"/>
          <w:color w:val="auto"/>
        </w:rPr>
        <w:t>In addition, in ongoing EEG studies, TSHA-105 normalized EEG activity and decreased the number of seizures in knockout mice in comparison vehicle-treated controls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1185545</wp:posOffset>
            </wp:positionH>
            <wp:positionV relativeFrom="paragraph">
              <wp:posOffset>186055</wp:posOffset>
            </wp:positionV>
            <wp:extent cx="3815080" cy="5314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15080" cy="5314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20"/>
          </w:cols>
          <w:pgMar w:left="1080" w:top="665" w:right="599" w:bottom="1440" w:gutter="0" w:footer="0" w:header="0"/>
        </w:sectPr>
      </w:pPr>
    </w:p>
    <w:bookmarkStart w:id="39" w:name="page40"/>
    <w:bookmarkEnd w:id="39"/>
    <w:p>
      <w:pPr>
        <w:ind w:left="1460"/>
        <w:spacing w:after="0"/>
        <w:rPr>
          <w:sz w:val="20"/>
          <w:szCs w:val="20"/>
          <w:color w:val="auto"/>
        </w:rPr>
      </w:pPr>
      <w:r>
        <w:rPr>
          <w:rFonts w:ascii="Arial" w:cs="Arial" w:eastAsia="Arial" w:hAnsi="Arial"/>
          <w:sz w:val="18"/>
          <w:szCs w:val="18"/>
          <w:color w:val="auto"/>
        </w:rPr>
        <w:t>TSHA-105 also reduced seizure susceptibility in SLC13A5 knockout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220345</wp:posOffset>
            </wp:positionV>
            <wp:extent cx="5323205" cy="28117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2320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TSHA-103 for SLC6A1 Haploinsufficiency Disorder</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SLC6A1 haploinsufficiency disorder is caused by loss-of-function mutations in the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Loss of-function mutations in</w:t>
      </w:r>
    </w:p>
    <w:p>
      <w:pPr>
        <w:spacing w:after="0" w:line="23"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have been identified as one of the most common monogenic causes of epilepsy with myoclonic atonic seizures, or brief and abrupt seizures followed by loss of muscle strength, as well as autism spectrum disorder and intellectual disability.</w:t>
      </w:r>
    </w:p>
    <w:p>
      <w:pPr>
        <w:spacing w:after="0" w:line="293"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Patients diagnosed with SLC6A1 haploinsufficiency disorder typically present with developmental delay, varying degrees of intellectual disability, seizures and abnormal EEG characterized by generalized spike-wave discharges. Most patients are refractory to pharmacological seizure control although a portion of patients become seizure free during the course of disease progression. Importantly, seizure control is not associated with improved cognitive outcomes, which highlights the complexity of the disease as well as the need for novel therapies directed at its underlying pathology.</w:t>
      </w:r>
    </w:p>
    <w:p>
      <w:pPr>
        <w:spacing w:after="0" w:line="265" w:lineRule="exact"/>
        <w:rPr>
          <w:sz w:val="20"/>
          <w:szCs w:val="20"/>
          <w:color w:val="auto"/>
        </w:rPr>
      </w:pPr>
    </w:p>
    <w:p>
      <w:pPr>
        <w:ind w:right="100" w:firstLine="749"/>
        <w:spacing w:after="0" w:line="279" w:lineRule="auto"/>
        <w:rPr>
          <w:sz w:val="20"/>
          <w:szCs w:val="20"/>
          <w:color w:val="auto"/>
        </w:rPr>
      </w:pPr>
      <w:r>
        <w:rPr>
          <w:rFonts w:ascii="Arial" w:cs="Arial" w:eastAsia="Arial" w:hAnsi="Arial"/>
          <w:sz w:val="17"/>
          <w:szCs w:val="17"/>
          <w:color w:val="auto"/>
        </w:rPr>
        <w:t>Approximately 81% of patients with SLC6A1 haploinsufficiency disorder have epilepsy, with typical absence seizures, which are abrupt and followed by lack of awareness, being the predominant form observed. In addition, 91% of individuals exhibit developmental delays, with more than 80% characterized as mild or moderate intellectual disability. Ataxia, or tremors, is present in approximately 29% of individuals, while autism or autistic features are observed in approximately 24% of individuals diagnosed with SLC6A1 haploinsufficiency disorder.</w:t>
      </w:r>
    </w:p>
    <w:p>
      <w:pPr>
        <w:spacing w:after="0" w:line="279" w:lineRule="exact"/>
        <w:rPr>
          <w:sz w:val="20"/>
          <w:szCs w:val="20"/>
          <w:color w:val="auto"/>
        </w:rPr>
      </w:pPr>
    </w:p>
    <w:p>
      <w:pPr>
        <w:ind w:right="260" w:firstLine="749"/>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encodes the gamma-aminobutyric acid, or GABA, transporter 1, or GAT1. GAT1 is a voltage-dependent transporter responsible for the reuptake of GABA, a non-protein amino acid that is well characterized for its role as a major inhibitory neurotransmitter within the mammalian CNS. GAT1 plays a critical role in the reuptake of GABA from neuronal synapses and extracellular spaces and as a result, a critical role in balancing neuronal excitations. When GABA transport is disrupted, brain development is negatively impacted resulting in deficits in attention and cognition as well as seizures.</w:t>
      </w:r>
    </w:p>
    <w:p>
      <w:pPr>
        <w:spacing w:after="0" w:line="296"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auto"/>
        </w:rPr>
        <w:t>The exact incidence and prevalence of SLC6A1 haploinsufficiency disorder is unknown but we believe the estimated prevalence is 17,000 patients in the United States and European Union. According to recently published data, the incidence of SLC6A1 haploinsufficiency disorder is approximately 1 in 36,000 live births. We believe that SLC6A1 haploinsufficiency disorder is underdiagnosed as the underlying biology was only recently elucidated and the gene had not been part of commercially available genetic epilepsy screening panels. Clinician education and expanded use of genetic screening panels that include SLC6A1 will likely lead to increased identification of individuals with these mutations.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665" w:right="439" w:bottom="1440" w:gutter="0" w:footer="0" w:header="0"/>
        </w:sectPr>
      </w:pPr>
    </w:p>
    <w:bookmarkStart w:id="40" w:name="page41"/>
    <w:bookmarkEnd w:id="40"/>
    <w:p>
      <w:pPr>
        <w:ind w:left="760"/>
        <w:spacing w:after="0"/>
        <w:rPr>
          <w:sz w:val="20"/>
          <w:szCs w:val="20"/>
          <w:color w:val="auto"/>
        </w:rPr>
      </w:pPr>
      <w:r>
        <w:rPr>
          <w:rFonts w:ascii="Arial" w:cs="Arial" w:eastAsia="Arial" w:hAnsi="Arial"/>
          <w:sz w:val="18"/>
          <w:szCs w:val="18"/>
          <w:i w:val="1"/>
          <w:iCs w:val="1"/>
          <w:color w:val="auto"/>
        </w:rPr>
        <w:t>Our Solution: TSHA-103</w:t>
      </w:r>
    </w:p>
    <w:p>
      <w:pPr>
        <w:spacing w:after="0" w:line="117"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 xml:space="preserve">We are developing TSHA-103, a genetic epilepsy product candidate, for the treatment of SLC6A1 haploinsufficiency disorder. TSHA-103 is a gene replacement therapy constructed from a codon-optimized version of the human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packaged within a self-complementary AAV9 viral vector. We are currently conducting preclinical studies of TSHA-103.</w:t>
      </w:r>
    </w:p>
    <w:p>
      <w:pPr>
        <w:spacing w:after="0" w:line="76"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We have received orphan drug designation and rare pediatric disease designation from the FDA for TSHA-103 for the treatment of epilepsy caused by SLC6A1 haploinsufficiency disorder.</w:t>
      </w:r>
    </w:p>
    <w:p>
      <w:pPr>
        <w:spacing w:after="0" w:line="38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We are currently conducting preclinical studies of TSHA-103. In the SLC6A1 knockout mouse model, TSHA-103 improved nesting and EEG, activity,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7136130" cy="2445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2445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00" w:firstLine="749"/>
        <w:spacing w:after="0" w:line="277" w:lineRule="auto"/>
        <w:rPr>
          <w:sz w:val="20"/>
          <w:szCs w:val="20"/>
          <w:color w:val="auto"/>
        </w:rPr>
      </w:pPr>
      <w:r>
        <w:rPr>
          <w:rFonts w:ascii="Arial" w:cs="Arial" w:eastAsia="Arial" w:hAnsi="Arial"/>
          <w:sz w:val="18"/>
          <w:szCs w:val="18"/>
          <w:color w:val="auto"/>
        </w:rPr>
        <w:t>In SLC6A1 knockout and heterozygous mouse models, TSHA-103 reduced spike train activity, which is a recording of abnormal neuronal activity associated with seizures,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498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2498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20"/>
          </w:cols>
          <w:pgMar w:left="320" w:top="665" w:right="5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License Agreement with The University of Texas Southwestern Medical Center</w:t>
      </w:r>
    </w:p>
    <w:p>
      <w:pPr>
        <w:spacing w:after="0" w:line="117"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color w:val="auto"/>
        </w:rPr>
        <w:t>In November 2019, we entered into a research, collaboration and license agreement, or the UT Southwestern Agreement with The Board of Regents of the University of Texas System on behalf of UT Southwestern, as amended in April 2020.</w:t>
      </w:r>
    </w:p>
    <w:p>
      <w:pPr>
        <w:spacing w:after="0" w:line="278"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286"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In connection with the entry into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Queen’s University</w:t>
      </w:r>
    </w:p>
    <w:p>
      <w:pPr>
        <w:spacing w:after="0" w:line="117"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In February 2020, we entered into a license agreement, or the Queen’s University Agreement with Queen’s University. In connection with the Queen’s University Agreement, we obtained an exclusive, perpetual, worldwide, royalty-bearing license, with the right to grant sublicenses, under certain patent rights and know-how of Queen’s University, including certain improvements to the foregoing, to make, have made, use, offer for sale, sell and import licensed products and otherwise exploit such patents and know-how for use in certain specified indications. We also obtained an exclusive right of first negotiation to license certain next generation technology and improvements of Queen’s University that do not constitute an already-licensed improvement to the licensed technology.</w:t>
      </w:r>
    </w:p>
    <w:p>
      <w:pPr>
        <w:spacing w:after="0" w:line="30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 connection with the Queen’s University Agreement, we paid Queen’s University a one-time fee of $3.0 million as an upfront fee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approximately $0.2 million to reimburse Queen’s University for certain plasmid production costs. We are obligated to pay Queen’s University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in the aggregate upon achievement of certain regulatory milestones and up to $10.0 million in the aggregate upon achievement of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milestones, a low single digit royalty on net sales of licensed products, subject to certain customary reductions, and a percentage of non-royalty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sublicensing revenue ranging in the low double digits. Royalties are payable on a licensed product-by-licensed product basis and country-by-country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until expiration of the last valid claim of a licensed patent covering such licensed product in such country and the expiration of any regulatory exclusivity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such licensed product in such country. Additionally, we are obligated to pay Queen’s University a low double-digit portion of any amounts received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in connection with the sale of a priority review voucher related to a licensed product, not to exceed a low eight-figure amount.</w:t>
      </w:r>
    </w:p>
    <w:p>
      <w:pPr>
        <w:spacing w:after="0" w:line="319"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In connection with a separate research grant agreement with Queen’s University, we reimbursed Queen’s University for certain manufacturing production costs totaling $3.8 million in fiscal year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Abeona (CLN1 Disease)</w:t>
      </w:r>
    </w:p>
    <w:p>
      <w:pPr>
        <w:spacing w:after="0" w:line="117"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p>
    <w:p>
      <w:pPr>
        <w:spacing w:after="0" w:line="296" w:lineRule="exact"/>
        <w:rPr>
          <w:sz w:val="20"/>
          <w:szCs w:val="20"/>
          <w:color w:val="auto"/>
        </w:rPr>
      </w:pPr>
    </w:p>
    <w:p>
      <w:pPr>
        <w:ind w:right="120" w:firstLine="749"/>
        <w:spacing w:after="0" w:line="255" w:lineRule="auto"/>
        <w:rPr>
          <w:sz w:val="20"/>
          <w:szCs w:val="20"/>
          <w:color w:val="auto"/>
        </w:rPr>
      </w:pPr>
      <w:r>
        <w:rPr>
          <w:rFonts w:ascii="Arial" w:cs="Arial" w:eastAsia="Arial" w:hAnsi="Arial"/>
          <w:sz w:val="18"/>
          <w:szCs w:val="18"/>
          <w:color w:val="auto"/>
        </w:rPr>
        <w:t>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2" w:name="page43"/>
    <w:bookmarkEnd w:id="42"/>
    <w:p>
      <w:pPr>
        <w:ind w:right="360"/>
        <w:spacing w:after="0" w:line="311" w:lineRule="auto"/>
        <w:rPr>
          <w:sz w:val="20"/>
          <w:szCs w:val="20"/>
          <w:color w:val="auto"/>
        </w:rPr>
      </w:pPr>
      <w:r>
        <w:rPr>
          <w:rFonts w:ascii="Arial" w:cs="Arial" w:eastAsia="Arial" w:hAnsi="Arial"/>
          <w:sz w:val="16"/>
          <w:szCs w:val="16"/>
          <w:color w:val="auto"/>
        </w:rPr>
        <w:t>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w:t>
      </w:r>
    </w:p>
    <w:p>
      <w:pPr>
        <w:spacing w:after="0" w:line="257" w:lineRule="exact"/>
        <w:rPr>
          <w:sz w:val="20"/>
          <w:szCs w:val="20"/>
          <w:color w:val="auto"/>
        </w:rPr>
      </w:pPr>
    </w:p>
    <w:p>
      <w:pPr>
        <w:ind w:right="140" w:firstLine="749"/>
        <w:spacing w:after="0" w:line="286" w:lineRule="auto"/>
        <w:rPr>
          <w:sz w:val="20"/>
          <w:szCs w:val="20"/>
          <w:color w:val="auto"/>
        </w:rPr>
      </w:pPr>
      <w:r>
        <w:rPr>
          <w:rFonts w:ascii="Arial" w:cs="Arial" w:eastAsia="Arial" w:hAnsi="Arial"/>
          <w:sz w:val="17"/>
          <w:szCs w:val="17"/>
          <w:color w:val="auto"/>
        </w:rPr>
        <w:t>The Abeona CLN1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Abeona (Rett Syndrome)</w:t>
      </w:r>
    </w:p>
    <w:p>
      <w:pPr>
        <w:spacing w:after="0" w:line="117" w:lineRule="exact"/>
        <w:rPr>
          <w:sz w:val="20"/>
          <w:szCs w:val="20"/>
          <w:color w:val="auto"/>
        </w:rPr>
      </w:pPr>
    </w:p>
    <w:p>
      <w:pPr>
        <w:ind w:right="120" w:firstLine="749"/>
        <w:spacing w:after="0" w:line="279" w:lineRule="auto"/>
        <w:rPr>
          <w:sz w:val="20"/>
          <w:szCs w:val="20"/>
          <w:color w:val="auto"/>
        </w:rPr>
      </w:pPr>
      <w:r>
        <w:rPr>
          <w:rFonts w:ascii="Arial" w:cs="Arial" w:eastAsia="Arial" w:hAnsi="Arial"/>
          <w:sz w:val="17"/>
          <w:szCs w:val="17"/>
          <w:color w:val="auto"/>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279" w:lineRule="exact"/>
        <w:rPr>
          <w:sz w:val="20"/>
          <w:szCs w:val="20"/>
          <w:color w:val="auto"/>
        </w:rPr>
      </w:pPr>
    </w:p>
    <w:p>
      <w:pPr>
        <w:ind w:right="340" w:firstLine="749"/>
        <w:spacing w:after="0" w:line="277" w:lineRule="auto"/>
        <w:rPr>
          <w:sz w:val="20"/>
          <w:szCs w:val="20"/>
          <w:color w:val="auto"/>
        </w:rPr>
      </w:pPr>
      <w:r>
        <w:rPr>
          <w:rFonts w:ascii="Arial" w:cs="Arial" w:eastAsia="Arial" w:hAnsi="Arial"/>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278"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272"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337"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We have been actively monitoring the COVID-19 situation and its impact globally. Our financial results for the quarter ended March 31, 2021 were not impacted by COVID-19. We believe the remote working arrangements and travel restrictions imposed by various governmental jurisdictions have had limited impact on our ability to maintain internal operations during the quarter ended March 31, 2021. The extent to which COVID-19 may impact our business and operations will depend on future developments that are highly uncertain and cannot be predicted with confidence, such as the duration of the outbreak, the effectiveness of actions to contain and treat COVID-19 and the efficacy, availability and adoption of vaccines, both domestically and globally. Although we have not experienced any material business shutdowns or interruptions due to the COVID-19 pandemic, we cannot predict the scope and severity of any potential business shutdowns or disruptions in the future, including to our planned clinical trials and preclinical studies. Any such shutdowns or other business interruptions could result in material and negative effects to our ability to conduct our business in the manner and on the timelines presently planned, which could have a material adverse impact on our business, results of operation and financial condition.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w:t>
      </w:r>
    </w:p>
    <w:p>
      <w:pPr>
        <w:spacing w:after="0" w:line="84" w:lineRule="exact"/>
        <w:rPr>
          <w:sz w:val="20"/>
          <w:szCs w:val="20"/>
          <w:color w:val="auto"/>
        </w:rPr>
      </w:pPr>
    </w:p>
    <w:p>
      <w:pPr>
        <w:ind w:left="1120" w:right="62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stock-based compensation, other related costs for those employees involved in research and development efforts;</w:t>
      </w:r>
    </w:p>
    <w:p>
      <w:pPr>
        <w:spacing w:after="0" w:line="62" w:lineRule="exact"/>
        <w:rPr>
          <w:rFonts w:ascii="Arial" w:cs="Arial" w:eastAsia="Arial" w:hAnsi="Arial"/>
          <w:sz w:val="18"/>
          <w:szCs w:val="18"/>
          <w:color w:val="auto"/>
        </w:rPr>
      </w:pPr>
    </w:p>
    <w:p>
      <w:pPr>
        <w:ind w:left="1120" w:right="66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consultants, contract research organizations, or CROs, investigative sites and consultants to conduct our preclinical studies;</w:t>
      </w:r>
    </w:p>
    <w:p>
      <w:pPr>
        <w:spacing w:after="0" w:line="62" w:lineRule="exact"/>
        <w:rPr>
          <w:rFonts w:ascii="Arial" w:cs="Arial" w:eastAsia="Arial" w:hAnsi="Arial"/>
          <w:sz w:val="18"/>
          <w:szCs w:val="18"/>
          <w:color w:val="auto"/>
        </w:rPr>
      </w:pPr>
    </w:p>
    <w:p>
      <w:pPr>
        <w:ind w:left="1120" w:right="78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 and clinical trials, including fees paid to contract manufacturing organizations, or CMOs;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1120" w:right="68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equipment.</w:t>
      </w:r>
    </w:p>
    <w:p>
      <w:pPr>
        <w:spacing w:after="0" w:line="278"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74" w:lineRule="exact"/>
        <w:rPr>
          <w:sz w:val="20"/>
          <w:szCs w:val="20"/>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to conduct preclinical studies required to advance our product candidates into clinical development;</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patient trial costs, including based on the number of doses that patients received;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patients who enroll in each trial;</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117" w:lineRule="exact"/>
        <w:rPr>
          <w:rFonts w:ascii="Arial" w:cs="Arial" w:eastAsia="Arial" w:hAnsi="Arial"/>
          <w:sz w:val="18"/>
          <w:szCs w:val="18"/>
          <w:color w:val="auto"/>
        </w:rPr>
      </w:pPr>
    </w:p>
    <w:p>
      <w:pPr>
        <w:ind w:left="1120" w:right="240" w:hanging="370"/>
        <w:spacing w:after="0" w:line="27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contractors failing to comply with regulatory requirements or meet their contractual obligations to us in a timely manner, or at 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manufacture of our product candidates;</w:t>
      </w:r>
    </w:p>
    <w:p>
      <w:pPr>
        <w:spacing w:after="0" w:line="117" w:lineRule="exact"/>
        <w:rPr>
          <w:rFonts w:ascii="Arial" w:cs="Arial" w:eastAsia="Arial" w:hAnsi="Arial"/>
          <w:sz w:val="18"/>
          <w:szCs w:val="18"/>
          <w:color w:val="auto"/>
        </w:rPr>
      </w:pPr>
    </w:p>
    <w:p>
      <w:pPr>
        <w:ind w:left="1120" w:right="100" w:hanging="370"/>
        <w:spacing w:after="0" w:line="263"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75"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General and administrative expenses consist or will consist principally of salaries and related costs for personnel in executive and administrative functions, including stock-based compensation, travel expenses and recruiting expenses. Other general and administrative expenses include professional fees for legal, consulting, accounting and audit and tax-related services and insurance costs.</w:t>
      </w:r>
    </w:p>
    <w:p>
      <w:pPr>
        <w:spacing w:after="0" w:line="292"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our expanded infrastructure, as well as the initiation and continuation of our preclinical studies and clinical trials for our product candidates. We also anticipate that our general and administrative expenses will increase as a result of payments for accounting, audit, legal, consulting services, as well as costs associated with maintaining compliance with Nasdaq listing rules and SEC requirements, director and officer liability insurance, investor and public relations activities and other expenses associated with operating as a public company. We anticipate the additional costs for these services will increase our general and administrative expenses by between $6.0 million and $7.0 million on an annual basis, including the cost of director and officer liability insurance.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2021 and for the Three Months Ended March 31, 2020</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summarizes our results of operations for the three months ended March 31, 2021 and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w:t>
            </w:r>
          </w:p>
        </w:tc>
        <w:tc>
          <w:tcPr>
            <w:tcW w:w="100" w:type="dxa"/>
            <w:vAlign w:val="bottom"/>
          </w:tcPr>
          <w:p>
            <w:pPr>
              <w:spacing w:after="0"/>
              <w:rPr>
                <w:sz w:val="14"/>
                <w:szCs w:val="14"/>
                <w:color w:val="auto"/>
              </w:rPr>
            </w:pPr>
          </w:p>
        </w:tc>
        <w:tc>
          <w:tcPr>
            <w:tcW w:w="158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For the Three Months</w:t>
            </w:r>
          </w:p>
        </w:tc>
      </w:tr>
      <w:tr>
        <w:trPr>
          <w:trHeight w:val="171"/>
        </w:trPr>
        <w:tc>
          <w:tcPr>
            <w:tcW w:w="7720" w:type="dxa"/>
            <w:vAlign w:val="bottom"/>
          </w:tcPr>
          <w:p>
            <w:pPr>
              <w:spacing w:after="0"/>
              <w:rPr>
                <w:sz w:val="14"/>
                <w:szCs w:val="14"/>
                <w:color w:val="auto"/>
              </w:rPr>
            </w:pPr>
          </w:p>
        </w:tc>
        <w:tc>
          <w:tcPr>
            <w:tcW w:w="1840" w:type="dxa"/>
            <w:vAlign w:val="bottom"/>
            <w:gridSpan w:val="3"/>
          </w:tcPr>
          <w:p>
            <w:pPr>
              <w:ind w:left="80"/>
              <w:spacing w:after="0"/>
              <w:rPr>
                <w:sz w:val="20"/>
                <w:szCs w:val="20"/>
                <w:color w:val="auto"/>
              </w:rPr>
            </w:pPr>
            <w:r>
              <w:rPr>
                <w:rFonts w:ascii="Arial" w:cs="Arial" w:eastAsia="Arial" w:hAnsi="Arial"/>
                <w:sz w:val="14"/>
                <w:szCs w:val="14"/>
                <w:b w:val="1"/>
                <w:bCs w:val="1"/>
                <w:color w:val="auto"/>
              </w:rPr>
              <w:t>Ended March 31, 2021</w:t>
            </w:r>
          </w:p>
        </w:tc>
        <w:tc>
          <w:tcPr>
            <w:tcW w:w="16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w w:val="98"/>
              </w:rPr>
              <w:t>Ended March 31,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23,854</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5,514</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8,236</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70</w:t>
            </w: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32,090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5,584</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(32,090)</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(5,584)</w:t>
            </w: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preferred stock tranche liability</w:t>
            </w: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180</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66</w:t>
            </w:r>
          </w:p>
        </w:tc>
        <w:tc>
          <w:tcPr>
            <w:tcW w:w="1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153</w:t>
            </w: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(32,024)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(5,431)</w:t>
            </w:r>
          </w:p>
        </w:tc>
      </w:tr>
      <w:tr>
        <w:trPr>
          <w:trHeight w:val="20"/>
        </w:trPr>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749"/>
        <w:spacing w:after="0" w:line="290" w:lineRule="auto"/>
        <w:rPr>
          <w:sz w:val="20"/>
          <w:szCs w:val="20"/>
          <w:color w:val="auto"/>
        </w:rPr>
      </w:pPr>
      <w:r>
        <w:rPr>
          <w:rFonts w:ascii="Arial" w:cs="Arial" w:eastAsia="Arial" w:hAnsi="Arial"/>
          <w:sz w:val="16"/>
          <w:szCs w:val="16"/>
          <w:color w:val="auto"/>
        </w:rPr>
        <w:t>Research and development expenses were $23.9 million for the three months ended March 31, 2021, compared to $5.5 million for the three months ended March 31, 2020. The $18.4 million increase was primarily attributable to an increase of $3.1 million of expenses incurred in research and development manufacturing and other raw material purchases, which included cGMP batches produced by Catalent and UT Southwestern. Additionally, we incurred a year-over-year increase of $3.1 million in research and development licensing fees driven by the acquisition of exclusive worldwide rights to TSHA-120, for the treatment of GAN. We incurred an increase in employee compensation and expenses of $5.2 million, which included $1.6 million of non-cash stock-based compensation. We also incurred an increase of $2.4 million in sponsored research agreement expenses for our various product candidates. Additionally, we incurred an increase of $2.7 million for research and development consulting fees including technical operations support and translational sciences, $0.9 million for regulatory and clinical consulting, and other research and development of $1.0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left="7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General and administrative expenses were $8.2 million for the three months ended March 31, 2021, compared to less than $0.1 million for the three months ended March 31, 2020. The increase of approximately $8.1 million was primarily attributable to $4.2 million of incremental compensation expense, which included $2.0 million of non-cash stock-based compensation, $1.5 million of additional consulting and professional fees, including patient advocacy consulting fees and personnel recruiting expenses. We also incurred an increase of $0.9 million of professional fees, which included $0.7 million in legal expenses related to general corporate matters, $0.8 million related to insurance expenses, $0.3 million of marketing expenses, and other general and administrative expenses of $0.5 million.</w:t>
      </w:r>
    </w:p>
    <w:p>
      <w:pPr>
        <w:spacing w:after="0" w:line="30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Change in Fair Value of Preferred Stock Tranche Liability</w:t>
      </w:r>
    </w:p>
    <w:p>
      <w:pPr>
        <w:spacing w:after="0" w:line="23" w:lineRule="exact"/>
        <w:rPr>
          <w:sz w:val="20"/>
          <w:szCs w:val="20"/>
          <w:color w:val="auto"/>
        </w:rPr>
      </w:pPr>
    </w:p>
    <w:p>
      <w:pPr>
        <w:ind w:right="40" w:firstLine="749"/>
        <w:spacing w:after="0" w:line="253" w:lineRule="auto"/>
        <w:rPr>
          <w:sz w:val="20"/>
          <w:szCs w:val="20"/>
          <w:color w:val="auto"/>
        </w:rPr>
      </w:pPr>
      <w:r>
        <w:rPr>
          <w:rFonts w:ascii="Arial" w:cs="Arial" w:eastAsia="Arial" w:hAnsi="Arial"/>
          <w:sz w:val="18"/>
          <w:szCs w:val="18"/>
          <w:color w:val="auto"/>
        </w:rPr>
        <w:t>We determined that our obligation to issue, and the investors’ right to purchase, additional shares of Series A convertible preferred stock pursuant to the milestone closings represented a freestanding financial instrument, or the tranche liability. The tranche liability was initially recorded at fair value. We concluded that the tranche liability met the definition of a freestanding financial instrument, as it was legally detachable and separately exercisable from the initial closing of the Series A convertible preferred stock.</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March 31, 2020 the tranche liability was remeasured and a non-cash gain of $0.2 million was recorded in other income, net.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As of March 31, 2021, we had cash and cash equivalents of $228.7 million. We have funded our operations through equity financings, raising an aggregate of $307.0 million in gross proceeds from our initial public offering and private placements of convertible preferred stock. Specifically, between March and July 2020, we closed on the sale of an aggregate of 10,000,000 shares of Series A convertible preferred stock for gross proceeds of $30.0 million. In July and August 2020, we closed on the sale of an aggregate of 5,647,048 shares of Series B convertible preferred stock for gross proceeds of $96.0 million. In September 2020, we raised gross proceeds of $181.0 million in our initial public offering.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initiate clinical trials of and seek marketing approval for our product candidates, as well as build out of our cGMP manufacturing facility in Durham, North Carolina. In addition, if we obtain approval for any of our product candidates, we expect to incur significant commercialization expenses related to sales, marketing, manufacturing and distribution. Furthermore, we expect to incur additional costs associated with operating as a public company.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276" w:lineRule="exact"/>
        <w:rPr>
          <w:sz w:val="20"/>
          <w:szCs w:val="20"/>
          <w:color w:val="auto"/>
        </w:rPr>
      </w:pPr>
    </w:p>
    <w:p>
      <w:pPr>
        <w:ind w:right="160" w:firstLine="749"/>
        <w:spacing w:after="0" w:line="286" w:lineRule="auto"/>
        <w:rPr>
          <w:sz w:val="20"/>
          <w:szCs w:val="20"/>
          <w:color w:val="auto"/>
        </w:rPr>
      </w:pPr>
      <w:r>
        <w:rPr>
          <w:rFonts w:ascii="Arial" w:cs="Arial" w:eastAsia="Arial" w:hAnsi="Arial"/>
          <w:sz w:val="17"/>
          <w:szCs w:val="17"/>
          <w:color w:val="auto"/>
        </w:rPr>
        <w:t>We believe that our existing cash and cash equivalents will enable us to fund our operating expenses and capital requirements into 2023. We intend to devote our existing cash and cash equivalents to the clinical and preclinical development of our product candidates. We have based this estimate on assumptions that may prove to be imprecise, and we could utilize our available capital resources sooner than we expect.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6" w:name="page47"/>
    <w:bookmarkEnd w:id="46"/>
    <w:p>
      <w:pPr>
        <w:ind w:right="40" w:firstLine="749"/>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76" w:lineRule="exact"/>
        <w:rPr>
          <w:sz w:val="20"/>
          <w:szCs w:val="20"/>
          <w:color w:val="auto"/>
        </w:rPr>
      </w:pPr>
    </w:p>
    <w:p>
      <w:pPr>
        <w:ind w:left="1120" w:right="6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preclinical development, laboratory testing and clinical trials for TSHA-101, TSHA-118, TSHA-102, TSHA-104, and TSHA-120 and any current and future product candidates that we advance;</w:t>
      </w:r>
    </w:p>
    <w:p>
      <w:pPr>
        <w:spacing w:after="0" w:line="62" w:lineRule="exact"/>
        <w:rPr>
          <w:rFonts w:ascii="Arial" w:cs="Arial" w:eastAsia="Arial" w:hAnsi="Arial"/>
          <w:sz w:val="18"/>
          <w:szCs w:val="18"/>
          <w:color w:val="auto"/>
        </w:rPr>
      </w:pPr>
    </w:p>
    <w:p>
      <w:pPr>
        <w:ind w:left="1120" w:right="48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gene therapy product candidate pipeline;</w:t>
      </w:r>
    </w:p>
    <w:p>
      <w:pPr>
        <w:spacing w:after="0" w:line="62" w:lineRule="exact"/>
        <w:rPr>
          <w:rFonts w:ascii="Arial" w:cs="Arial" w:eastAsia="Arial" w:hAnsi="Arial"/>
          <w:sz w:val="18"/>
          <w:szCs w:val="18"/>
          <w:color w:val="auto"/>
        </w:rPr>
      </w:pPr>
    </w:p>
    <w:p>
      <w:pPr>
        <w:ind w:left="1120" w:right="64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120" w:right="96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establishing and maintaining our own commercial-scale cGMP manufacturing facility;</w:t>
      </w:r>
    </w:p>
    <w:p>
      <w:pPr>
        <w:spacing w:after="0" w:line="117" w:lineRule="exact"/>
        <w:rPr>
          <w:rFonts w:ascii="Arial" w:cs="Arial" w:eastAsia="Arial" w:hAnsi="Arial"/>
          <w:sz w:val="18"/>
          <w:szCs w:val="18"/>
          <w:color w:val="auto"/>
        </w:rPr>
      </w:pPr>
    </w:p>
    <w:p>
      <w:pPr>
        <w:ind w:left="1120" w:right="20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120" w:right="16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3" w:lineRule="exact"/>
        <w:rPr>
          <w:sz w:val="20"/>
          <w:szCs w:val="20"/>
          <w:color w:val="auto"/>
        </w:rPr>
      </w:pPr>
    </w:p>
    <w:p>
      <w:pPr>
        <w:ind w:right="20" w:firstLine="749"/>
        <w:spacing w:after="0" w:line="267" w:lineRule="auto"/>
        <w:rPr>
          <w:sz w:val="20"/>
          <w:szCs w:val="20"/>
          <w:color w:val="auto"/>
        </w:rPr>
      </w:pPr>
      <w:r>
        <w:rPr>
          <w:rFonts w:ascii="Arial" w:cs="Arial" w:eastAsia="Arial" w:hAnsi="Arial"/>
          <w:sz w:val="17"/>
          <w:szCs w:val="17"/>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294"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We are continuing to assess the effect that the COVID-19 pandemic may have on our business and operations. The extent to which COVID-19 may impact our business and operations will depend on future developments that are highly uncertain and cannot be predicted with confidence, such as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and the efficacy, availability and adoption of vaccines, both domestically and globally. While the potential economic impact brought by, and the duration of, COVID-19 may be difficult to assess or predict, a continued and growing pandemic could result in significant disruption of global financial markets, reducing our ability to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access capital, which could in the future negatively affect our liquidity. In addition, a recession or market correction resulting from the spread of COVID-19 could materially affect our business and the value of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a summary of our cash flows for the three months ended March 30, 2021 and 2020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For the Three Months</w:t>
            </w:r>
          </w:p>
        </w:tc>
        <w:tc>
          <w:tcPr>
            <w:tcW w:w="10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w:t>
            </w:r>
          </w:p>
        </w:tc>
      </w:tr>
      <w:tr>
        <w:trPr>
          <w:trHeight w:val="171"/>
        </w:trPr>
        <w:tc>
          <w:tcPr>
            <w:tcW w:w="7720" w:type="dxa"/>
            <w:vAlign w:val="bottom"/>
          </w:tcPr>
          <w:p>
            <w:pPr>
              <w:spacing w:after="0"/>
              <w:rPr>
                <w:sz w:val="14"/>
                <w:szCs w:val="14"/>
                <w:color w:val="auto"/>
              </w:rPr>
            </w:pPr>
          </w:p>
        </w:tc>
        <w:tc>
          <w:tcPr>
            <w:tcW w:w="18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9"/>
              </w:rPr>
              <w:t>Ended March 31, 2021</w:t>
            </w:r>
          </w:p>
        </w:tc>
        <w:tc>
          <w:tcPr>
            <w:tcW w:w="1680" w:type="dxa"/>
            <w:vAlign w:val="bottom"/>
            <w:gridSpan w:val="3"/>
          </w:tcPr>
          <w:p>
            <w:pPr>
              <w:ind w:left="80"/>
              <w:spacing w:after="0"/>
              <w:rPr>
                <w:sz w:val="20"/>
                <w:szCs w:val="20"/>
                <w:color w:val="auto"/>
              </w:rPr>
            </w:pPr>
            <w:r>
              <w:rPr>
                <w:rFonts w:ascii="Arial" w:cs="Arial" w:eastAsia="Arial" w:hAnsi="Arial"/>
                <w:sz w:val="14"/>
                <w:szCs w:val="14"/>
                <w:b w:val="1"/>
                <w:bCs w:val="1"/>
                <w:color w:val="auto"/>
              </w:rPr>
              <w:t>Ended March 31,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(22,035)</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(22,569)</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For the three months ended March 31, 2021, our net cash used in operating activities of $22.0 million primarily consisted of a net loss of $32.0 million, primarily attributable to our spending on research and development expenses. The net loss of $32.0 million was partially offset by adjustments for non-cash items, primarily the up-front license fee of $5.5 million to HHF related to the acquisition of TSHA-120 and stock-based compensation of $3.6 million.</w:t>
      </w:r>
    </w:p>
    <w:p>
      <w:pPr>
        <w:spacing w:after="0" w:line="79" w:lineRule="exact"/>
        <w:rPr>
          <w:sz w:val="20"/>
          <w:szCs w:val="20"/>
          <w:color w:val="auto"/>
        </w:rPr>
      </w:pPr>
    </w:p>
    <w:p>
      <w:pPr>
        <w:jc w:val="both"/>
        <w:ind w:right="320" w:firstLine="749"/>
        <w:spacing w:after="0" w:line="263" w:lineRule="auto"/>
        <w:rPr>
          <w:sz w:val="20"/>
          <w:szCs w:val="20"/>
          <w:color w:val="auto"/>
        </w:rPr>
      </w:pPr>
      <w:r>
        <w:rPr>
          <w:rFonts w:ascii="Arial" w:cs="Arial" w:eastAsia="Arial" w:hAnsi="Arial"/>
          <w:sz w:val="18"/>
          <w:szCs w:val="18"/>
          <w:color w:val="auto"/>
        </w:rPr>
        <w:t>For the three months ended March 31, 2020, our net cash used in operating activities of $1.7 million primarily consisted of a net loss of $5.4 million, primarily attributable to spending on research and development expenses. The net loss of $5.4 million was partially offset by the upfront fee to acquire the license rights pursuant to the Queen’s University Agreement for $3.0 million.</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500" w:firstLine="749"/>
        <w:spacing w:after="0" w:line="277" w:lineRule="auto"/>
        <w:rPr>
          <w:sz w:val="20"/>
          <w:szCs w:val="20"/>
          <w:color w:val="auto"/>
        </w:rPr>
      </w:pPr>
      <w:r>
        <w:rPr>
          <w:rFonts w:ascii="Arial" w:cs="Arial" w:eastAsia="Arial" w:hAnsi="Arial"/>
          <w:sz w:val="18"/>
          <w:szCs w:val="18"/>
          <w:color w:val="auto"/>
        </w:rPr>
        <w:t>During the three months ended March 31, 2021, investing activities used $0.5 million of cash attributable to capital expenditures related to computer and lab equipment. No investing activities took place in the three months ended March 31, 2020.</w:t>
      </w:r>
    </w:p>
    <w:p>
      <w:pPr>
        <w:spacing w:after="0" w:line="27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80" w:firstLine="749"/>
        <w:spacing w:after="0" w:line="277" w:lineRule="auto"/>
        <w:rPr>
          <w:sz w:val="20"/>
          <w:szCs w:val="20"/>
          <w:color w:val="auto"/>
        </w:rPr>
      </w:pPr>
      <w:r>
        <w:rPr>
          <w:rFonts w:ascii="Arial" w:cs="Arial" w:eastAsia="Arial" w:hAnsi="Arial"/>
          <w:sz w:val="18"/>
          <w:szCs w:val="18"/>
          <w:color w:val="auto"/>
        </w:rPr>
        <w:t>During the three months ended March 31, 2020, financing activities provided $18.0 million attributable to the net proceeds from the sale of our Series A convertible preferred stock. No financing activities took place during the three months ended March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There were no material changes to our critical accounting policies that are disclosed in our audited consolidated financial statements for the year ended December 31, 2020 filed with the SEC on March 3,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80" w:firstLine="749"/>
        <w:spacing w:after="0" w:line="263" w:lineRule="auto"/>
        <w:rPr>
          <w:sz w:val="20"/>
          <w:szCs w:val="20"/>
          <w:color w:val="auto"/>
        </w:rPr>
      </w:pPr>
      <w:r>
        <w:rPr>
          <w:rFonts w:ascii="Arial" w:cs="Arial" w:eastAsia="Arial" w:hAnsi="Arial"/>
          <w:sz w:val="18"/>
          <w:szCs w:val="18"/>
          <w:color w:val="auto"/>
        </w:rPr>
        <w:t>See Note 2 to our unaudited condensed consolidated financial statements located in “Part I – Financial Information, Item 1. Financial Statements” in this Quarterly Report on Form 10-Q for a description of recent accounting pronouncements applicable to our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In April 2012, the Jumpstart Our Business Startups Act of 2012, or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spacing w:after="0" w:line="263" w:lineRule="auto"/>
        <w:rPr>
          <w:sz w:val="20"/>
          <w:szCs w:val="20"/>
          <w:color w:val="auto"/>
        </w:rPr>
      </w:pPr>
      <w:r>
        <w:rPr>
          <w:rFonts w:ascii="Arial" w:cs="Arial" w:eastAsia="Arial" w:hAnsi="Arial"/>
          <w:sz w:val="18"/>
          <w:szCs w:val="18"/>
          <w:color w:val="auto"/>
        </w:rPr>
        <w:t>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w:t>
      </w:r>
    </w:p>
    <w:p>
      <w:pPr>
        <w:spacing w:after="0" w:line="184"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62" w:lineRule="exact"/>
        <w:rPr>
          <w:sz w:val="20"/>
          <w:szCs w:val="20"/>
          <w:color w:val="auto"/>
        </w:rPr>
      </w:pPr>
    </w:p>
    <w:p>
      <w:pPr>
        <w:ind w:left="1120" w:hanging="370"/>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exception from compliance with the auditor attestation requirements of Section 404 of the Sarbanes-Oxley Act of 2002, as amended;</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or golden parachute arrangements; and</w:t>
      </w:r>
    </w:p>
    <w:p>
      <w:pPr>
        <w:spacing w:after="0" w:line="140" w:lineRule="exact"/>
        <w:rPr>
          <w:rFonts w:ascii="Arial" w:cs="Arial" w:eastAsia="Arial" w:hAnsi="Arial"/>
          <w:sz w:val="16"/>
          <w:szCs w:val="16"/>
          <w:color w:val="auto"/>
        </w:rPr>
      </w:pPr>
    </w:p>
    <w:p>
      <w:pPr>
        <w:ind w:left="1120" w:right="80" w:hanging="370"/>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70"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$1.07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and our other filings with the SEC. Accordingly, the information contained herein may be different than you might obtain from other public companies in which you hold equity interests.</w:t>
      </w:r>
    </w:p>
    <w:p>
      <w:pPr>
        <w:spacing w:after="0" w:line="166" w:lineRule="exact"/>
        <w:rPr>
          <w:sz w:val="20"/>
          <w:szCs w:val="20"/>
          <w:color w:val="auto"/>
        </w:rPr>
      </w:pPr>
    </w:p>
    <w:p>
      <w:pPr>
        <w:ind w:right="180" w:firstLine="749"/>
        <w:spacing w:after="0" w:line="291" w:lineRule="auto"/>
        <w:rPr>
          <w:sz w:val="20"/>
          <w:szCs w:val="20"/>
          <w:color w:val="auto"/>
        </w:rPr>
      </w:pPr>
      <w:r>
        <w:rPr>
          <w:rFonts w:ascii="Arial" w:cs="Arial" w:eastAsia="Arial" w:hAnsi="Arial"/>
          <w:sz w:val="16"/>
          <w:szCs w:val="16"/>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w:t>
      </w:r>
    </w:p>
    <w:p>
      <w:pPr>
        <w:ind w:right="60" w:firstLine="8"/>
        <w:spacing w:after="0" w:line="252"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 of March 31, 2021, our disclosure controls and procedures were effective to provide reasonable assurance that the information required to be disclosed by us in this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left="7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117"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We are not subject to any material legal proceedings. 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749"/>
        <w:spacing w:after="0" w:line="279" w:lineRule="auto"/>
        <w:rPr>
          <w:sz w:val="20"/>
          <w:szCs w:val="20"/>
          <w:color w:val="auto"/>
        </w:rPr>
      </w:pPr>
      <w:r>
        <w:rPr>
          <w:rFonts w:ascii="Arial" w:cs="Arial" w:eastAsia="Arial" w:hAnsi="Arial"/>
          <w:sz w:val="17"/>
          <w:szCs w:val="17"/>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2020, filed with the Securities and Exchange Commission on March 3, 2021. There have been no material changes to the risk factors described in that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 Recent Sales of Unregistered Equity Securities</w:t>
      </w:r>
    </w:p>
    <w:p>
      <w:pPr>
        <w:spacing w:after="0" w:line="3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 Use of Proceeds</w:t>
      </w:r>
    </w:p>
    <w:p>
      <w:pPr>
        <w:spacing w:after="0" w:line="121"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On September 23, 2020, our Registration Statement on Form S-1, as amended (File No. 333-248559), was declared effective in connection with our initial public offering, pursuant to which we sold an aggregate of 9,050,000 shares of our common stock, including the full exercise of the underwriters’ option to purchase additional shares, at a price to the public of $20.00 per share. Goldman Sachs &amp; Co. LLC, Morgan Stanley &amp; Co. LLC and Jefferies LLC acted as joint book-running managers and Chardan Capital Markets, LLC acted as lead manager for the offering.</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initial public offering closed on September 28, 2020 with respect to 7,869,566 shares of common stock. On September 29, 2020, the offering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closed with respect to an additional 1,180,434 shares purchased by the underwriters pursuant to the underwriters’ option to purchase additional shares.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net proceeds from our initial public offering, after underwriting discounts and commissions, and other offering expenses of $2.5 million,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$165.9 million. In connection with our initial public offering, no payments were made by us to directors, officers or persons owning ten percent or more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common stock or to their associates or to our affiliates. There has been no material change in the planned use of proceeds from our initial public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offering as described in our prospectus filed pursuant to Rule 424(b)(4) under the Securities Act with the SEC on September 25, 2020.</w:t>
      </w:r>
    </w:p>
    <w:p>
      <w:pPr>
        <w:spacing w:after="0" w:line="31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10500" w:type="dxa"/>
            <w:vAlign w:val="bottom"/>
            <w:gridSpan w:val="15"/>
          </w:tcPr>
          <w:p>
            <w:pPr>
              <w:ind w:left="20"/>
              <w:spacing w:after="0"/>
              <w:rPr>
                <w:sz w:val="20"/>
                <w:szCs w:val="20"/>
                <w:color w:val="auto"/>
              </w:rPr>
            </w:pPr>
            <w:r>
              <w:rPr>
                <w:rFonts w:ascii="Arial" w:cs="Arial" w:eastAsia="Arial" w:hAnsi="Arial"/>
                <w:sz w:val="18"/>
                <w:szCs w:val="18"/>
                <w:color w:val="auto"/>
              </w:rPr>
              <w:t>The exhibits listed on the Exhibit Index are either filed or furnished with this report or incorporated herein by reference.</w:t>
            </w:r>
          </w:p>
        </w:tc>
      </w:tr>
      <w:tr>
        <w:trPr>
          <w:trHeight w:val="454"/>
        </w:trPr>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gridSpan w:val="8"/>
          </w:tcPr>
          <w:p>
            <w:pPr>
              <w:ind w:left="40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74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320" w:type="dxa"/>
            <w:vAlign w:val="bottom"/>
            <w:gridSpan w:val="13"/>
          </w:tcPr>
          <w:p>
            <w:pPr>
              <w:spacing w:after="0" w:line="182"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Amended and Restated Certificate of Incorporation (incorporated by reference to Exhibit 3.1 to the Company’s Current Report on Form 8-K</w:t>
              </w:r>
            </w:hyperlink>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(File No. 001-39536), filed with the Securities and Exchange Commission on September 29, 2020).</w:t>
              </w:r>
            </w:hyperlink>
          </w:p>
        </w:tc>
        <w:tc>
          <w:tcPr>
            <w:tcW w:w="2920" w:type="dxa"/>
            <w:vAlign w:val="bottom"/>
            <w:tcBorders>
              <w:top w:val="single" w:sz="8" w:color="0000EE"/>
            </w:tcBorders>
            <w:gridSpan w:val="2"/>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210"/>
        </w:trPr>
        <w:tc>
          <w:tcPr>
            <w:tcW w:w="7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00" w:type="dxa"/>
            <w:vAlign w:val="bottom"/>
            <w:tcBorders>
              <w:bottom w:val="single" w:sz="8" w:color="0000EE"/>
            </w:tcBorders>
            <w:gridSpan w:val="12"/>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Amended and Restated Bylaws (incorporated by reference to Exhibit 3.2 to the Company’s Current Report on Form 8-K (File No. 001-39536),</w:t>
              </w:r>
            </w:hyperlink>
          </w:p>
        </w:tc>
        <w:tc>
          <w:tcPr>
            <w:tcW w:w="20" w:type="dxa"/>
            <w:vAlign w:val="bottom"/>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3"/>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 xml:space="preserve">filed with the </w:t>
              </w:r>
              <w:r>
                <w:rPr>
                  <w:rFonts w:ascii="Arial" w:cs="Arial" w:eastAsia="Arial" w:hAnsi="Arial"/>
                  <w:sz w:val="18"/>
                  <w:szCs w:val="18"/>
                  <w:color w:val="0000EE"/>
                  <w:highlight w:val="white"/>
                </w:rPr>
                <w:t>Securities and Exchange Commission on September 29, 2020).</w:t>
              </w:r>
            </w:hyperlink>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4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13"/>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Pursuant to Section 302 of the Sarbanes-Oxley Act of 2002.</w:t>
              </w:r>
            </w:hyperlink>
          </w:p>
        </w:tc>
        <w:tc>
          <w:tcPr>
            <w:tcW w:w="40" w:type="dxa"/>
            <w:vAlign w:val="bottom"/>
            <w:gridSpan w:val="2"/>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4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Certification of Principal Financial Officer Pursuant to Rules 13a-14(a) and 15d-14(a) under the Securities Exchange Act of 1934, as Adopted</w:t>
              </w:r>
            </w:hyperlink>
          </w:p>
        </w:tc>
        <w:tc>
          <w:tcPr>
            <w:tcW w:w="80" w:type="dxa"/>
            <w:vAlign w:val="bottom"/>
            <w:gridSpan w:val="3"/>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Pursuant to Section 302 of the Sarbanes-Oxley Act of 2002.</w:t>
              </w:r>
            </w:hyperlink>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40" w:type="dxa"/>
            <w:vAlign w:val="bottom"/>
          </w:tcPr>
          <w:p>
            <w:pPr>
              <w:jc w:val="center"/>
              <w:spacing w:after="0"/>
              <w:rPr>
                <w:sz w:val="20"/>
                <w:szCs w:val="20"/>
                <w:color w:val="auto"/>
              </w:rPr>
            </w:pPr>
            <w:r>
              <w:rPr>
                <w:rFonts w:ascii="Arial" w:cs="Arial" w:eastAsia="Arial" w:hAnsi="Arial"/>
                <w:sz w:val="18"/>
                <w:szCs w:val="18"/>
                <w:color w:val="auto"/>
                <w:w w:val="92"/>
              </w:rPr>
              <w:t>32.1*#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6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c>
          <w:tcPr>
            <w:tcW w:w="260" w:type="dxa"/>
            <w:vAlign w:val="bottom"/>
            <w:gridSpan w:val="5"/>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Act of 2002.</w:t>
              </w:r>
            </w:hyperlink>
          </w:p>
        </w:tc>
        <w:tc>
          <w:tcPr>
            <w:tcW w:w="9400" w:type="dxa"/>
            <w:vAlign w:val="bottom"/>
            <w:gridSpan w:val="11"/>
          </w:tcPr>
          <w:p>
            <w:pPr>
              <w:spacing w:after="0"/>
              <w:rPr>
                <w:sz w:val="17"/>
                <w:szCs w:val="17"/>
                <w:color w:val="auto"/>
              </w:rPr>
            </w:pPr>
          </w:p>
        </w:tc>
      </w:tr>
      <w:tr>
        <w:trPr>
          <w:trHeight w:val="210"/>
        </w:trPr>
        <w:tc>
          <w:tcPr>
            <w:tcW w:w="740" w:type="dxa"/>
            <w:vAlign w:val="bottom"/>
          </w:tcPr>
          <w:p>
            <w:pPr>
              <w:jc w:val="center"/>
              <w:spacing w:after="0"/>
              <w:rPr>
                <w:sz w:val="20"/>
                <w:szCs w:val="20"/>
                <w:color w:val="auto"/>
              </w:rPr>
            </w:pPr>
            <w:r>
              <w:rPr>
                <w:rFonts w:ascii="Arial" w:cs="Arial" w:eastAsia="Arial" w:hAnsi="Arial"/>
                <w:sz w:val="18"/>
                <w:szCs w:val="18"/>
                <w:color w:val="auto"/>
                <w:w w:val="92"/>
              </w:rPr>
              <w:t>32.2*#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13"/>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of 2002.</w:t>
              </w:r>
            </w:hyperlink>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720" w:type="dxa"/>
            <w:vAlign w:val="bottom"/>
            <w:gridSpan w:val="12"/>
          </w:tcPr>
          <w:p>
            <w:pPr>
              <w:spacing w:after="0" w:line="20" w:lineRule="exact"/>
              <w:rPr>
                <w:sz w:val="1"/>
                <w:szCs w:val="1"/>
                <w:color w:val="auto"/>
              </w:rPr>
            </w:pPr>
          </w:p>
        </w:tc>
      </w:tr>
      <w:tr>
        <w:trPr>
          <w:trHeight w:val="249"/>
        </w:trPr>
        <w:tc>
          <w:tcPr>
            <w:tcW w:w="74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32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229"/>
        </w:trPr>
        <w:tc>
          <w:tcPr>
            <w:tcW w:w="74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9"/>
        </w:trPr>
        <w:tc>
          <w:tcPr>
            <w:tcW w:w="74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29"/>
        </w:trPr>
        <w:tc>
          <w:tcPr>
            <w:tcW w:w="74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1148715</wp:posOffset>
            </wp:positionV>
            <wp:extent cx="15855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00" w:right="320" w:hanging="492"/>
        <w:spacing w:after="0" w:line="286"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3260" w:type="dxa"/>
            <w:vAlign w:val="bottom"/>
            <w:gridSpan w:val="2"/>
          </w:tcPr>
          <w:p>
            <w:pPr>
              <w:ind w:left="1880"/>
              <w:spacing w:after="0"/>
              <w:rPr>
                <w:sz w:val="20"/>
                <w:szCs w:val="20"/>
                <w:color w:val="auto"/>
              </w:rPr>
            </w:pPr>
            <w:r>
              <w:rPr>
                <w:rFonts w:ascii="Arial" w:cs="Arial" w:eastAsia="Arial" w:hAnsi="Arial"/>
                <w:sz w:val="18"/>
                <w:szCs w:val="18"/>
                <w:color w:val="auto"/>
              </w:rPr>
              <w:t>Company Name</w:t>
            </w:r>
          </w:p>
        </w:tc>
        <w:tc>
          <w:tcPr>
            <w:tcW w:w="4680" w:type="dxa"/>
            <w:vAlign w:val="bottom"/>
          </w:tcPr>
          <w:p>
            <w:pPr>
              <w:spacing w:after="0"/>
              <w:rPr>
                <w:sz w:val="20"/>
                <w:szCs w:val="20"/>
                <w:color w:val="auto"/>
              </w:rPr>
            </w:pPr>
          </w:p>
        </w:tc>
      </w:tr>
      <w:tr>
        <w:trPr>
          <w:trHeight w:val="459"/>
        </w:trPr>
        <w:tc>
          <w:tcPr>
            <w:tcW w:w="3300" w:type="dxa"/>
            <w:vAlign w:val="bottom"/>
          </w:tcPr>
          <w:p>
            <w:pPr>
              <w:spacing w:after="0"/>
              <w:rPr>
                <w:sz w:val="20"/>
                <w:szCs w:val="20"/>
                <w:color w:val="auto"/>
              </w:rPr>
            </w:pPr>
            <w:r>
              <w:rPr>
                <w:rFonts w:ascii="Arial" w:cs="Arial" w:eastAsia="Arial" w:hAnsi="Arial"/>
                <w:sz w:val="18"/>
                <w:szCs w:val="18"/>
                <w:color w:val="auto"/>
              </w:rPr>
              <w:t>Date: May 11, 2021</w:t>
            </w:r>
          </w:p>
        </w:tc>
        <w:tc>
          <w:tcPr>
            <w:tcW w:w="3260" w:type="dxa"/>
            <w:vAlign w:val="bottom"/>
            <w:gridSpan w:val="2"/>
          </w:tcPr>
          <w:p>
            <w:pPr>
              <w:ind w:left="1880"/>
              <w:spacing w:after="0"/>
              <w:rPr>
                <w:sz w:val="20"/>
                <w:szCs w:val="20"/>
                <w:color w:val="auto"/>
              </w:rPr>
            </w:pPr>
            <w:r>
              <w:rPr>
                <w:rFonts w:ascii="Arial" w:cs="Arial" w:eastAsia="Arial" w:hAnsi="Arial"/>
                <w:sz w:val="18"/>
                <w:szCs w:val="18"/>
                <w:color w:val="auto"/>
              </w:rPr>
              <w:t>By:</w:t>
            </w:r>
          </w:p>
        </w:tc>
        <w:tc>
          <w:tcPr>
            <w:tcW w:w="4680" w:type="dxa"/>
            <w:vAlign w:val="bottom"/>
          </w:tcPr>
          <w:p>
            <w:pPr>
              <w:jc w:val="center"/>
              <w:ind w:right="850"/>
              <w:spacing w:after="0"/>
              <w:rPr>
                <w:sz w:val="20"/>
                <w:szCs w:val="20"/>
                <w:color w:val="auto"/>
              </w:rPr>
            </w:pPr>
            <w:r>
              <w:rPr>
                <w:rFonts w:ascii="Arial" w:cs="Arial" w:eastAsia="Arial" w:hAnsi="Arial"/>
                <w:sz w:val="18"/>
                <w:szCs w:val="18"/>
                <w:color w:val="auto"/>
                <w:w w:val="91"/>
              </w:rPr>
              <w:t>/s/ RA Session II</w:t>
            </w:r>
          </w:p>
        </w:tc>
      </w:tr>
      <w:tr>
        <w:trPr>
          <w:trHeight w:val="218"/>
        </w:trPr>
        <w:tc>
          <w:tcPr>
            <w:tcW w:w="3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80" w:type="dxa"/>
            <w:vAlign w:val="bottom"/>
            <w:tcBorders>
              <w:top w:val="single" w:sz="8" w:color="auto"/>
            </w:tcBorders>
          </w:tcPr>
          <w:p>
            <w:pPr>
              <w:jc w:val="center"/>
              <w:ind w:right="850"/>
              <w:spacing w:after="0"/>
              <w:rPr>
                <w:sz w:val="20"/>
                <w:szCs w:val="20"/>
                <w:color w:val="auto"/>
              </w:rPr>
            </w:pPr>
            <w:r>
              <w:rPr>
                <w:rFonts w:ascii="Arial" w:cs="Arial" w:eastAsia="Arial" w:hAnsi="Arial"/>
                <w:sz w:val="18"/>
                <w:szCs w:val="18"/>
                <w:b w:val="1"/>
                <w:bCs w:val="1"/>
                <w:color w:val="auto"/>
                <w:w w:val="92"/>
              </w:rPr>
              <w:t>RA Session II</w:t>
            </w:r>
          </w:p>
        </w:tc>
      </w:tr>
      <w:tr>
        <w:trPr>
          <w:trHeight w:val="220"/>
        </w:trPr>
        <w:tc>
          <w:tcPr>
            <w:tcW w:w="3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80" w:type="dxa"/>
            <w:vAlign w:val="bottom"/>
          </w:tcPr>
          <w:p>
            <w:pPr>
              <w:jc w:val="center"/>
              <w:ind w:right="870"/>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230"/>
        </w:trPr>
        <w:tc>
          <w:tcPr>
            <w:tcW w:w="3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80" w:type="dxa"/>
            <w:vAlign w:val="bottom"/>
          </w:tcPr>
          <w:p>
            <w:pPr>
              <w:jc w:val="center"/>
              <w:ind w:right="850"/>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59"/>
        </w:trPr>
        <w:tc>
          <w:tcPr>
            <w:tcW w:w="3300" w:type="dxa"/>
            <w:vAlign w:val="bottom"/>
          </w:tcPr>
          <w:p>
            <w:pPr>
              <w:spacing w:after="0"/>
              <w:rPr>
                <w:sz w:val="20"/>
                <w:szCs w:val="20"/>
                <w:color w:val="auto"/>
              </w:rPr>
            </w:pPr>
            <w:r>
              <w:rPr>
                <w:rFonts w:ascii="Arial" w:cs="Arial" w:eastAsia="Arial" w:hAnsi="Arial"/>
                <w:sz w:val="18"/>
                <w:szCs w:val="18"/>
                <w:color w:val="auto"/>
              </w:rPr>
              <w:t>Date: May 11, 2021</w:t>
            </w:r>
          </w:p>
        </w:tc>
        <w:tc>
          <w:tcPr>
            <w:tcW w:w="3260" w:type="dxa"/>
            <w:vAlign w:val="bottom"/>
            <w:gridSpan w:val="2"/>
          </w:tcPr>
          <w:p>
            <w:pPr>
              <w:ind w:left="1880"/>
              <w:spacing w:after="0"/>
              <w:rPr>
                <w:sz w:val="20"/>
                <w:szCs w:val="20"/>
                <w:color w:val="auto"/>
              </w:rPr>
            </w:pPr>
            <w:r>
              <w:rPr>
                <w:rFonts w:ascii="Arial" w:cs="Arial" w:eastAsia="Arial" w:hAnsi="Arial"/>
                <w:sz w:val="18"/>
                <w:szCs w:val="18"/>
                <w:color w:val="auto"/>
              </w:rPr>
              <w:t>By:</w:t>
            </w:r>
          </w:p>
        </w:tc>
        <w:tc>
          <w:tcPr>
            <w:tcW w:w="4680" w:type="dxa"/>
            <w:vAlign w:val="bottom"/>
          </w:tcPr>
          <w:p>
            <w:pPr>
              <w:jc w:val="center"/>
              <w:ind w:right="870"/>
              <w:spacing w:after="0"/>
              <w:rPr>
                <w:sz w:val="20"/>
                <w:szCs w:val="20"/>
                <w:color w:val="auto"/>
              </w:rPr>
            </w:pPr>
            <w:r>
              <w:rPr>
                <w:rFonts w:ascii="Arial" w:cs="Arial" w:eastAsia="Arial" w:hAnsi="Arial"/>
                <w:sz w:val="18"/>
                <w:szCs w:val="18"/>
                <w:color w:val="auto"/>
                <w:w w:val="93"/>
              </w:rPr>
              <w:t>/s/ Kamran Alam</w:t>
            </w:r>
          </w:p>
        </w:tc>
      </w:tr>
      <w:tr>
        <w:trPr>
          <w:trHeight w:val="218"/>
        </w:trPr>
        <w:tc>
          <w:tcPr>
            <w:tcW w:w="3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80" w:type="dxa"/>
            <w:vAlign w:val="bottom"/>
            <w:tcBorders>
              <w:top w:val="single" w:sz="8" w:color="auto"/>
            </w:tcBorders>
          </w:tcPr>
          <w:p>
            <w:pPr>
              <w:jc w:val="center"/>
              <w:ind w:right="870"/>
              <w:spacing w:after="0"/>
              <w:rPr>
                <w:sz w:val="20"/>
                <w:szCs w:val="20"/>
                <w:color w:val="auto"/>
              </w:rPr>
            </w:pPr>
            <w:r>
              <w:rPr>
                <w:rFonts w:ascii="Arial" w:cs="Arial" w:eastAsia="Arial" w:hAnsi="Arial"/>
                <w:sz w:val="18"/>
                <w:szCs w:val="18"/>
                <w:b w:val="1"/>
                <w:bCs w:val="1"/>
                <w:color w:val="auto"/>
                <w:w w:val="96"/>
              </w:rPr>
              <w:t>Kamran Alam</w:t>
            </w:r>
          </w:p>
        </w:tc>
      </w:tr>
      <w:tr>
        <w:trPr>
          <w:trHeight w:val="220"/>
        </w:trPr>
        <w:tc>
          <w:tcPr>
            <w:tcW w:w="3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80" w:type="dxa"/>
            <w:vAlign w:val="bottom"/>
          </w:tcPr>
          <w:p>
            <w:pPr>
              <w:jc w:val="center"/>
              <w:ind w:right="85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3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80" w:type="dxa"/>
            <w:vAlign w:val="bottom"/>
          </w:tcPr>
          <w:p>
            <w:pPr>
              <w:jc w:val="center"/>
              <w:ind w:right="870"/>
              <w:spacing w:after="0"/>
              <w:rPr>
                <w:sz w:val="20"/>
                <w:szCs w:val="20"/>
                <w:color w:val="auto"/>
              </w:rPr>
            </w:pPr>
            <w:r>
              <w:rPr>
                <w:rFonts w:ascii="Arial" w:cs="Arial" w:eastAsia="Arial" w:hAnsi="Arial"/>
                <w:sz w:val="18"/>
                <w:szCs w:val="18"/>
                <w:i w:val="1"/>
                <w:iCs w:val="1"/>
                <w:color w:val="auto"/>
                <w:w w:val="95"/>
              </w:rPr>
              <w:t>(Principal Financial and Accounting Officer)</w:t>
            </w:r>
          </w:p>
        </w:tc>
      </w:tr>
      <w:tr>
        <w:trPr>
          <w:trHeight w:val="675"/>
        </w:trPr>
        <w:tc>
          <w:tcPr>
            <w:tcW w:w="3300" w:type="dxa"/>
            <w:vAlign w:val="bottom"/>
          </w:tcPr>
          <w:p>
            <w:pPr>
              <w:spacing w:after="0"/>
              <w:rPr>
                <w:sz w:val="24"/>
                <w:szCs w:val="24"/>
                <w:color w:val="auto"/>
              </w:rPr>
            </w:pPr>
          </w:p>
        </w:tc>
        <w:tc>
          <w:tcPr>
            <w:tcW w:w="3260" w:type="dxa"/>
            <w:vAlign w:val="bottom"/>
            <w:gridSpan w:val="2"/>
          </w:tcPr>
          <w:p>
            <w:pPr>
              <w:jc w:val="right"/>
              <w:ind w:right="840"/>
              <w:spacing w:after="0"/>
              <w:rPr>
                <w:sz w:val="20"/>
                <w:szCs w:val="20"/>
                <w:color w:val="auto"/>
              </w:rPr>
            </w:pPr>
            <w:r>
              <w:rPr>
                <w:rFonts w:ascii="Arial" w:cs="Arial" w:eastAsia="Arial" w:hAnsi="Arial"/>
                <w:sz w:val="18"/>
                <w:szCs w:val="18"/>
                <w:color w:val="auto"/>
              </w:rPr>
              <w:t>51</w:t>
            </w:r>
          </w:p>
        </w:tc>
        <w:tc>
          <w:tcPr>
            <w:tcW w:w="468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 Session II, certify that:</w:t>
      </w:r>
    </w:p>
    <w:p>
      <w:pPr>
        <w:spacing w:after="0" w:line="225"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Taysha Gene Therapies,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800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RA Session II</w:t>
      </w:r>
    </w:p>
    <w:p>
      <w:pPr>
        <w:spacing w:after="0" w:line="27"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3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Kamran Alam, certify that:</w:t>
      </w:r>
    </w:p>
    <w:p>
      <w:pPr>
        <w:spacing w:after="0" w:line="225"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Taysha Gene Therapies,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Kamran Alam</w:t>
      </w:r>
    </w:p>
    <w:p>
      <w:pPr>
        <w:spacing w:after="0" w:line="2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337"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auto"/>
        </w:rPr>
        <w:t>In connection with the Quarterly Report of Taysha Gene Therapies, Inc. (the “Company”) on Form 10-Q for the period ending March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800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RA Session II</w:t>
      </w:r>
    </w:p>
    <w:p>
      <w:pPr>
        <w:spacing w:after="0" w:line="27"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3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00" w:firstLine="589"/>
        <w:spacing w:after="0" w:line="263" w:lineRule="auto"/>
        <w:rPr>
          <w:sz w:val="20"/>
          <w:szCs w:val="20"/>
          <w:color w:val="auto"/>
        </w:rPr>
      </w:pPr>
      <w:r>
        <w:rPr>
          <w:rFonts w:ascii="Arial" w:cs="Arial" w:eastAsia="Arial" w:hAnsi="Arial"/>
          <w:sz w:val="18"/>
          <w:szCs w:val="18"/>
          <w:color w:val="auto"/>
        </w:rPr>
        <w:t>In connection with the Quarterly Report of Taysha Gene Therapies, Inc. (the “Company”) on Form 10-Q for the period ending March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8"/>
          <w:szCs w:val="18"/>
          <w:color w:val="auto"/>
        </w:rPr>
        <w:t>Date: May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Kamran Alam</w:t>
      </w:r>
    </w:p>
    <w:p>
      <w:pPr>
        <w:spacing w:after="0" w:line="2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93" Type="http://schemas.openxmlformats.org/officeDocument/2006/relationships/hyperlink" Target="http://www.sec.gov/Archives/edgar/data/1806310/000119312520257858/d78879dex31.htm" TargetMode="External"/><Relationship Id="rId94" Type="http://schemas.openxmlformats.org/officeDocument/2006/relationships/hyperlink" Target="http://www.sec.gov/Archives/edgar/data/1806310/000119312520247565/d938924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2021-05-11T16:19:43Z</dcterms:created>
  <dcterms:modified xsi:type="dcterms:W3CDTF">2021-05-11T16:19:43Z</dcterms:modified>
</cp:coreProperties>
</file>