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3880" w:right="1620" w:hanging="3859"/>
        <w:spacing w:after="0" w:line="250" w:lineRule="auto"/>
        <w:tabs>
          <w:tab w:leader="none" w:pos="476"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00" w:lineRule="exact"/>
        <w:rPr>
          <w:sz w:val="24"/>
          <w:szCs w:val="24"/>
          <w:color w:val="auto"/>
        </w:rPr>
      </w:pPr>
    </w:p>
    <w:p>
      <w:pPr>
        <w:spacing w:after="0" w:line="249" w:lineRule="exact"/>
        <w:rPr>
          <w:sz w:val="24"/>
          <w:szCs w:val="24"/>
          <w:color w:val="auto"/>
        </w:rPr>
      </w:pPr>
    </w:p>
    <w:p>
      <w:pPr>
        <w:ind w:left="3320" w:right="1600" w:hanging="3299"/>
        <w:spacing w:after="0" w:line="250" w:lineRule="auto"/>
        <w:tabs>
          <w:tab w:leader="none" w:pos="471"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70"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2" w:lineRule="exact"/>
        <w:rPr>
          <w:sz w:val="24"/>
          <w:szCs w:val="24"/>
          <w:color w:val="auto"/>
        </w:rPr>
      </w:pPr>
    </w:p>
    <w:tbl>
      <w:tblPr>
        <w:tblLayout w:type="fixed"/>
        <w:tblInd w:w="1520" w:type="dxa"/>
        <w:tblCellMar>
          <w:top w:w="0" w:type="dxa"/>
          <w:left w:w="0" w:type="dxa"/>
          <w:bottom w:w="0" w:type="dxa"/>
          <w:right w:w="0" w:type="dxa"/>
        </w:tblCellMar>
      </w:tblPr>
      <w:tr>
        <w:trPr>
          <w:trHeight w:val="23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84-3199512</w:t>
            </w:r>
          </w:p>
        </w:tc>
      </w:tr>
      <w:tr>
        <w:trPr>
          <w:trHeight w:val="14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900" w:type="dxa"/>
            <w:vAlign w:val="bottom"/>
          </w:tcPr>
          <w:p>
            <w:pPr>
              <w:jc w:val="center"/>
              <w:ind w:left="184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7"/>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00" w:type="dxa"/>
            <w:vAlign w:val="bottom"/>
          </w:tcPr>
          <w:p>
            <w:pPr>
              <w:jc w:val="center"/>
              <w:ind w:left="18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29"/>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9"/>
              </w:rPr>
              <w:t>3000 Pegasus Park Drive Ste 1430</w:t>
            </w:r>
          </w:p>
        </w:tc>
        <w:tc>
          <w:tcPr>
            <w:tcW w:w="2900" w:type="dxa"/>
            <w:vAlign w:val="bottom"/>
          </w:tcPr>
          <w:p>
            <w:pPr>
              <w:spacing w:after="0"/>
              <w:rPr>
                <w:sz w:val="19"/>
                <w:szCs w:val="19"/>
                <w:color w:val="auto"/>
              </w:rPr>
            </w:pPr>
          </w:p>
        </w:tc>
      </w:tr>
      <w:tr>
        <w:trPr>
          <w:trHeight w:val="252"/>
        </w:trPr>
        <w:tc>
          <w:tcPr>
            <w:tcW w:w="45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29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73"/>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00" w:type="dxa"/>
            <w:vAlign w:val="bottom"/>
          </w:tcPr>
          <w:p>
            <w:pPr>
              <w:jc w:val="center"/>
              <w:ind w:left="18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0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600" w:right="202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12, 2024, the registrant had 204,943,306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8"/>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Balance Sheets</w:t>
            </w:r>
          </w:p>
        </w:tc>
        <w:tc>
          <w:tcPr>
            <w:tcW w:w="50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Statements of Other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Statements of Stockholders’ (Deficit)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Statements of Cash Flows</w:t>
            </w:r>
          </w:p>
        </w:tc>
        <w:tc>
          <w:tcPr>
            <w:tcW w:w="608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0"/>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3"/>
          </w:tcPr>
          <w:p>
            <w:pPr>
              <w:spacing w:after="0"/>
              <w:rPr>
                <w:sz w:val="18"/>
                <w:szCs w:val="18"/>
                <w:color w:val="auto"/>
              </w:rPr>
            </w:pPr>
          </w:p>
        </w:tc>
        <w:tc>
          <w:tcPr>
            <w:tcW w:w="7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172,743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held for sale</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178,470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200,393</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172,731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91,525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97,794</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13</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 and December 31, 2023</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$0.00001 par value per share; 400,000,000 shares authorized and 201,381,450 and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186,960,193 issued and outstanding as of June 30, 2024 and December 31, 2023, respectively</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664,457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587,942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(557,996 )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(513,007 )</w:t>
            </w:r>
          </w:p>
        </w:tc>
      </w:tr>
      <w:tr>
        <w:trPr>
          <w:trHeight w:val="237"/>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108,868</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74,937</w:t>
            </w:r>
          </w:p>
        </w:tc>
        <w:tc>
          <w:tcPr>
            <w:tcW w:w="100" w:type="dxa"/>
            <w:vAlign w:val="bottom"/>
            <w:tcBorders>
              <w:top w:val="single" w:sz="8" w:color="CFF0FC"/>
            </w:tcBorders>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200,393</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172,731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-3471545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-3471545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-2510790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-1876425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23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87"/>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83"/>
        </w:trPr>
        <w:tc>
          <w:tcPr>
            <w:tcW w:w="59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6"/>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4,523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7,101</w:t>
            </w:r>
          </w:p>
        </w:tc>
        <w:tc>
          <w:tcPr>
            <w:tcW w:w="100" w:type="dxa"/>
            <w:vAlign w:val="bottom"/>
            <w:shd w:val="clear" w:color="auto" w:fill="CFF0FC"/>
          </w:tcPr>
          <w:p>
            <w:pPr>
              <w:spacing w:after="0"/>
              <w:rPr>
                <w:sz w:val="20"/>
                <w:szCs w:val="20"/>
                <w:color w:val="auto"/>
              </w:rPr>
            </w:pPr>
          </w:p>
        </w:tc>
      </w:tr>
      <w:tr>
        <w:trPr>
          <w:trHeight w:val="241"/>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15,073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19,791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35,730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32,305</w:t>
            </w:r>
          </w:p>
        </w:tc>
        <w:tc>
          <w:tcPr>
            <w:tcW w:w="100" w:type="dxa"/>
            <w:vAlign w:val="bottom"/>
            <w:shd w:val="clear" w:color="auto" w:fill="CFF0FC"/>
          </w:tcPr>
          <w:p>
            <w:pPr>
              <w:spacing w:after="0"/>
              <w:rPr>
                <w:sz w:val="21"/>
                <w:szCs w:val="21"/>
                <w:color w:val="auto"/>
              </w:rPr>
            </w:pPr>
          </w:p>
        </w:tc>
      </w:tr>
      <w:tr>
        <w:trPr>
          <w:trHeight w:val="229"/>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7,338</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14,422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14,739</w:t>
            </w:r>
          </w:p>
        </w:tc>
        <w:tc>
          <w:tcPr>
            <w:tcW w:w="100" w:type="dxa"/>
            <w:vAlign w:val="bottom"/>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22,411</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25,779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50,152</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47,044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(21,299 )</w:t>
            </w: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(23,384 )</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(45,629 )</w:t>
            </w: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(39,943 )</w:t>
            </w:r>
          </w:p>
        </w:tc>
      </w:tr>
      <w:tr>
        <w:trPr>
          <w:trHeight w:val="23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(142 )</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(1,279 )</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(2,332 )</w:t>
            </w: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tcPr>
          <w:p>
            <w:pPr>
              <w:spacing w:after="0"/>
              <w:rPr>
                <w:sz w:val="20"/>
                <w:szCs w:val="20"/>
                <w:color w:val="auto"/>
              </w:rPr>
            </w:pPr>
          </w:p>
        </w:tc>
      </w:tr>
      <w:tr>
        <w:trPr>
          <w:trHeight w:val="247"/>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(27 )</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(1,440 )</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(56 )</w:t>
            </w: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(2,814 )</w:t>
            </w:r>
          </w:p>
        </w:tc>
      </w:tr>
      <w:tr>
        <w:trPr>
          <w:trHeight w:val="230"/>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(5 )</w:t>
            </w:r>
          </w:p>
        </w:tc>
      </w:tr>
      <w:tr>
        <w:trPr>
          <w:trHeight w:val="20"/>
        </w:trPr>
        <w:tc>
          <w:tcPr>
            <w:tcW w:w="5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(1,214 )</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(2,277 )</w:t>
            </w:r>
          </w:p>
        </w:tc>
      </w:tr>
      <w:tr>
        <w:trPr>
          <w:trHeight w:val="20"/>
        </w:trPr>
        <w:tc>
          <w:tcPr>
            <w:tcW w:w="59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(20,928 )</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(24,598 )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(44,989 )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(42,220 )</w:t>
            </w:r>
          </w:p>
        </w:tc>
      </w:tr>
      <w:tr>
        <w:trPr>
          <w:trHeight w:val="20"/>
        </w:trPr>
        <w:tc>
          <w:tcPr>
            <w:tcW w:w="5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(0.09 )</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(0.38 )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(0.19 )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(0.66 )</w:t>
            </w:r>
          </w:p>
        </w:tc>
      </w:tr>
      <w:tr>
        <w:trPr>
          <w:trHeight w:val="223"/>
        </w:trPr>
        <w:tc>
          <w:tcPr>
            <w:tcW w:w="5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232,821,553</w:t>
            </w: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64,244,531</w:t>
            </w:r>
          </w:p>
        </w:tc>
        <w:tc>
          <w:tcPr>
            <w:tcW w:w="20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232,035,448</w:t>
            </w: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63,755,435</w:t>
            </w:r>
          </w:p>
        </w:tc>
        <w:tc>
          <w:tcPr>
            <w:tcW w:w="100" w:type="dxa"/>
            <w:vAlign w:val="bottom"/>
            <w:tcBorders>
              <w:top w:val="single" w:sz="8" w:color="CFF0FC"/>
            </w:tcBorders>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-1722120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-1722120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-1722120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-487680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-487680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-487680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-179070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-179070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16"/>
                <w:szCs w:val="16"/>
                <w:color w:val="auto"/>
              </w:rPr>
            </w:pPr>
          </w:p>
        </w:tc>
        <w:tc>
          <w:tcPr>
            <w:tcW w:w="24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(20,928 )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(24,598 )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(44,989 )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(42,220 )</w:t>
            </w: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terms loan attributable to instrument specific credit</w:t>
            </w:r>
          </w:p>
        </w:tc>
        <w:tc>
          <w:tcPr>
            <w:tcW w:w="12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risk</w:t>
            </w: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(18,272 )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(24,598 )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(42,584 )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(42,220 )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15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5"/>
                <w:szCs w:val="15"/>
                <w:color w:val="auto"/>
              </w:rPr>
            </w:pPr>
          </w:p>
        </w:tc>
        <w:tc>
          <w:tcPr>
            <w:tcW w:w="88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5"/>
                <w:szCs w:val="15"/>
                <w:color w:val="auto"/>
              </w:rPr>
            </w:pPr>
          </w:p>
        </w:tc>
        <w:tc>
          <w:tcPr>
            <w:tcW w:w="1100" w:type="dxa"/>
            <w:vAlign w:val="bottom"/>
            <w:gridSpan w:val="3"/>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60" w:type="dxa"/>
            <w:vAlign w:val="bottom"/>
            <w:gridSpan w:val="3"/>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9"/>
        </w:trPr>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80" w:type="dxa"/>
            <w:vAlign w:val="bottom"/>
          </w:tcPr>
          <w:p>
            <w:pPr>
              <w:spacing w:after="0"/>
              <w:rPr>
                <w:sz w:val="15"/>
                <w:szCs w:val="15"/>
                <w:color w:val="auto"/>
              </w:rPr>
            </w:pPr>
          </w:p>
        </w:tc>
        <w:tc>
          <w:tcPr>
            <w:tcW w:w="10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187,018,275</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591,166</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(537,068 )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(251 )</w:t>
            </w: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53,849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14,361,113</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69,957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and other offering costs of $5,024</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 net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on instrument-specific credit risk</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(20,928 )</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(20,928 )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201,381,450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664,457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(557,996 )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2,405</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108,868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60" w:type="dxa"/>
            <w:vAlign w:val="bottom"/>
            <w:gridSpan w:val="8"/>
          </w:tcPr>
          <w:p>
            <w:pPr>
              <w:ind w:left="39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680" w:type="dxa"/>
            <w:vAlign w:val="bottom"/>
          </w:tcPr>
          <w:p>
            <w:pPr>
              <w:spacing w:after="0"/>
              <w:rPr>
                <w:sz w:val="24"/>
                <w:szCs w:val="24"/>
                <w:color w:val="auto"/>
              </w:rPr>
            </w:pPr>
          </w:p>
        </w:tc>
        <w:tc>
          <w:tcPr>
            <w:tcW w:w="15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24"/>
                <w:szCs w:val="24"/>
                <w:color w:val="auto"/>
              </w:rPr>
            </w:pPr>
          </w:p>
        </w:tc>
        <w:tc>
          <w:tcPr>
            <w:tcW w:w="88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5"/>
                <w:szCs w:val="15"/>
                <w:color w:val="auto"/>
              </w:rPr>
            </w:pPr>
          </w:p>
        </w:tc>
        <w:tc>
          <w:tcPr>
            <w:tcW w:w="1100" w:type="dxa"/>
            <w:vAlign w:val="bottom"/>
            <w:gridSpan w:val="3"/>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60" w:type="dxa"/>
            <w:vAlign w:val="bottom"/>
            <w:gridSpan w:val="3"/>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9"/>
        </w:trPr>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102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80" w:type="dxa"/>
            <w:vAlign w:val="bottom"/>
          </w:tcPr>
          <w:p>
            <w:pPr>
              <w:spacing w:after="0"/>
              <w:rPr>
                <w:sz w:val="15"/>
                <w:szCs w:val="15"/>
                <w:color w:val="auto"/>
              </w:rPr>
            </w:pPr>
          </w:p>
        </w:tc>
        <w:tc>
          <w:tcPr>
            <w:tcW w:w="88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63,473,349</w:t>
            </w:r>
          </w:p>
        </w:tc>
        <w:tc>
          <w:tcPr>
            <w:tcW w:w="240" w:type="dxa"/>
            <w:vAlign w:val="bottom"/>
          </w:tcPr>
          <w:p>
            <w:pPr>
              <w:spacing w:after="0"/>
              <w:rPr>
                <w:sz w:val="14"/>
                <w:szCs w:val="14"/>
                <w:color w:val="auto"/>
              </w:rPr>
            </w:pPr>
          </w:p>
        </w:tc>
        <w:tc>
          <w:tcPr>
            <w:tcW w:w="2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404,114</w:t>
            </w:r>
          </w:p>
        </w:tc>
        <w:tc>
          <w:tcPr>
            <w:tcW w:w="220" w:type="dxa"/>
            <w:vAlign w:val="bottom"/>
          </w:tcPr>
          <w:p>
            <w:pPr>
              <w:spacing w:after="0"/>
              <w:rPr>
                <w:sz w:val="14"/>
                <w:szCs w:val="14"/>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(419,063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(14,948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private placement, net of offering costs of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705,218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40</w:t>
            </w: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254,070</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(24,598 )</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(24,598 )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8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10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64,432,637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7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406,546</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(443,661 )</w:t>
            </w:r>
          </w:p>
        </w:tc>
        <w:tc>
          <w:tcPr>
            <w:tcW w:w="10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shd w:val="clear" w:color="auto" w:fill="CFF0FC"/>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FF0FC"/>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(37,114 )</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-1713865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-1696720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-1713865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-1696720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-1713865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-1696720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-1713865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-1696720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-1713865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-1696720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5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9"/>
        </w:trPr>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12"/>
                <w:szCs w:val="12"/>
                <w:color w:val="auto"/>
              </w:rPr>
            </w:pPr>
          </w:p>
        </w:tc>
        <w:tc>
          <w:tcPr>
            <w:tcW w:w="1060" w:type="dxa"/>
            <w:vAlign w:val="bottom"/>
            <w:gridSpan w:val="3"/>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9"/>
        </w:trPr>
        <w:tc>
          <w:tcPr>
            <w:tcW w:w="4680" w:type="dxa"/>
            <w:vAlign w:val="bottom"/>
          </w:tcPr>
          <w:p>
            <w:pPr>
              <w:spacing w:after="0"/>
              <w:rPr>
                <w:sz w:val="15"/>
                <w:szCs w:val="15"/>
                <w:color w:val="auto"/>
              </w:rPr>
            </w:pPr>
          </w:p>
        </w:tc>
        <w:tc>
          <w:tcPr>
            <w:tcW w:w="10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186,960,193</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587,942</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(513,007 )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74,937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14,361,113</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69,957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and other offering costs of $5,024</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46,800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Gain on instrument-specific credit risk</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(44,989 )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(44,989 )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201,381,450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664,457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(557,996 )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2,405</w:t>
            </w:r>
          </w:p>
        </w:tc>
        <w:tc>
          <w:tcPr>
            <w:tcW w:w="3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108,868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-25400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2023</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5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90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9"/>
        </w:trPr>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80" w:type="dxa"/>
            <w:vAlign w:val="bottom"/>
          </w:tcPr>
          <w:p>
            <w:pPr>
              <w:spacing w:after="0"/>
              <w:rPr>
                <w:sz w:val="15"/>
                <w:szCs w:val="15"/>
                <w:color w:val="auto"/>
              </w:rPr>
            </w:pPr>
          </w:p>
        </w:tc>
        <w:tc>
          <w:tcPr>
            <w:tcW w:w="10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5"/>
                <w:szCs w:val="15"/>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63,207,507</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402,389</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(401,441 )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private placement, net of offering costs of $</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705,218</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40</w:t>
            </w: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483,992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 net</w:t>
            </w: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35,920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(42,220 )</w:t>
            </w:r>
          </w:p>
        </w:tc>
        <w:tc>
          <w:tcPr>
            <w:tcW w:w="100" w:type="dxa"/>
            <w:vAlign w:val="bottom"/>
          </w:tcPr>
          <w:p>
            <w:pPr>
              <w:spacing w:after="0"/>
              <w:rPr>
                <w:sz w:val="15"/>
                <w:szCs w:val="15"/>
                <w:color w:val="auto"/>
              </w:rPr>
            </w:pPr>
          </w:p>
        </w:tc>
        <w:tc>
          <w:tcPr>
            <w:tcW w:w="90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(42,220 )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64,432,637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406,546</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(443,661 )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(37,114 )</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-24765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46"/>
        </w:trPr>
        <w:tc>
          <w:tcPr>
            <w:tcW w:w="7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gridSpan w:val="3"/>
          </w:tcPr>
          <w:p>
            <w:pPr>
              <w:jc w:val="right"/>
              <w:ind w:right="10"/>
              <w:spacing w:after="0" w:line="147" w:lineRule="exact"/>
              <w:rPr>
                <w:sz w:val="20"/>
                <w:szCs w:val="20"/>
                <w:color w:val="auto"/>
              </w:rPr>
            </w:pPr>
            <w:r>
              <w:rPr>
                <w:rFonts w:ascii="Times New Roman" w:cs="Times New Roman" w:eastAsia="Times New Roman" w:hAnsi="Times New Roman"/>
                <w:sz w:val="14"/>
                <w:szCs w:val="14"/>
                <w:b w:val="1"/>
                <w:bCs w:val="1"/>
                <w:color w:val="auto"/>
              </w:rPr>
              <w:t>For the Six Months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78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(44,989 )</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(42,220 )</w:t>
            </w:r>
          </w:p>
        </w:tc>
      </w:tr>
      <w:tr>
        <w:trPr>
          <w:trHeight w:val="24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FF0FC"/>
          </w:tcPr>
          <w:p>
            <w:pPr>
              <w:spacing w:after="0"/>
              <w:rPr>
                <w:sz w:val="21"/>
                <w:szCs w:val="21"/>
                <w:color w:val="auto"/>
              </w:rPr>
            </w:pPr>
          </w:p>
        </w:tc>
      </w:tr>
      <w:tr>
        <w:trPr>
          <w:trHeight w:val="239"/>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license expense</w:t>
            </w:r>
          </w:p>
        </w:tc>
        <w:tc>
          <w:tcPr>
            <w:tcW w:w="96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change in fair value of term loan</w:t>
            </w:r>
          </w:p>
        </w:tc>
        <w:tc>
          <w:tcPr>
            <w:tcW w:w="9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(268 )</w:t>
            </w:r>
          </w:p>
        </w:tc>
        <w:tc>
          <w:tcPr>
            <w:tcW w:w="4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FF0FC"/>
          </w:tcPr>
          <w:p>
            <w:pPr>
              <w:spacing w:after="0"/>
              <w:rPr>
                <w:sz w:val="21"/>
                <w:szCs w:val="21"/>
                <w:color w:val="auto"/>
              </w:rPr>
            </w:pPr>
          </w:p>
        </w:tc>
      </w:tr>
      <w:tr>
        <w:trPr>
          <w:trHeight w:val="239"/>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FF0FC"/>
          </w:tcPr>
          <w:p>
            <w:pPr>
              <w:spacing w:after="0"/>
              <w:rPr>
                <w:sz w:val="21"/>
                <w:szCs w:val="21"/>
                <w:color w:val="auto"/>
              </w:rPr>
            </w:pPr>
          </w:p>
        </w:tc>
      </w:tr>
      <w:tr>
        <w:trPr>
          <w:trHeight w:val="239"/>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(1,955 )</w:t>
            </w:r>
          </w:p>
        </w:tc>
        <w:tc>
          <w:tcPr>
            <w:tcW w:w="4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(1,324 )</w:t>
            </w:r>
          </w:p>
        </w:tc>
      </w:tr>
      <w:tr>
        <w:trPr>
          <w:trHeight w:val="247"/>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(4,523 )</w:t>
            </w:r>
          </w:p>
        </w:tc>
        <w:tc>
          <w:tcPr>
            <w:tcW w:w="4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(7,101 )</w:t>
            </w:r>
          </w:p>
        </w:tc>
      </w:tr>
      <w:tr>
        <w:trPr>
          <w:trHeight w:val="20"/>
        </w:trPr>
        <w:tc>
          <w:tcPr>
            <w:tcW w:w="78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(41,302 )</w:t>
            </w:r>
          </w:p>
        </w:tc>
        <w:tc>
          <w:tcPr>
            <w:tcW w:w="4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(38,952 )</w:t>
            </w:r>
          </w:p>
        </w:tc>
      </w:tr>
      <w:tr>
        <w:trPr>
          <w:trHeight w:val="23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(341 )</w:t>
            </w:r>
          </w:p>
        </w:tc>
        <w:tc>
          <w:tcPr>
            <w:tcW w:w="4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(3,852 )</w:t>
            </w:r>
          </w:p>
        </w:tc>
      </w:tr>
      <w:tr>
        <w:trPr>
          <w:trHeight w:val="20"/>
        </w:trPr>
        <w:tc>
          <w:tcPr>
            <w:tcW w:w="7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(341 )</w:t>
            </w:r>
          </w:p>
        </w:tc>
        <w:tc>
          <w:tcPr>
            <w:tcW w:w="4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(3,852 )</w:t>
            </w:r>
          </w:p>
        </w:tc>
      </w:tr>
      <w:tr>
        <w:trPr>
          <w:trHeight w:val="234"/>
        </w:trPr>
        <w:tc>
          <w:tcPr>
            <w:tcW w:w="7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 for term loan</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4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from underwritten public offering, net</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underwriting discounts and sales commissions and other offering costs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private placement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1"/>
                <w:szCs w:val="21"/>
                <w:color w:val="auto"/>
              </w:rPr>
            </w:pPr>
          </w:p>
        </w:tc>
      </w:tr>
      <w:tr>
        <w:trPr>
          <w:trHeight w:val="23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96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(387 )</w:t>
            </w:r>
          </w:p>
        </w:tc>
      </w:tr>
      <w:tr>
        <w:trPr>
          <w:trHeight w:val="24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common stock issuances under ESPP</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(43 )</w:t>
            </w:r>
          </w:p>
        </w:tc>
        <w:tc>
          <w:tcPr>
            <w:tcW w:w="4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(156 )</w:t>
            </w:r>
          </w:p>
        </w:tc>
      </w:tr>
      <w:tr>
        <w:trPr>
          <w:trHeight w:val="237"/>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70,446</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(42,797 )</w:t>
            </w:r>
          </w:p>
        </w:tc>
      </w:tr>
      <w:tr>
        <w:trPr>
          <w:trHeight w:val="245"/>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146,540</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90,517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175,343</w:t>
            </w:r>
          </w:p>
        </w:tc>
        <w:tc>
          <w:tcPr>
            <w:tcW w:w="26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47,720</w:t>
            </w:r>
          </w:p>
        </w:tc>
        <w:tc>
          <w:tcPr>
            <w:tcW w:w="100" w:type="dxa"/>
            <w:vAlign w:val="bottom"/>
          </w:tcPr>
          <w:p>
            <w:pPr>
              <w:spacing w:after="0"/>
              <w:rPr>
                <w:sz w:val="20"/>
                <w:szCs w:val="20"/>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172,743</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45,083</w:t>
            </w:r>
          </w:p>
        </w:tc>
        <w:tc>
          <w:tcPr>
            <w:tcW w:w="100" w:type="dxa"/>
            <w:vAlign w:val="bottom"/>
            <w:shd w:val="clear" w:color="auto" w:fill="CFF0FC"/>
          </w:tcPr>
          <w:p>
            <w:pPr>
              <w:spacing w:after="0"/>
              <w:rPr>
                <w:sz w:val="19"/>
                <w:szCs w:val="19"/>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21"/>
                <w:szCs w:val="21"/>
                <w:color w:val="auto"/>
              </w:rPr>
            </w:pPr>
          </w:p>
        </w:tc>
      </w:tr>
      <w:tr>
        <w:trPr>
          <w:trHeight w:val="276"/>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175,343</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47,720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shd w:val="clear" w:color="auto" w:fill="CFF0FC"/>
          </w:tcPr>
          <w:p>
            <w:pPr>
              <w:spacing w:after="0"/>
              <w:rPr>
                <w:sz w:val="21"/>
                <w:szCs w:val="21"/>
                <w:color w:val="auto"/>
              </w:rPr>
            </w:pPr>
          </w:p>
        </w:tc>
      </w:tr>
      <w:tr>
        <w:trPr>
          <w:trHeight w:val="241"/>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warrants in connection with private placement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21"/>
                <w:szCs w:val="21"/>
                <w:color w:val="auto"/>
              </w:rPr>
            </w:pPr>
          </w:p>
        </w:tc>
      </w:tr>
      <w:tr>
        <w:trPr>
          <w:trHeight w:val="23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license not yet paid</w:t>
            </w:r>
          </w:p>
        </w:tc>
        <w:tc>
          <w:tcPr>
            <w:tcW w:w="96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Offering costs not yet paid</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-3959860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-3316605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-1927860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-1610995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-951230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-933450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Taysha converted to a Delaware corporation on February 13, 2020, which had no impact to the Company’s par value or issued and authorized capital structure.</w:t>
      </w:r>
    </w:p>
    <w:p>
      <w:pPr>
        <w:spacing w:after="0" w:line="176"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Taysha is a clinical-stage biotechnology company focused on advancing AAV-based gene therapies for severe monogenic diseases of the central nervous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 No other shares of common stock have been issued and sold pursuant to the Sales Agreement as of June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Losses are expected to continue as the Company continues to invest in its research and development activities. As of June 30, 2024, the Company had an accumulated deficit of $558.0 million. The Company expects to continue to incur significant expenses and operating losses for the foreseeable future.</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June 26, 2024, the Company entered into an underwriting agreement (the “June 2024 Underwriting Agreement”) with Jefferies LLC and Goldman Sachs &amp; Co. LLC, as representatives of the several underwriters set forth therein (collectively, the “Underwriters”), to issue and sell 14,361,113 shares of the Company’s common stock and, in lieu of common stock to certain investors, pre-funded warrants to purchase 18,972,221 shares of its common stock in an underwritten public offering (the “June 2024 Offering”), pursuant to an effective shelf registration statement on Form S-3 and a related prospectus and prospectus supplement. The offering price to the public was $2.25 per share of common stock and $2.249 per pre-funded warrant, which was the price to the public of each share of common stock sold in the June 2024 Offering minus the $0.001 exercise price per pre-funded warrant. The Underwriters purchased the shares and the pre-funded warrants from the Company pursuant to the June 2024 Underwriting Agreement at a price of $2.115 per share and $2.114 per pre-funded warrant, respectively. See Note 10 for additional information. The initial closing of the June 2024 Offering occurred on June 27, 2024. In addition, the Company granted the Underwriters an option to purchase, for a period of 30 days, up to an additional 5,000,000 shares of common stock. On July 9, 2024, the Underwriters exercised their option to purchase an additional 3,235,000 shares of common stock. The total net proceeds from the June 2024 Offering were approximately $76.8 million, including the proceeds from the Underwriter’s option, after deducting underwriting discounts and commissions and offering expenses. See Note 16 for additional information.</w:t>
      </w:r>
    </w:p>
    <w:p>
      <w:pPr>
        <w:spacing w:after="0" w:line="19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June 30, 2024, the Company had cash and cash equivalents of $172.7 million, which the Company believes will be sufficient to fund its planned operations for a period of at least twelve months from the date of issuance of these unaudited condensed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2023, filed with the Securities and Exchange Commission (“SEC”) on March 19, 2024 (the “2023 Annual Report”). In the opinion of management, the unaudited condensed consolidated financial statements reflect all adjustments, which include only normal recurring adjustments necessary for the fair statement of the balances and results for the periods presented. The condensed consolidated balance sheet as of December 31, 2023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2023 Annual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Taysha and its wholly 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initial public offering (“IPO”) (as an input into stock-based compensation), estimating manufacturing accruals and accrued or prepaid research and development expenses, the measurement of impairment of long-lived assets, the valuation of the Trinity Term Loans that are carried at fair value and the allocation of consideration received in connection with the Astellas Transactions (as defined below).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as disclosed in Note 2 to the audited consolidated financial statements included in the 2023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recently adopted accounting pronouncements from those disclosed in the section titled “Financial Statements and Supplementary Data” included in the 2023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 Improvements to Reportable Segment Disclosures</w:t>
      </w:r>
      <w:r>
        <w:rPr>
          <w:rFonts w:ascii="Times New Roman" w:cs="Times New Roman" w:eastAsia="Times New Roman" w:hAnsi="Times New Roman"/>
          <w:sz w:val="18"/>
          <w:szCs w:val="18"/>
          <w:color w:val="auto"/>
        </w:rPr>
        <w:t>, to improve segment disclosure requirements under ASC 280, Segment Reporting, through enhancing disclosures about significant segment expenses. The guidance requires entities to provide significant segment expenses that are regularly provided to the chief operating decision maker and other segment expenses included in each reported measure of segment profitability. The ASU also enhances interim segment reporting requirements by aligning interim disclosures with information that must be disclosed annually in accordance with ASC 280. The guidance is effective for annual periods beginning after December 15, 2023, and interim periods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0" w:name="page11"/>
    <w:bookmarkEnd w:id="10"/>
    <w:p>
      <w:pPr>
        <w:ind w:right="160"/>
        <w:spacing w:after="0" w:line="282" w:lineRule="auto"/>
        <w:rPr>
          <w:sz w:val="20"/>
          <w:szCs w:val="20"/>
          <w:color w:val="auto"/>
        </w:rPr>
      </w:pPr>
      <w:r>
        <w:rPr>
          <w:rFonts w:ascii="Times New Roman" w:cs="Times New Roman" w:eastAsia="Times New Roman" w:hAnsi="Times New Roman"/>
          <w:sz w:val="18"/>
          <w:szCs w:val="18"/>
          <w:color w:val="auto"/>
        </w:rPr>
        <w:t>beginning after December 15, 2024, applied retrospectively with early adoption permitted. The Company is still evaluating the impact this ASU will have on its consolidated financial statements and related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3—Fair Value Measurements</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money market funds, the Trinity Term Loans, a success fee derivative liability and certain of the Company’s warrant liabilities.</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45"/>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172,103</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172,103</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172,103</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172,103</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Trinity Term Loans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r>
      <w:tr>
        <w:trPr>
          <w:trHeight w:val="247"/>
        </w:trPr>
        <w:tc>
          <w:tcPr>
            <w:tcW w:w="5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SSI Warrant liability</w:t>
            </w: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10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-830580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-814070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-830580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-814070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-830580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-814070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-187960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142,425</w:t>
            </w:r>
          </w:p>
        </w:tc>
        <w:tc>
          <w:tcPr>
            <w:tcW w:w="240" w:type="dxa"/>
            <w:vAlign w:val="bottom"/>
            <w:vMerge w:val="restart"/>
          </w:tcPr>
          <w:p>
            <w:pPr>
              <w:spacing w:after="0"/>
              <w:rPr>
                <w:sz w:val="20"/>
                <w:szCs w:val="20"/>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142,425</w:t>
            </w:r>
          </w:p>
        </w:tc>
        <w:tc>
          <w:tcPr>
            <w:tcW w:w="240" w:type="dxa"/>
            <w:vAlign w:val="bottom"/>
            <w:vMerge w:val="restart"/>
          </w:tcPr>
          <w:p>
            <w:pPr>
              <w:spacing w:after="0"/>
              <w:rPr>
                <w:sz w:val="20"/>
                <w:szCs w:val="20"/>
                <w:color w:val="auto"/>
              </w:rPr>
            </w:pPr>
          </w:p>
        </w:tc>
        <w:tc>
          <w:tcPr>
            <w:tcW w:w="100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restart"/>
          </w:tcPr>
          <w:p>
            <w:pPr>
              <w:spacing w:after="0"/>
              <w:rPr>
                <w:sz w:val="20"/>
                <w:szCs w:val="20"/>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142,425</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142,425</w:t>
            </w:r>
          </w:p>
        </w:tc>
        <w:tc>
          <w:tcPr>
            <w:tcW w:w="12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Trinity Term Loans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SSI Warrant liability</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41,762</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-830580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-813435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-830580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-813435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-830580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-813435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an active market with no valuation adjustment, as Level 1 assets within the fair value hierarchy.</w:t>
      </w:r>
    </w:p>
    <w:p>
      <w:pPr>
        <w:spacing w:after="0" w:line="16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Trinity Term Loans and Success Fee liability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7 for additional information on the Trinity Term Loans and Success Fee.</w:t>
      </w:r>
    </w:p>
    <w:p>
      <w:pPr>
        <w:spacing w:after="0" w:line="180"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The Company’s SSI Warrant liability is classified as Level 3 measurements under the fair value hierarchy as the fair values were determined based on significant inputs not observable in the market. The fair values were determined using the Black-Scholes-Merton option pricing model to determine the fair value of the SSI Warrants (as defined below). See Note 10 for additional information on the SSI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4—Balance Sheet Components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7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clinical trial</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bonus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r>
      <w:tr>
        <w:trPr>
          <w:trHeight w:val="27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44"/>
        </w:trPr>
        <w:tc>
          <w:tcPr>
            <w:tcW w:w="7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0"/>
        </w:trPr>
        <w:tc>
          <w:tcPr>
            <w:tcW w:w="7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(3,629 )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(2,979 )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-2047875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-2030730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-504825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includes $0.8 million and $1.0 million of assets capitalized as finance leases as of June 30, 2024 and December 31, 2023, respectively.</w:t>
      </w:r>
    </w:p>
    <w:p>
      <w:pPr>
        <w:spacing w:after="0" w:line="16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and $0.4 million for the three months ended June 30, 2024 and 2023, respectively. Depreciation expense was $0.6 million and $0.7 million for the six months ended June 30, 2024 and 2023,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7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clinical trial</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r>
      <w:tr>
        <w:trPr>
          <w:trHeight w:val="27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leases certain office, laboratory, and manufacturing space.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On January 11, 2021, the Company entered into a lease agreement (the “Dallas Lease”) with Pegasus Park, LLC, a Delaware limited liability company (the “Dallas Landlord”), pursuant to which the Company leases approximately 15,000 square feet of office space at 3000 Pegasus Park Drive, Dallas, Texas 75247 (the “Office Space”).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Dallas Lease commenced on May 27, 2021, and has a term of approximately ten years. The Company has an option to extend the term of the Dallas Lease for one additional period of five years.</w:t>
      </w:r>
    </w:p>
    <w:p>
      <w:pPr>
        <w:spacing w:after="0" w:line="16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 Expansion</w:t>
      </w:r>
    </w:p>
    <w:p>
      <w:pPr>
        <w:spacing w:after="0" w:line="12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On December 14, 2021, the Company amended the Dallas Lease (the “Dallas Lease Amendment”) with the Dallas Landlord, pursuant to which the Company leases approximately 18,000 square feet of office space adjacent to the Office Space at 3000 Pegasus Park Drive, Dallas, Texas 75247 (the “Expansion Premises”).</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Dallas Lease Amendment commenced on July 1, 2022, and has a term of approximately ten years.</w:t>
      </w:r>
    </w:p>
    <w:p>
      <w:pPr>
        <w:spacing w:after="0" w:line="225" w:lineRule="exact"/>
        <w:rPr>
          <w:sz w:val="20"/>
          <w:szCs w:val="20"/>
          <w:color w:val="auto"/>
        </w:rPr>
      </w:pPr>
    </w:p>
    <w:p>
      <w:pPr>
        <w:ind w:right="60" w:firstLine="749"/>
        <w:spacing w:after="0" w:line="289" w:lineRule="auto"/>
        <w:rPr>
          <w:sz w:val="20"/>
          <w:szCs w:val="20"/>
          <w:color w:val="auto"/>
        </w:rPr>
      </w:pPr>
      <w:r>
        <w:rPr>
          <w:rFonts w:ascii="Times New Roman" w:cs="Times New Roman" w:eastAsia="Times New Roman" w:hAnsi="Times New Roman"/>
          <w:sz w:val="17"/>
          <w:szCs w:val="17"/>
          <w:color w:val="auto"/>
        </w:rPr>
        <w:t>The Company is obligated to pay operating costs and utilities applicable to the Expansion Premises. Total future minimum lease payments under the Dallas Lease Amendment over the initial 10 year term are approximately $6.0 million. The Company is responsible for costs of constructing interior improvements within the Expansion Premises that exceed a $40.00 per rentable square foot construction allowance provided by the Dallas Landlord.</w:t>
      </w:r>
    </w:p>
    <w:p>
      <w:pPr>
        <w:spacing w:after="0" w:line="165" w:lineRule="exact"/>
        <w:rPr>
          <w:sz w:val="20"/>
          <w:szCs w:val="20"/>
          <w:color w:val="auto"/>
        </w:rPr>
      </w:pPr>
    </w:p>
    <w:p>
      <w:pPr>
        <w:ind w:right="460" w:firstLine="749"/>
        <w:spacing w:after="0" w:line="227" w:lineRule="auto"/>
        <w:rPr>
          <w:sz w:val="20"/>
          <w:szCs w:val="20"/>
          <w:color w:val="auto"/>
        </w:rPr>
      </w:pPr>
      <w:r>
        <w:rPr>
          <w:rFonts w:ascii="Times New Roman" w:cs="Times New Roman" w:eastAsia="Times New Roman" w:hAnsi="Times New Roman"/>
          <w:sz w:val="18"/>
          <w:szCs w:val="18"/>
          <w:color w:val="auto"/>
        </w:rPr>
        <w:t>The Company has a right of first refusal with respect to certain additional office space on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at 3000 Pegasus Park Drive, Dallas, Texas 75247 before the Dallas Landlord accepts any offer for such space.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was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will be funded by the escrowed funds. The escrow funds are recorded as restricted cash on the condensed consolidated balance sheets as of June 30, 2024 and December 31, 2023 with $0.5 million recorded in current assets and $2.1 million in noncurrent assets.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all lease costs recognized under ASC 842</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lease costs recognized under ASC 842 and other information pertaining to the Company’s operating leases for the three and six months ended June 30, 2024 and 2023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272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2"/>
        </w:trPr>
        <w:tc>
          <w:tcPr>
            <w:tcW w:w="41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20"/>
                <w:szCs w:val="20"/>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20"/>
                <w:szCs w:val="20"/>
                <w:color w:val="auto"/>
              </w:rPr>
            </w:pP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20"/>
                <w:szCs w:val="20"/>
                <w:color w:val="auto"/>
              </w:rPr>
            </w:pPr>
          </w:p>
        </w:tc>
      </w:tr>
      <w:tr>
        <w:trPr>
          <w:trHeight w:val="243"/>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0"/>
                <w:szCs w:val="20"/>
                <w:color w:val="auto"/>
              </w:rPr>
            </w:pPr>
          </w:p>
        </w:tc>
        <w:tc>
          <w:tcPr>
            <w:tcW w:w="5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20"/>
                <w:szCs w:val="20"/>
                <w:color w:val="auto"/>
              </w:rPr>
            </w:pPr>
          </w:p>
        </w:tc>
      </w:tr>
      <w:tr>
        <w:trPr>
          <w:trHeight w:val="20"/>
        </w:trPr>
        <w:tc>
          <w:tcPr>
            <w:tcW w:w="4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3"/>
        </w:trPr>
        <w:tc>
          <w:tcPr>
            <w:tcW w:w="4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4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-1087755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-1087755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-1087755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Supplemental information related to the remaining lease term and discount rate are as follows: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61"/>
        </w:trPr>
        <w:tc>
          <w:tcPr>
            <w:tcW w:w="6560" w:type="dxa"/>
            <w:vAlign w:val="bottom"/>
          </w:tcPr>
          <w:p>
            <w:pPr>
              <w:spacing w:after="0"/>
              <w:rPr>
                <w:sz w:val="24"/>
                <w:szCs w:val="24"/>
                <w:color w:val="auto"/>
              </w:rPr>
            </w:pPr>
          </w:p>
        </w:tc>
        <w:tc>
          <w:tcPr>
            <w:tcW w:w="1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gridSpan w:val="2"/>
          </w:tcPr>
          <w:p>
            <w:pPr>
              <w:spacing w:after="0"/>
              <w:rPr>
                <w:sz w:val="24"/>
                <w:szCs w:val="24"/>
                <w:color w:val="auto"/>
              </w:rPr>
            </w:pPr>
          </w:p>
        </w:tc>
      </w:tr>
      <w:tr>
        <w:trPr>
          <w:trHeight w:val="243"/>
        </w:trPr>
        <w:tc>
          <w:tcPr>
            <w:tcW w:w="8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1"/>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10.53 %</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10.52 %</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7.82 %</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44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940" w:type="dxa"/>
            <w:vAlign w:val="bottom"/>
          </w:tcPr>
          <w:p>
            <w:pPr>
              <w:spacing w:after="0"/>
              <w:rPr>
                <w:sz w:val="21"/>
                <w:szCs w:val="21"/>
                <w:color w:val="auto"/>
              </w:rPr>
            </w:pP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700" w:type="dxa"/>
            <w:vAlign w:val="bottom"/>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20" w:type="dxa"/>
            <w:vAlign w:val="bottom"/>
            <w:gridSpan w:val="2"/>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As of June 30, 2024, future minimum commitments under ASC 842 under the Company’s operating and finance leases were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tcPr>
          <w:p>
            <w:pPr>
              <w:spacing w:after="0"/>
              <w:rPr>
                <w:sz w:val="21"/>
                <w:szCs w:val="21"/>
                <w:color w:val="auto"/>
              </w:rPr>
            </w:pPr>
          </w:p>
        </w:tc>
        <w:tc>
          <w:tcPr>
            <w:tcW w:w="22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540" w:type="dxa"/>
            <w:vAlign w:val="bottom"/>
          </w:tcPr>
          <w:p>
            <w:pPr>
              <w:spacing w:after="0"/>
              <w:rPr>
                <w:sz w:val="21"/>
                <w:szCs w:val="21"/>
                <w:color w:val="auto"/>
              </w:rPr>
            </w:pPr>
          </w:p>
        </w:tc>
        <w:tc>
          <w:tcPr>
            <w:tcW w:w="21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3"/>
        </w:trPr>
        <w:tc>
          <w:tcPr>
            <w:tcW w:w="5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FF0FC"/>
          </w:tcPr>
          <w:p>
            <w:pPr>
              <w:spacing w:after="0"/>
              <w:rPr>
                <w:sz w:val="21"/>
                <w:szCs w:val="21"/>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FF0FC"/>
          </w:tcPr>
          <w:p>
            <w:pPr>
              <w:spacing w:after="0"/>
              <w:rPr>
                <w:sz w:val="21"/>
                <w:szCs w:val="21"/>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top w:val="single" w:sz="8" w:color="auto"/>
            </w:tcBorders>
            <w:shd w:val="clear" w:color="auto" w:fill="CFF0FC"/>
          </w:tcPr>
          <w:p>
            <w:pPr>
              <w:spacing w:after="0"/>
              <w:rPr>
                <w:sz w:val="20"/>
                <w:szCs w:val="20"/>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29,113</w:t>
            </w:r>
          </w:p>
        </w:tc>
        <w:tc>
          <w:tcPr>
            <w:tcW w:w="10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Pr>
          <w:p>
            <w:pPr>
              <w:spacing w:after="0"/>
              <w:rPr>
                <w:sz w:val="20"/>
                <w:szCs w:val="20"/>
                <w:color w:val="auto"/>
              </w:rPr>
            </w:pP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(9,596 )</w:t>
            </w:r>
          </w:p>
        </w:tc>
        <w:tc>
          <w:tcPr>
            <w:tcW w:w="540" w:type="dxa"/>
            <w:vAlign w:val="bottom"/>
          </w:tcPr>
          <w:p>
            <w:pPr>
              <w:spacing w:after="0"/>
              <w:rPr>
                <w:sz w:val="20"/>
                <w:szCs w:val="20"/>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(129 )</w:t>
            </w:r>
          </w:p>
        </w:tc>
      </w:tr>
      <w:tr>
        <w:trPr>
          <w:trHeight w:val="281"/>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1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5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500" w:type="dxa"/>
            <w:vAlign w:val="bottom"/>
            <w:tcBorders>
              <w:bottom w:val="single" w:sz="8" w:color="auto"/>
            </w:tcBorders>
            <w:shd w:val="clear" w:color="auto" w:fill="CFF0FC"/>
          </w:tcPr>
          <w:p>
            <w:pPr>
              <w:spacing w:after="0"/>
              <w:rPr>
                <w:sz w:val="21"/>
                <w:szCs w:val="21"/>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-521970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-505460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6—Astellas Agreements</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On October 21, 2022 (the “Effective Date”), the Company entered into the Option Agreement (the “Option Agreement”) with Astellas Gene Therapies, Inc. (f/k/a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 In September 2023, Astellas provided written notice of its decision not to exercise the GAN Option.</w:t>
      </w:r>
    </w:p>
    <w:p>
      <w:pPr>
        <w:spacing w:after="0" w:line="18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and together with the GAN Option, each, an “Option”). Subject to certain extensions, the Rett Option is exercisable from the Effective Date through a specified period of time following Astellas’ receipt of (i) certain clinical data from the female pediatric trial and (ii) certain specified</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9" w:right="279" w:bottom="1440" w:gutter="0" w:footer="0" w:header="0"/>
        </w:sectPr>
      </w:pPr>
    </w:p>
    <w:bookmarkStart w:id="14" w:name="page15"/>
    <w:bookmarkEnd w:id="14"/>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data with respect to TSHA-102,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w:t>
      </w:r>
    </w:p>
    <w:p>
      <w:pPr>
        <w:spacing w:after="0" w:line="180"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spacing w:after="0" w:line="18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rights granted to Astellas under the Option Agreement, Astellas paid the Company an upfront payment of $20.0 million (the “Upfront Payment”).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Securities Purchase Agreement</w:t>
      </w:r>
    </w:p>
    <w:p>
      <w:pPr>
        <w:spacing w:after="0" w:line="11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with Astellas (the “Astellas Securities Purchase Agreement”), pursuant to which the Company agreed to issue and sell to Astellas in a private placement (the “Astellas Private Placement”), an aggregate of 7,266,342 shares (the “Astellas Private Placement Shares”), of its common stock, for aggregate gross proceeds of $30.0 million. The Astellas Private Placement closed on October 24, 2022. Pursuant to the Securities Purchase Agreement, in connection with the Astellas Private Placement, Astellas has the right to designate one individual to attend all meetings of the Board in a non-voting observer capacity. The Company also granted Astellas certain registration rights with respect to the Astellas Private Placement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October 2022, upon closing of the Astellas Private Placement and transferring the 7,266,342 shares to Astellas, the Company recorded the issuance of shares at fair value. Fair value of the shares transferred to Astellas was calculated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w:t>
      </w:r>
    </w:p>
    <w:p>
      <w:pPr>
        <w:spacing w:after="0" w:line="185"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that the Option Agreement falls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Private Placement.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cost-plus margin approach. The standalone selling prices of the material rights and Rett research and development activities were then used to proportionately allocate the $36.1 million transaction price to the three performance obligations. The $36.1 million transaction price was recorded as deferred revenue on the condensed consolidated balance sheet at the inception of the Astellas Transactions.</w:t>
      </w:r>
    </w:p>
    <w:p>
      <w:pPr>
        <w:spacing w:after="0" w:line="18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transaction price to the three performance obligations at contract inception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Transaction Price Allocation</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 to obtain license for Rett</w:t>
            </w:r>
          </w:p>
        </w:tc>
        <w:tc>
          <w:tcPr>
            <w:tcW w:w="48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to obtain license for GAN</w:t>
            </w:r>
          </w:p>
        </w:tc>
        <w:tc>
          <w:tcPr>
            <w:tcW w:w="48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Rett research and development activities</w:t>
            </w:r>
          </w:p>
        </w:tc>
        <w:tc>
          <w:tcPr>
            <w:tcW w:w="480" w:type="dxa"/>
            <w:vAlign w:val="bottom"/>
            <w:tcBorders>
              <w:bottom w:val="single" w:sz="8" w:color="auto"/>
            </w:tcBorders>
            <w:shd w:val="clear" w:color="auto" w:fill="CFF0FC"/>
          </w:tcPr>
          <w:p>
            <w:pPr>
              <w:spacing w:after="0"/>
              <w:rPr>
                <w:sz w:val="21"/>
                <w:szCs w:val="21"/>
                <w:color w:val="auto"/>
              </w:rPr>
            </w:pPr>
          </w:p>
        </w:tc>
        <w:tc>
          <w:tcPr>
            <w:tcW w:w="2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determined that the total estimated costs to be incurred to satisfy the performance obligation associated with Rett research and development activities had increased from the cost estimate used for the year ended December 31, 2023, and the three months ended March 31, 2024. The cumulative impact of this change would have resulted in a $1.1 million decrease related to revenue previously recognized based on prior cost estimates.</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revenue of $1.1 million and $2.4 million from Rett research and development activities for the three months ended June 30, 2024 and 2023, respectively. The Company recognized revenue of $4.5 million and $7.1 million from Rett research and development activities for the six months ended June 30, 2024 and 2023, respectively.</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Company had $13.6 million of deferred revenue on the condensed consolidated balance sheet as of June 30, 2024 comprised of $5.5 million for the Rett Option and $8.1 million of Rett research and development activities. The Company had $18.1 million of deferred revenue on the condensed consolidated balance sheet as of December 31, 2023 comprised of $5.5 million for the Rett Option and $12.6 million of Rett research and development activities. The GAN option revenue was recognized in September 2023 when Astellas provided written notice of its decision not to exercise the GAN Option.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Term Loans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with Trinity Capital</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November 13, 2023 (the “Trinity Closing Date”), the Company entered into a Loan and Security Agreement (the “Trinity Term Loan Agreement”), by and among the Company, the lenders party thereto from time to time (the “Trinity Lenders”) and Trinity Capital Inc., as administrative agent and collateral agent for the Trinity Lenders (“Trinity”). The Trinity Term Loan Agreement provides for, on the Trinity Closing Date, $40.0 million aggregate principal amount of term loans (collectively, the “Trinity Term Loans”). The Company drew the Trinity Term Loans in full on the Trinity Closing Date.</w:t>
      </w:r>
    </w:p>
    <w:p>
      <w:pPr>
        <w:spacing w:after="0" w:line="183"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interest rate applicable to the Trinity Term Loans is the greater of (a) the Wall Street Journal (“WSJ”)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the Company is required to pay equal monthly installments of principal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180"/>
        <w:spacing w:after="0" w:line="282" w:lineRule="auto"/>
        <w:rPr>
          <w:sz w:val="20"/>
          <w:szCs w:val="20"/>
          <w:color w:val="auto"/>
        </w:rPr>
      </w:pPr>
      <w:r>
        <w:rPr>
          <w:rFonts w:ascii="Times New Roman" w:cs="Times New Roman" w:eastAsia="Times New Roman" w:hAnsi="Times New Roman"/>
          <w:sz w:val="18"/>
          <w:szCs w:val="18"/>
          <w:color w:val="auto"/>
        </w:rPr>
        <w:t>through November 13, 2028 (the “Maturity Date”). As of June 30, 2024, $40.0 million was outstanding on the Term Loan, recorded as Term Loan, net on the condensed consolidated balance sheet.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Future principal debt payments on the Trinity Term Loan Agreement as of June 30, 2024 are as follows (in thousands):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9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9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9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w:t>
            </w:r>
          </w:p>
        </w:tc>
        <w:tc>
          <w:tcPr>
            <w:tcW w:w="100" w:type="dxa"/>
            <w:vAlign w:val="bottom"/>
          </w:tcPr>
          <w:p>
            <w:pPr>
              <w:spacing w:after="0"/>
              <w:rPr>
                <w:sz w:val="20"/>
                <w:szCs w:val="20"/>
                <w:color w:val="auto"/>
              </w:rPr>
            </w:pPr>
          </w:p>
        </w:tc>
      </w:tr>
      <w:tr>
        <w:trPr>
          <w:trHeight w:val="243"/>
        </w:trPr>
        <w:tc>
          <w:tcPr>
            <w:tcW w:w="9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0"/>
                <w:szCs w:val="20"/>
                <w:color w:val="auto"/>
              </w:rPr>
            </w:pPr>
          </w:p>
        </w:tc>
      </w:tr>
      <w:tr>
        <w:trPr>
          <w:trHeight w:val="20"/>
        </w:trPr>
        <w:tc>
          <w:tcPr>
            <w:tcW w:w="9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Trinity Term Loans may be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the Company paid to Trinity a commitment fee of 1.00% of the original principal amount of the Trinity Term Loans. Upon repayment in full of the Trinity Term Loans, the Company will pay to Trinity an end of term payment equal to 5.00% of the original principal amount of the Trinity Term Loans.</w:t>
      </w:r>
    </w:p>
    <w:p>
      <w:pPr>
        <w:spacing w:after="0" w:line="18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obligations under the Trinity Term Loan Agreement are secured by a perfected security interest in all of the Company’s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the Company’s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 As of June 30, 2024, the Company is in compliance with all covenants of the Trinity Term Loans.</w:t>
      </w:r>
    </w:p>
    <w:p>
      <w:pPr>
        <w:spacing w:after="0" w:line="192"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5.00% per annum may be applied to the outstanding loan balances, and the Trinity Lenders may declare all outstanding obligations immediately due and payable and exercise all of its rights and remedies as set forth in the Trinity Term Loan Agreement and under applicable law.</w:t>
      </w:r>
    </w:p>
    <w:p>
      <w:pPr>
        <w:spacing w:after="0" w:line="18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proceeds of the Trinity Term Loans were used to repay the Company’s obligations under the Term Loan Agreement (as defined below) with Silicon Valley Bank in full. The Term Loan Agreement with Silicon Valley Bank was terminated concurrently with entry into the Trinity Term Loan Agreement.</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Company assessed the terms and features of the Trinity Term Loans and determined that the Company was eligible to elect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Trinity Term Loans contain various embedded features and the election of the fair value option allowed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Trinity Term Loans, which include accrued interest, if any, are recorded as a component of other expense (income) in the condensed consolidated statements of operations. The Company has not elected to present interest expense separately from changes in fair value and therefore will not present interest expense associated with the Trinity Term Loans. Any changes in fair value caused by instrument-specific credit risk are presented separately in other comprehensive income or loss if material. Under the fair value option, debt issuance costs are expensed as incurred. The Company incurred $0.9 million of debt issuance costs, which were recorded within general and administrative expense in the consolidated statements of operations for the year ended December 31, 2023.</w:t>
      </w:r>
    </w:p>
    <w:p>
      <w:pPr>
        <w:spacing w:after="0" w:line="194"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Trinity Term Loans, the Company entered into a Success Fee Agreement with Trinity which specifies the terms regarding a fee in the amount of 10% of the principal amount of the funded Trinity Term Loans (the "Success Fee"). The Success Fee is payable upon the achievement of certain corporate development value-inflection milestones. The Success Fee survives the termination of the Trinity Term Loans and expires on the earlier of ten years, or payment in full in cash of the Success Fee. The Company determined that the Success Fee represents a freestanding financial instrument and should be accounted for as a derivative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condensed consolidated statements of operations.</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proceeds from the Trinity Term Loans were allocated to the Success Fee and Trinity Term Loans based on their respective fair values on the Trinity Closing Date. The fair values were determined utilizing a probability-weighted income approach, including variables for the timing of a success event and other probability estimates.</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the Trinity Term Loans and the Success Fee using a probability-weighted income approach and recorded the loan at fair value of $39.2 million and the Success Fee liability at fair value of $0.8 million in the condensed consolidated balance sheet at issuance. The Company calculated the discounted cash flows of the Trinity Term Loans using a discount rate of 15.68% and adjusted for the probability of various repayment scenarios. The Company calculated the discounted cash flows of the Success Fee liability, using a discount rate of 15.68% then adjusted for the probability of achievement of certain corporate development value-inflection milestones.</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remeasured the fair value of the Trinity Term Loans and Success Fee as of June 30, 2024 using a probability-weighted income approach. The Company calculated discounted cash flows of the Trinity Term Loans using a discount rate of 18.22% and adjusted for the probability of various repayment scenarios. The Company calculated the discounted cash flows of the Success Fee liability, using a discount rate of 18.22% then adjusted for the probability of achievement of certain corporate development value-inflection milestones.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Trinity Term Loans during the six months ended June 30, 2024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Trinity Term Loans</w:t>
            </w: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fair value balance at January 1, 2024</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100" w:type="dxa"/>
            <w:vAlign w:val="bottom"/>
            <w:shd w:val="clear" w:color="auto" w:fill="CFF0FC"/>
          </w:tcPr>
          <w:p>
            <w:pPr>
              <w:spacing w:after="0"/>
              <w:rPr>
                <w:sz w:val="21"/>
                <w:szCs w:val="21"/>
                <w:color w:val="auto"/>
              </w:rPr>
            </w:pPr>
          </w:p>
        </w:tc>
      </w:tr>
      <w:tr>
        <w:trPr>
          <w:trHeight w:val="23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w:t>
            </w:r>
          </w:p>
        </w:tc>
        <w:tc>
          <w:tcPr>
            <w:tcW w:w="8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9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8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(268 )</w:t>
            </w:r>
          </w:p>
        </w:tc>
      </w:tr>
      <w:tr>
        <w:trPr>
          <w:trHeight w:val="23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8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(2,405 )</w:t>
            </w:r>
          </w:p>
        </w:tc>
      </w:tr>
      <w:tr>
        <w:trPr>
          <w:trHeight w:val="277"/>
        </w:trPr>
        <w:tc>
          <w:tcPr>
            <w:tcW w:w="9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fair value balance as of June 30, 2024</w:t>
            </w: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$1.3 million and $2.6 million, respectively, of interest expense within change in fair value of term loans, all of which was paid as of June 30, 2024.</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Success Fee liability during the six months ended June 30, 2024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Success Fee</w:t>
            </w: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fair value balance at January 1, 2024</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FF0FC"/>
          </w:tcPr>
          <w:p>
            <w:pPr>
              <w:spacing w:after="0"/>
              <w:rPr>
                <w:sz w:val="21"/>
                <w:szCs w:val="21"/>
                <w:color w:val="auto"/>
              </w:rPr>
            </w:pPr>
          </w:p>
        </w:tc>
      </w:tr>
      <w:tr>
        <w:trPr>
          <w:trHeight w:val="23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Success Fee</w:t>
            </w:r>
          </w:p>
        </w:tc>
        <w:tc>
          <w:tcPr>
            <w:tcW w:w="7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fair value balance as of June 30, 2024</w:t>
            </w: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with Silicon Valley Bank</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On August 12, 2021 (the “SVB Closing Date”), the Company entered into a Loan and Security Agreement (the “Term Loan Agreement”), by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Company, the lenders party thereto from time to time (the “Lenders”) and Silicon Valley Bank, as administrative agent and collateral agent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Lenders (“Agent”). The Term Loan Agreement provided for (i) on the SVB Closing Date, $40.0 million aggregate principal amount of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through December 31, 2021, (ii) from January 1, 2022 until September 30, 2022, an additional $20.0 million term loan facility available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option upon having three distinct and active clinical stage programs, determined at the discretion of the Agent, at the time of draw, (iii)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2022 until March 31, 2023, an additional $20.0 million term loan facility available at the Company’s option upon having three distinct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clinical stage programs, determined at the discretion of the Agent, at the time of draw and (iv) from April 1, 2023 until December 31, 2023,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$20.0 million term loan facility available upon approval by the Agent and the Lenders (collectively, the “Term Loans”). The Company drew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million in term loans on the SVB Closing Date and $10.0 million in term loans in December 2021. The Company did not draw on the two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tranches prior to expiration on September 30, 2022 and March 31,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2023. The Term Loan Agreement with Silicon Valley Bank was terminated concurrently with entry into the Trinity Term Loan Agreement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interest rate applicable to the Term Loans was the greater of (a) the WSJ Prime Rate plus 3.75% or (b) 7.00% per annum. The Term Loans were interest only from the SVB Closing Date through August 31, 2024, after which the Company was required to pay equal monthly installments of principal through August 1, 2026, the maturity date.</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Term Loans could have been prepaid in full through August 12, 2023, with payment of a 1.00% prepayment premium, after which they could be prepaid in full with no prepayment premium. An additional final payment of 7.50% of the amount of Terms Loans advanced by the Lenders (“Exit Fee”) was due upon prepayment or repayment of the Term Loans in full. The Exit Fee of $3.0 million was recorded as debt discount. The debt discount was being accreted using the effective interest method over the term of the Term Loans within interest expense in the condensed consolidated statements of operations.</w:t>
      </w:r>
    </w:p>
    <w:p>
      <w:pPr>
        <w:spacing w:after="0" w:line="183"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obligations under the Term Loan Agreement were secured by a perfected security interest in all of the Company’s assets except for intellectual property and certain other customarily excluded property pursuant to the terms of the Term Loan Agreement.</w:t>
      </w:r>
    </w:p>
    <w:p>
      <w:pPr>
        <w:spacing w:after="0" w:line="16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Upon termination of the Term Loan Agreement with Silicon Valley Bank, the Company made a prepayment of $43.2 million to satisfy the Company’s principal and interest obligations and related fees under the Term Loan Agreement. The payoff amount paid by the Company in connection with the Term Loans included payment of the Exit Fee of $3.0 million and accrued interest of $0.2 million. In connection with the repayment of the Term Loans, the remaining balance of debt discount of $1.4 million was recognized as a component of other income (expense) in the condensed consolidated statements of operations for the year ended December 31, 2023.</w:t>
      </w:r>
    </w:p>
    <w:p>
      <w:pPr>
        <w:spacing w:after="0" w:line="183"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2023, the Company recognized interest expense related to the Term Loan of $1.4 million and $2.7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8—Research,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agreement or insolvency of the other party. In December 2023, the Company transferred rights to specific indications back to UT Southwestern.</w:t>
      </w:r>
    </w:p>
    <w:p>
      <w:pPr>
        <w:spacing w:after="0" w:line="22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Queen’s Agreement</w:t>
      </w:r>
    </w:p>
    <w:p>
      <w:pPr>
        <w:spacing w:after="0" w:line="121"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On February 21, 2020, the Company entered into a license agreement (the “Queen’s Agreement”) with Queen’s University at Kingston (“Queen’s”)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was recorded within research and development expenses in the consolidated statements of operations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197"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In January 2024, the Company transferred rights back to Queen’s for the Licensed Patents. No additional milestone payments were made in connection with the Queen’s Agreement during the six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 and classified as an investing cash outflow in the condensed consolidated statements of cash flows. No additional milestone payments were triggered in connection with this agreement during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9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17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March 2022, the Company’s clinical trial application, (“CTA”) filing for TSHA-102 for the treatment of Rett Syndrome was approved by Health Canada and therefore triggered a regulatory milestone payment in connection with this agreement. The Company recorded $1.0 million within research and development expenses and classified the payment as an investing cash outflow in the consolidated statements of cash flows.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condensed consolidated statements of operations for the year ended December 31, 2023. This milestone fee was paid in August 2023 and classified as an investing cash outflow in the consolidated statements of cash flows for the year ended December 31, 2023. No additional milestone payments were made or triggered in connection with this agreement during the six months ended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TSHA-120 for the treatment of GAN</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March 2021, the Company acquired the exclusive worldwide rights to a clinical-stage AAV9 gene therapy program (developed by the Company as TSHA-120) for the treatment of GAN pursuant to a license agreement (the “GAN License Agreement”) with Hannah’s Hope Fund for Giant Axonal Neuropathy, Inc. (“HHF”). In connection with the GAN License Agreement, the Company also obtained rights to collaborate with the National Institute of Neurological Disorders and Stroke (“NINDS”) on a clinical trial for TSHA-120, an intrathecally dosed AAV9 gene therapy for the treatment of GAN.</w:t>
      </w:r>
    </w:p>
    <w:p>
      <w:pPr>
        <w:spacing w:after="0" w:line="183"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Under the terms of the GAN License Agreement, in exchange for granting the Company the exclusive worldwide rights to TSHA-120, HHF received an upfront payment of $5.5 million. No additional milestone payments were made or triggered in connection with the GAN License Agreement during the six months ended June 30, 2024. In January 2024, the Company initiated the return of the FDA Investigational New Drug application and transfer of the investigational clinical trial material for TSHA-120 in GAN to NINDS, enabling an opportunity for continued clinical evaluation of TSHA-120 in GAN after the Company discontinued development of TSHA-120 in GAN in September 2023. In January 2024, the Company gave notice of termination of the GAN License Agreement, and such termination became effective in July 2024 when all licensed rights under the GAN License Agreement reverted to HHF.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for CLN7</w:t>
      </w:r>
    </w:p>
    <w:p>
      <w:pPr>
        <w:spacing w:after="0" w:line="13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a one-time upfront license fee of $0.3 million. The Company recorded the upfront license fee in research and development expense in the condensed consolidated statements of operations since the acquired license does not have an alternative future use. The Company is obligated to pay UT Southwestern up to $7.7 million in regulatory-related milestones and up to $7.5 million in sales-related milestones, as well as a low, single-digit royalty on net sales upon commercialization of the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 additional milestone payments were made or triggered in connection with this agreement during the six months ended June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9—Stock-Based Compensation</w:t>
      </w:r>
    </w:p>
    <w:p>
      <w:pPr>
        <w:spacing w:after="0" w:line="121"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2020 Equity Incentive Plan (“Previous Plan”) which permitted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spacing w:after="0" w:line="183"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Pursuant to this provision, on January 1, 2024, the Company increased the number of shares of common stock reserved for issuance under the New Plan by 9,348,009 shares.</w:t>
      </w:r>
    </w:p>
    <w:p>
      <w:pPr>
        <w:spacing w:after="0" w:line="18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No shares were added to the ESPP in 2021. Pursuant to this provision, on January 1, 2023 and 2024, the Company increased the number of shares of common stock reserved for issuance under the ESPP by 632,075 and 724,000 respectively. The Company has issued an aggregate of 188,193 shares of common stock under the ESPP as of June 30, 2024.</w:t>
      </w:r>
    </w:p>
    <w:p>
      <w:pPr>
        <w:spacing w:after="0" w:line="19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On December 15, 2023, the Company’s board of directors adopted the Taysha Gene Therapies, Inc. 2023 Inducement Plan (the “Inducement Plan”). The Inducement Plan was adopted without stockholder approval pursuant to Nasdaq Listing Rule 5635(c)(4). The Board reserved 4,000,000 shares of the Company’s common stock for issuance under the Inducement Plan.</w:t>
      </w:r>
    </w:p>
    <w:p>
      <w:pPr>
        <w:spacing w:after="0" w:line="17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 property granted under the Inducement Plan (including nonstatutory stock options, restricted stock awards, restricted stock unit awards, stock appreciation rights, performance stock awards, performance cash awards or other stock-based awards).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number of shares available for grant under the Company’s incentive plans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9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700" w:type="dxa"/>
            <w:vAlign w:val="bottom"/>
          </w:tcPr>
          <w:p>
            <w:pPr>
              <w:spacing w:after="0"/>
              <w:rPr>
                <w:sz w:val="16"/>
                <w:szCs w:val="16"/>
                <w:color w:val="auto"/>
              </w:rPr>
            </w:pPr>
          </w:p>
        </w:tc>
        <w:tc>
          <w:tcPr>
            <w:tcW w:w="19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January 1, 2024</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3,162,725</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7,162,725</w:t>
            </w:r>
          </w:p>
        </w:tc>
        <w:tc>
          <w:tcPr>
            <w:tcW w:w="100" w:type="dxa"/>
            <w:vAlign w:val="bottom"/>
            <w:shd w:val="clear" w:color="auto" w:fill="CFF0FC"/>
          </w:tcPr>
          <w:p>
            <w:pPr>
              <w:spacing w:after="0"/>
              <w:rPr>
                <w:sz w:val="20"/>
                <w:szCs w:val="20"/>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adjustments and amendments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9,348,009</w:t>
            </w:r>
          </w:p>
        </w:tc>
        <w:tc>
          <w:tcPr>
            <w:tcW w:w="100" w:type="dxa"/>
            <w:vAlign w:val="bottom"/>
          </w:tcPr>
          <w:p>
            <w:pPr>
              <w:spacing w:after="0"/>
              <w:rPr>
                <w:sz w:val="20"/>
                <w:szCs w:val="20"/>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Grants</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(11,905,262 )</w:t>
            </w:r>
          </w:p>
        </w:tc>
        <w:tc>
          <w:tcPr>
            <w:tcW w:w="1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(1,812,700 )</w:t>
            </w:r>
          </w:p>
        </w:tc>
        <w:tc>
          <w:tcPr>
            <w:tcW w:w="1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(13,717,962 )</w:t>
            </w: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298,646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311,000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609,646</w:t>
            </w:r>
          </w:p>
        </w:tc>
        <w:tc>
          <w:tcPr>
            <w:tcW w:w="100" w:type="dxa"/>
            <w:vAlign w:val="bottom"/>
          </w:tcPr>
          <w:p>
            <w:pPr>
              <w:spacing w:after="0"/>
              <w:rPr>
                <w:sz w:val="20"/>
                <w:szCs w:val="20"/>
                <w:color w:val="auto"/>
              </w:rPr>
            </w:pPr>
          </w:p>
        </w:tc>
      </w:tr>
      <w:tr>
        <w:trPr>
          <w:trHeight w:val="281"/>
        </w:trPr>
        <w:tc>
          <w:tcPr>
            <w:tcW w:w="5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June 30, 2024</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904,118</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2,498,300</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3,402,418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-25400</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1,421,760 shares of common stock under the New Plan and the Inducement Plan were awarded with a weighted-average grant date fair value per share of $2.25. The stock options vest over four years and have a ten-year contractual term. For the six months ended June 30, 2024, 9,220,821 shares of common stock under the New Plan and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right="240"/>
        <w:spacing w:after="0" w:line="282" w:lineRule="auto"/>
        <w:rPr>
          <w:sz w:val="20"/>
          <w:szCs w:val="20"/>
          <w:color w:val="auto"/>
        </w:rPr>
      </w:pPr>
      <w:r>
        <w:rPr>
          <w:rFonts w:ascii="Times New Roman" w:cs="Times New Roman" w:eastAsia="Times New Roman" w:hAnsi="Times New Roman"/>
          <w:sz w:val="18"/>
          <w:szCs w:val="18"/>
          <w:color w:val="auto"/>
        </w:rPr>
        <w:t>Inducement Plan were awarded with a weighted-average grant date fair value per share of $1.49. The stock options vest over one to four years and have a ten-year contractual term.</w:t>
      </w:r>
    </w:p>
    <w:p>
      <w:pPr>
        <w:spacing w:after="0" w:line="16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time-based vesting stock options that were granted during the three and six months ended June 30, 2024 and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26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5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7"/>
        </w:trPr>
        <w:tc>
          <w:tcPr>
            <w:tcW w:w="60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4.55 %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3.61 %</w:t>
            </w:r>
          </w:p>
        </w:tc>
      </w:tr>
      <w:tr>
        <w:trPr>
          <w:trHeight w:val="245"/>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time-based vesting stock option activity, during the six months ended June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5"/>
        </w:trPr>
        <w:tc>
          <w:tcPr>
            <w:tcW w:w="5760" w:type="dxa"/>
            <w:vAlign w:val="bottom"/>
          </w:tcPr>
          <w:p>
            <w:pPr>
              <w:spacing w:after="0"/>
              <w:rPr>
                <w:sz w:val="15"/>
                <w:szCs w:val="15"/>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87"/>
        </w:trPr>
        <w:tc>
          <w:tcPr>
            <w:tcW w:w="5760" w:type="dxa"/>
            <w:vAlign w:val="bottom"/>
          </w:tcPr>
          <w:p>
            <w:pPr>
              <w:spacing w:after="0"/>
              <w:rPr>
                <w:sz w:val="16"/>
                <w:szCs w:val="16"/>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2"/>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5,960,922</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9,220,821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(2,062 )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(534,893 )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expired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(68,701 )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14,576,087</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June 30,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2,667,407</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-205105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-205105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-205105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at the respective reporting date and the exercise price of the stock options. As of June 30, 2024, the total unrecognized compensation related to unvested stock option awards granted was $16.9 million, which the Company expects to recognize over a weighted-average period of approximately 2.7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12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As of June 30, 2024, 58,346 of the shares subject to the performance-based options were vested and outstanding. No performance-based stock options were exercised during the period.</w:t>
      </w:r>
    </w:p>
    <w:p>
      <w:pPr>
        <w:spacing w:after="0" w:line="180"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4.02 %</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1"/>
                <w:szCs w:val="21"/>
                <w:color w:val="auto"/>
              </w:rPr>
            </w:pPr>
          </w:p>
        </w:tc>
      </w:t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 December 2023, the Company modified all of the Original Options to amend the clinical and regulatory performance conditions and decreased the number of options granted to 1,516,655 (the “Modified Options”). The Company accounted for the changes in award terms as a modification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Total compensation cost</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23" w:name="page24"/>
    <w:bookmarkEnd w:id="23"/>
    <w:p>
      <w:pPr>
        <w:ind w:right="200"/>
        <w:spacing w:after="0" w:line="282" w:lineRule="auto"/>
        <w:rPr>
          <w:sz w:val="20"/>
          <w:szCs w:val="20"/>
          <w:color w:val="auto"/>
        </w:rPr>
      </w:pPr>
      <w:r>
        <w:rPr>
          <w:rFonts w:ascii="Times New Roman" w:cs="Times New Roman" w:eastAsia="Times New Roman" w:hAnsi="Times New Roman"/>
          <w:sz w:val="18"/>
          <w:szCs w:val="18"/>
          <w:color w:val="auto"/>
        </w:rPr>
        <w:t>is equal to the modification date fair value. The Modified Options have a grant date fair value per share of $1.28. The following assumptions were used to estimate the fair value of the Modified Options: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21"/>
                <w:szCs w:val="21"/>
                <w:color w:val="auto"/>
              </w:rPr>
            </w:pPr>
          </w:p>
        </w:tc>
      </w:t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Modified Options will vest over 3.0 years. The Company recognized stock-based compensation expense of $0.3 million and $0.6 million for the three and six months ended June 30, 2024, respectively, related to the Modified Options. As of June 30, 2024, the total unrecognized compensation expense related to the Modified Options was $1.3 million, which the Company expects to recognize over a weighted average period of approximately 1.7 years using the accelerated attribution method. As of June 30, 2024, 1,516,655 of the Modified Options were outstanding. No Modified Options vested or were exercised during the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Stock Options</w:t>
      </w:r>
    </w:p>
    <w:p>
      <w:pPr>
        <w:spacing w:after="0" w:line="121"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February 2023, the Company issued options to purchase 70,233 shares of common stock to employees under the New Plan that contain a market-based vesting condition, subject to continued employment through each anniversary and achievement of the market condition. The grant date fair value of the stock options that contain market-based vesting conditions was not material. As of December 31, 2023, the market condition was not met and all 70,233 shares were forfeited.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the Company issued 4,497,141 RSUs to employees under the New Plan. The RSUs are subject to a service-based vesting condition. The service-based RSUs vest in equal annual installments over a four-year period. The Company at any time may accelerate the vesting of the RSUs. Such shares are not accounted for as outstanding until they vest.</w:t>
      </w:r>
    </w:p>
    <w:p>
      <w:pPr>
        <w:spacing w:after="0" w:line="176"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RSU activity for the six months ended June 30, 2024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7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7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5"/>
        </w:trPr>
        <w:tc>
          <w:tcPr>
            <w:tcW w:w="7680" w:type="dxa"/>
            <w:vAlign w:val="bottom"/>
          </w:tcPr>
          <w:p>
            <w:pPr>
              <w:spacing w:after="0"/>
              <w:rPr>
                <w:sz w:val="15"/>
                <w:szCs w:val="15"/>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7"/>
        </w:trPr>
        <w:tc>
          <w:tcPr>
            <w:tcW w:w="7680" w:type="dxa"/>
            <w:vAlign w:val="bottom"/>
          </w:tcPr>
          <w:p>
            <w:pPr>
              <w:spacing w:after="0"/>
              <w:rPr>
                <w:sz w:val="16"/>
                <w:szCs w:val="16"/>
                <w:color w:val="auto"/>
              </w:rPr>
            </w:pPr>
          </w:p>
        </w:tc>
        <w:tc>
          <w:tcPr>
            <w:tcW w:w="19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375,044</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4,497,141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(240,250 )</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 or forfeited</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4,631,935</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June 30, 2024, there were 222,216 vested and unsettled RSU awards with a weighted average grant date fair value of $5.25 per share.</w:t>
      </w:r>
    </w:p>
    <w:p>
      <w:pPr>
        <w:spacing w:after="0" w:line="225"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As of June 30, 2024, the total unrecognized compensation cost related to the unvested RSU's was $7.6 million which is expected to be amortized on a straight-line basis over a weighted-average period of approximately 3.2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Market-based Restricted Stock Units</w:t>
      </w:r>
    </w:p>
    <w:p>
      <w:pPr>
        <w:spacing w:after="0" w:line="12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February 2023, the Company issued 81,233 RSUs to employees under the New Plan that contain a combination of performance and market-based vesting conditions, subject to continued employment through each anniversary and achievement of market and performance conditions. The grant date fair value of the RSUs that contain performance and market-based vesting conditions was not material. As of December 31, 2023, 46,562 of the RSUs were forfeited and 34,671 RSUs vested and were settled.</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 RSUs that contain performance or market-based vesting conditions were granted or outstanding during the six months ended June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shares of Taysha common stock during any offering period. During the six months ended June 30, 2024 and 2023, stock-based compensation expense related to the ESPP was not material.</w:t>
      </w:r>
    </w:p>
    <w:p>
      <w:pPr>
        <w:spacing w:after="0" w:line="183"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ESPP, RSAs and RSUs recorded in the condensed consolidated statements of operations for the three and six months ended June 30, 2024 and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87"/>
        </w:trPr>
        <w:tc>
          <w:tcPr>
            <w:tcW w:w="43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2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6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1,082</w:t>
            </w:r>
          </w:p>
        </w:tc>
        <w:tc>
          <w:tcPr>
            <w:tcW w:w="7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5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1,140</w:t>
            </w: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20"/>
                <w:szCs w:val="20"/>
                <w:color w:val="auto"/>
              </w:rPr>
            </w:pPr>
          </w:p>
        </w:tc>
      </w:tr>
      <w:tr>
        <w:trPr>
          <w:trHeight w:val="277"/>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5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2,222</w:t>
            </w:r>
          </w:p>
        </w:tc>
        <w:tc>
          <w:tcPr>
            <w:tcW w:w="4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-25400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Pre-Funded Warrants Issued in August 2023</w:t>
      </w:r>
    </w:p>
    <w:p>
      <w:pPr>
        <w:spacing w:after="0" w:line="119"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“2023 Pre-Funded Warrants”) in lieu of shares of the Company’s common stock. The purchase price per share of common stock was $0.90 per share (the “PIPE Purchase Price”), and the purchase price for the 2023 Pre-Funded Warrants was the PIPE Purchase Price minus $0.001 per Pre-Funded Warrant.</w:t>
      </w:r>
    </w:p>
    <w:p>
      <w:pPr>
        <w:spacing w:after="0" w:line="187" w:lineRule="exact"/>
        <w:rPr>
          <w:sz w:val="20"/>
          <w:szCs w:val="20"/>
          <w:color w:val="auto"/>
        </w:rPr>
      </w:pPr>
    </w:p>
    <w:p>
      <w:pPr>
        <w:ind w:right="60" w:firstLine="599"/>
        <w:spacing w:after="0" w:line="255" w:lineRule="auto"/>
        <w:rPr>
          <w:sz w:val="20"/>
          <w:szCs w:val="20"/>
          <w:color w:val="auto"/>
        </w:rPr>
      </w:pPr>
      <w:r>
        <w:rPr>
          <w:rFonts w:ascii="Times New Roman" w:cs="Times New Roman" w:eastAsia="Times New Roman" w:hAnsi="Times New Roman"/>
          <w:sz w:val="18"/>
          <w:szCs w:val="18"/>
          <w:color w:val="auto"/>
        </w:rPr>
        <w:t>The 2023 Pre-Funded Warrants have a per share exercise price of $0.001, subject to proportional adjustments in the event of stock splits or combinations or similar events. The Pre-Funded Warrants will not expire until exercised in full. The 2023 Pre-Funded Warrants 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61 days’ notice to the Company, but not to any percentage in excess of 19.99%. The exercise of the 2023 Pre-Funded Warrants was also contingent upon receipt of stockholder approval of an increase in the authorized shares of the Company’s common stock (the “Stockholder Approval”), which the Company obtained at a special meeting of stockholders held on November 15, 2023.</w:t>
      </w:r>
    </w:p>
    <w:p>
      <w:pPr>
        <w:spacing w:after="0" w:line="18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closing of the August 2023 Private Placement occurred on August 16, 2023 (the “PIPE Closing”). The total gross proceeds to the Company at the PIPE Closing were $150.0 million, and after deducting placement agent commissions and offering expenses payable by the Company, net proceeds were $140.3 million. The Company used the with-and-without method to allocate the total gross proceeds by first allocating the portion of the proceeds equal to the fair value of the 2023 Pre-Funded Warrants on the PIPE Closing date with the remaining proceeds allocated to the PIPE Shares on a residual basis.</w:t>
      </w:r>
    </w:p>
    <w:p>
      <w:pPr>
        <w:spacing w:after="0" w:line="18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Company concluded that at the closing of the August 2023 Private Placement in August 2023, the 2023 Pre-Funded Warrants did not meet the criteria for equity classification under the guidance of ASC 815 as the Company did not have sufficient authorized and unissued shares to satisfy the warrants if exercised. The Company recorded the 2023 Pre-Funded Warrants as liabilities at their fair value. This liability is subject to remeasurement at each balance sheet date and any change in fair value is recognized in the Company’s consolidated statements of operations. The Company incurred $9.7 million of placement agent commissions and other issuance costs in connection with the August 2023 Private Placement. The placement agent commissions and other issuance costs were allocated between the PIPE Shares and the 2023 Pre-Funded Warrants on a systematic basis. The Company allocated $7.1 million to the PIPE Shares which was recorded as a deduction to additional paid-in capital. The remaining $2.6 million allocated to the 2023 Pre-Funded Warrants were recorded within general and administrative expense in the consolidated statements of operations for the year ended December 31, 2023. The issuance costs allocated to the 2023 Pre-Funded Warrants have been added back to net loss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80"/>
        <w:spacing w:after="0" w:line="282" w:lineRule="auto"/>
        <w:rPr>
          <w:sz w:val="20"/>
          <w:szCs w:val="20"/>
          <w:color w:val="auto"/>
        </w:rPr>
      </w:pPr>
      <w:r>
        <w:rPr>
          <w:rFonts w:ascii="Times New Roman" w:cs="Times New Roman" w:eastAsia="Times New Roman" w:hAnsi="Times New Roman"/>
          <w:sz w:val="18"/>
          <w:szCs w:val="18"/>
          <w:color w:val="auto"/>
        </w:rPr>
        <w:t>when deriving cash flows used in operations, and have been classified as a financing cash outflow in the consolidated statements of cash flows for the year ended December 31, 2023.</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Company measured the fair value of the PIPE Shares and 2023 Pre-Funded Warrants based on the $0.90 per share Purchase Price. The Company used the relative fair value method to allocate the net proceeds received from the sales of the PIPE Shares and the 2023 Pre-Funded Warrants on the consolidated balance sheet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r>
      <w:tr>
        <w:trPr>
          <w:trHeight w:val="23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PIPE Shares</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110,127</w:t>
            </w:r>
          </w:p>
        </w:tc>
        <w:tc>
          <w:tcPr>
            <w:tcW w:w="100" w:type="dxa"/>
            <w:vAlign w:val="bottom"/>
            <w:shd w:val="clear" w:color="auto" w:fill="CFF0FC"/>
          </w:tcPr>
          <w:p>
            <w:pPr>
              <w:spacing w:after="0"/>
              <w:rPr>
                <w:sz w:val="20"/>
                <w:szCs w:val="20"/>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Pre-Funded Warrants</w:t>
            </w:r>
          </w:p>
        </w:tc>
        <w:tc>
          <w:tcPr>
            <w:tcW w:w="3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39,826</w:t>
            </w:r>
          </w:p>
        </w:tc>
        <w:tc>
          <w:tcPr>
            <w:tcW w:w="100" w:type="dxa"/>
            <w:vAlign w:val="bottom"/>
          </w:tcPr>
          <w:p>
            <w:pPr>
              <w:spacing w:after="0"/>
              <w:rPr>
                <w:sz w:val="20"/>
                <w:szCs w:val="20"/>
                <w:color w:val="auto"/>
              </w:rPr>
            </w:pPr>
          </w:p>
        </w:tc>
      </w:tr>
      <w:tr>
        <w:trPr>
          <w:trHeight w:val="277"/>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Company remeasured the fair value of the 2023 Pre-Funded Warrants using the closing price of the Company’s common stock on the Nasdaq Global Market as of November 15, 2023 of $1.68 per common share upon receipt of Stockholder Approval. The Company recorded a fair value adjustment of $34.5 million in the consolidated statements of operations for the year ended December 31, 2023 and the warrant liability of $74.3 million was reclassified into equity as an increase to additional paid-in capital upon receipt of Stockholder Approval.</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June 2024</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June 26, 2024, the Company entered into the June 2024 Underwriting Agreement with the Underwriters to issue and sell 14,361,113 shares of common stock, and, in lieu of common stock to certain investors, pre-funded warrants to purchase 18,972,221 shares of common stock (the “June 2024 Pre-Funded Warrants”) in the June 2024 Offering. The offering price to the public was $2.25 per share of common stock and $2.249 per June 2024 Pre-Funded Warrant, which was the price to the public of each share of common stock sold in the June 2024 Offering, minus the $0.001 exercise price per June 2024 Pre-Funded Warrant. The Underwriters agreed to purchase the shares and the June 2024 Pre-Funded Warrants from the Company pursuant to the June 2024 Underwriting Agreement at a price of $2.115 per share and $2.114 per June 2024 Pre-Funded Warrant, respectively. The initial closing of the June 2024 Offering occurred on June 27, 2024; no additional June 2024 Pre-Funded Warrants were sold upon the exercise of the Underwriters’ option in July 2024.</w:t>
      </w:r>
    </w:p>
    <w:p>
      <w:pPr>
        <w:spacing w:after="0" w:line="19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Each June 2024 Pre-Funded Warrant has an initial exercise price per share of $0.001, subject to certain adjustments. The June 2024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June 2024 Pre-Funded Warrant to increase or decrease such percentage to another percentage not in excess of 19.99% upon at least 61 days’ prior notice from such holder to the Company.</w:t>
      </w:r>
    </w:p>
    <w:p>
      <w:pPr>
        <w:spacing w:after="0" w:line="188"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 concluded that the June 2024 Pre-Funded Warrants meet the criteria for equity classification at issuance and were recorded as a component of stockholders’ equity within additional paid-in capital. The June 2024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SSI Warrants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and expire ten years after issuance.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condensed consolidated statements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determined the fair value of the SSI Warrants at issuance was $0.3 million using the Black-Scholes-Merton option pricing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warrants at issuance: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9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5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9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1"/>
                <w:szCs w:val="21"/>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9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4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9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0.71</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fair value adjustment as of June 30, 2024 was $0.1 million using the Black-Scholes-Merton option pricing model. As of June 30, 2024, 316,667 of the SSI Warrants have vested and are exercisable. No warrants were exercised during the period.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estimated the fair value of the SSI Warrant liability using the following assumptions as of June 30,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9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4.43 %</w:t>
            </w:r>
          </w:p>
        </w:tc>
      </w:tr>
      <w:tr>
        <w:trPr>
          <w:trHeight w:val="25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9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1"/>
                <w:szCs w:val="21"/>
                <w:color w:val="auto"/>
              </w:rPr>
            </w:pPr>
          </w:p>
        </w:tc>
      </w:tr>
      <w:tr>
        <w:trPr>
          <w:trHeight w:val="23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9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47"/>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following table summarizes changes in the Company’s warrant liability during the six months ended June 30,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237"/>
        </w:trPr>
        <w:tc>
          <w:tcPr>
            <w:tcW w:w="8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20"/>
                <w:szCs w:val="20"/>
                <w:color w:val="auto"/>
              </w:rPr>
            </w:pPr>
          </w:p>
        </w:tc>
      </w:tr>
      <w:tr>
        <w:trPr>
          <w:trHeight w:val="23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4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r>
      <w:tr>
        <w:trPr>
          <w:trHeight w:val="276"/>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11—Net Loss Per Common Share</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176"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August 2023, the Company issued liability-classified the 2023 Pre-Funded Warrants with a nominal exercise price of $0.001 per share, which were subsequently reclassified into equity in November 2023 after conditions for exercise were met. In June 2024, the Company issued the June 2024 Pre-Funded Warrants with a nominal exercise price of $0.001 per share. See Note 10 for more information. In accordance with ASC 260, Earnings Per Share, shares issuable for little to no cash consideration should be included in the number of outstanding shares used to calculate basic loss per share as long as all conditions necessary for exercise are met. The 2023 Pre-Funded Warrants and the June 2024 Pre-Funded Warrants are therefore included as outstanding shares as of June 30, 2024 to calculate the weighted average number of shares outstanding to calculate basic loss per share.</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(in thousands, except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5"/>
                <w:szCs w:val="15"/>
                <w:color w:val="auto"/>
              </w:rPr>
            </w:pPr>
          </w:p>
        </w:tc>
        <w:tc>
          <w:tcPr>
            <w:tcW w:w="26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(20,928 )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(24,598 )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(44,989 )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(42,220 )</w:t>
            </w:r>
          </w:p>
        </w:tc>
        <w:tc>
          <w:tcPr>
            <w:tcW w:w="0" w:type="dxa"/>
            <w:vAlign w:val="bottom"/>
          </w:tcPr>
          <w:p>
            <w:pPr>
              <w:spacing w:after="0"/>
              <w:rPr>
                <w:sz w:val="1"/>
                <w:szCs w:val="1"/>
                <w:color w:val="auto"/>
              </w:rPr>
            </w:pPr>
          </w:p>
        </w:tc>
      </w:tr>
      <w:tr>
        <w:trPr>
          <w:trHeight w:val="196"/>
        </w:trPr>
        <w:tc>
          <w:tcPr>
            <w:tcW w:w="540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 used to compute</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232,821,553</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64,244,531</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232,035,448</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63,755,435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(0.66 )</w:t>
            </w: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-496570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-479425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-496570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-479425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-496570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-479425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60" w:firstLine="749"/>
        <w:spacing w:after="0" w:line="239" w:lineRule="exact"/>
        <w:rPr>
          <w:sz w:val="20"/>
          <w:szCs w:val="20"/>
          <w:color w:val="auto"/>
        </w:rPr>
      </w:pPr>
      <w:r>
        <w:rPr>
          <w:rFonts w:ascii="Times New Roman" w:cs="Times New Roman" w:eastAsia="Times New Roman" w:hAnsi="Times New Roman"/>
          <w:sz w:val="18"/>
          <w:szCs w:val="18"/>
          <w:color w:val="auto"/>
        </w:rPr>
        <w:t>The following common stock equivalents outstanding as of June 30, 2024 and 2023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680" w:type="dxa"/>
            <w:vAlign w:val="bottom"/>
          </w:tcPr>
          <w:p>
            <w:pPr>
              <w:spacing w:after="0"/>
              <w:rPr>
                <w:sz w:val="16"/>
                <w:szCs w:val="16"/>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4,631,935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492,497</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16,151,088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8,251,952</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SSI Warrants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21,099,690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9,269,449</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As of June 30, 2024, there were no material changes to either the nature or the amounts of the uncertain tax positions previously determined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activities. The Company records a liability when a particular contingency is probable and estimable.</w:t>
      </w:r>
    </w:p>
    <w:p>
      <w:pPr>
        <w:spacing w:after="0" w:line="162"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Shortly after filing suit, the plaintiff in the second-filed action voluntarily dismissed his lawsuit and filed a substantially similar action except with fewer named defendants. The complaints assert claims relating to the Company’s August 2023 Private Placement against (i) certain of the Company’s current and former directors and officers for breach of fiduciary duty and unjust enrichment; and (ii) against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experts, and accountants. In May 2024, the Court consolidated the two actions and set a briefing schedule for motions for appointment of a leadership structure (the “Lead Plaintiff Motions”). The Lead Plaintiff Motions have been fully briefed, and the Court has set a hearing for the Lead Plaintiff Motions for September 5, 2024. The Company has not recorded a liability related to these lawsuits because, at this time, the Company is unable to reasonably estimate possible losses or gains or determine whether an unfavorable outcome is either probable or remote.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directors, officers, employees, licensors, suppliers and service providers. The Company’s maximum exposure under these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arrangements is unknown at June 30, 2024. The Company does not anticipate recognizing any significant losses relating to these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Strategic Reprioritization</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 implemented changes to the Company’s organizational structure as well as a broader operational cost reduction plan to enable the Company to focus on specific clinical-stage programs for GAN and Rett syndrome. Substantially all other research and development activities have been paused to increase operational efficiency.</w:t>
      </w:r>
    </w:p>
    <w:p>
      <w:pPr>
        <w:spacing w:after="0" w:line="176"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prioritization of programs, the Company reduced headcount by approximately 35% across all functions in March 2022. In accordance with ASC 420, </w:t>
      </w:r>
      <w:r>
        <w:rPr>
          <w:rFonts w:ascii="Times New Roman" w:cs="Times New Roman" w:eastAsia="Times New Roman" w:hAnsi="Times New Roman"/>
          <w:sz w:val="18"/>
          <w:szCs w:val="18"/>
          <w:i w:val="1"/>
          <w:iCs w:val="1"/>
          <w:color w:val="auto"/>
        </w:rPr>
        <w:t>Exit and Disposal Activities,</w:t>
      </w:r>
      <w:r>
        <w:rPr>
          <w:rFonts w:ascii="Times New Roman" w:cs="Times New Roman" w:eastAsia="Times New Roman" w:hAnsi="Times New Roman"/>
          <w:sz w:val="18"/>
          <w:szCs w:val="18"/>
          <w:color w:val="auto"/>
        </w:rPr>
        <w:t xml:space="preserve"> the Company recorded one-time severance and termination-related costs of $2.6 million in the condensed consolidated statements of operations for the three months ended March 31, 2022, primarily within research and development expenses. In December 2022 and throughout the first quarter of 2023, the Company further reduced headcount and recorded additional one-time severance and termination related costs of $2.7 million within research and development and general and administrative expenses.</w:t>
      </w:r>
    </w:p>
    <w:p>
      <w:pPr>
        <w:spacing w:after="0" w:line="183"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Payment of these costs are complete as of June 30, 2024. The amount of accrued severance recorded as of June 30, 2024 is as follows (amounts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9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Accrued Severance</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 as of January 1, 2024</w:t>
            </w: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Severance recorded</w:t>
            </w:r>
          </w:p>
        </w:tc>
        <w:tc>
          <w:tcPr>
            <w:tcW w:w="540" w:type="dxa"/>
            <w:vAlign w:val="bottom"/>
            <w:shd w:val="clear" w:color="auto" w:fill="CFF0FC"/>
          </w:tcPr>
          <w:p>
            <w:pPr>
              <w:spacing w:after="0"/>
              <w:rPr>
                <w:sz w:val="21"/>
                <w:szCs w:val="21"/>
                <w:color w:val="auto"/>
              </w:rPr>
            </w:pPr>
          </w:p>
        </w:tc>
        <w:tc>
          <w:tcPr>
            <w:tcW w:w="2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paid</w:t>
            </w:r>
          </w:p>
        </w:tc>
        <w:tc>
          <w:tcPr>
            <w:tcW w:w="540" w:type="dxa"/>
            <w:vAlign w:val="bottom"/>
          </w:tcPr>
          <w:p>
            <w:pPr>
              <w:spacing w:after="0"/>
              <w:rPr>
                <w:sz w:val="20"/>
                <w:szCs w:val="20"/>
                <w:color w:val="auto"/>
              </w:rPr>
            </w:pPr>
          </w:p>
        </w:tc>
        <w:tc>
          <w:tcPr>
            <w:tcW w:w="2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(390 )</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severance as of June 30, 2024</w:t>
            </w: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Retirement Plan</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$0.1 million to the 401(k) retirement savings plan for each of the three months ended June 30, 2024 and 2023. The Company contributed $0.3 million and $0.2 million to the 401(k) retirement savings plan for the six months ended June 30,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June 26, 2024, the Company entered into the June 2024 Underwriting Agreement with the Underwriters to issue and sell 14,361,113 shares of common stock and pre-funded warrants to purchase 18,972,221 shares of its common stock in the June 2024 Offering pursuant to an effective shelf registration statement on Form S-3 and a related prospectus and prospectus supplement. The Underwriters purchased the shares and the pre-funded warrants from the Company pursuant to the June 2024 Underwriting Agreement at a price of $2.115 per share and $2.114 per pre-funded warrant, respectively. The closing of the June 2024 Offering occurred on June 27, 2027. See Note 1 for additional information. On July 9, 2024, the Underwriters exercised their option to purchase an additional 3,235,000 shares of common stock pursuant to the June 2024 Underwriting Agreement. The Company received additional net proceeds of $6.8 million after deducting underwriting discounts and commissions.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2023 and the related Management’s Discussion and Analysis of Financial Condition and Results of Operations, included in our Annual Report on Form 10-K for the year ended December 31, 2023, or Annual Report, filed with the Securities and Exchange Commission, or the SEC, on March 19, 2024. Unless the context requires otherwise, references in this Quarterly Report on Form 10-Q to “we,” “us,” and “our” refer to Taysha Gene Therapies, Inc. together with its consolidated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 Item 1A, “Risk Factors” in our Annual Report. The forward-looking statements are applicable only as of the date on which they are made, and we do not assume any obligation to update any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35"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87"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We are evaluating TSHA-102 in the REVEAL Phase 1/2 adolescent and adult trial, which is a first-in-human, open-label, randomized, dose-escalation and dose-expansion study evaluating the safety and preliminary efficacy of TSHA-102 in adolescent and adult females aged 12 years and older with Rett syndrome due to MECP2 loss-of-function mutation. The trial is taking place in Canada and the United States. We dosed the first two adult patients with Rett syndrome in 2023, and cohort 1 is considered complete. We expect to report an update on safety and efficacy data from cohort 1 in the first half of 2025. The Independent Data Monitoring Committee, or IDMC, approved our request to proceed to earlier dose escalation in the adolescent and adult trial, enabling early advancement to cohort 2 (high dose cohort of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The first patient in cohort 2 was dosed in the second quarter of 2024, and following review of the initial 42-day safety data, the IDMC approved dosing of the second patient in cohort 2 of the adolescent and adult trial. The second patient in cohort 2 has been enrolled, and dosing is expected in the third quarter of 2024. TSHA-102 was generally well tolerated, with no serious adverse events, or SAEs, or dose-limiting toxicities, or DLTs, as of the initial six-week assessment in the first patient treated in cohort two of the adolescent and adult trial. We expect to report safety and efficacy data from cohort 2 in the first half of 2025.</w:t>
      </w:r>
    </w:p>
    <w:p>
      <w:pPr>
        <w:spacing w:after="0" w:line="19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are also evaluating TSHA-102 in the REVEAL Phase 1/2 pediatric trial, which is an open-label, randomized, dose-escalation and dose-expansion study evaluating the safety and preliminary efficacy of TSHA-102 in pediatric females with Rett syndrome due to MECP2 loss-of-function mutation. The trial is taking place in the United States and the United Kingdom. In August 2024, we announced that Health Canada authorized the CTA for TSHA-102 in pediatric patients with Rett syndrome, enabling expansion of the ongoing REVEAL Phase 1/2 pediatric trial into Canada. In late 2023 and early 2024, we dosed the first two pediatric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right="100"/>
        <w:spacing w:after="0" w:line="261" w:lineRule="auto"/>
        <w:rPr>
          <w:sz w:val="20"/>
          <w:szCs w:val="20"/>
          <w:color w:val="auto"/>
        </w:rPr>
      </w:pPr>
      <w:r>
        <w:rPr>
          <w:rFonts w:ascii="Times New Roman" w:cs="Times New Roman" w:eastAsia="Times New Roman" w:hAnsi="Times New Roman"/>
          <w:sz w:val="18"/>
          <w:szCs w:val="18"/>
          <w:color w:val="auto"/>
        </w:rPr>
        <w:t>patients, and cohort 1 is considered complete. We expect to report an update on safety and efficacy data from cohort 1 in the first half of 2025. In February 2024, the IDMC approved our request to proceed to earlier dose escalation in the REVEAL pediatric trial, enabling earlier advancement to cohort 2. The first patient in cohort 2 has been enrolled, and dosing is expected in the third quarter of 2024. We expect to report safety and efficacy data from cohort 2 in the first half of 2025.</w:t>
      </w:r>
    </w:p>
    <w:p>
      <w:pPr>
        <w:spacing w:after="0" w:line="180"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United States Food and Drug Administration, or FDA, and orphan drug designation from the European Commission for TSHA-102 for the treatment of Rett syndrome. We also received Fast Track Designation from the FDA for TSHA-102 for the treatment of Rett syndrome. We also received Clinical Trial Authorization, or CTA, clearance from the United Kingdom’s Medicines and Healthcare Products Regulatory Agency, or U.K. MHRA, in early 2024 for pediatric patients with Rett syndrome. In February 2024, we received Innovative Licensing and Access Pathway, or ILAP, designation for TSHA-102 from the U.K. MHRA. The ILAP aims to facilitate patient access to novel treatments by accelerating time to market through opportunities for enhanced engagements with U.K. regulatory authorities and other stakeholders. In April 2024, the FDA granted Regenerative Medicine Advanced Therapy, or RMAT, designation for TSHA-102 in Rett syndrome. RMAT designation followed the FDA’s review of available safety and efficacy data from the first three patients with Rett syndrome dosed with the low dose of TSHA-102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across the REVEAL Phase ½ adolescent and adult trial and the REVEAL Phase 1/2 pediatric trial. RMAT designation was designed to expedite the development and review of regenerative medicine therapies. A regenerative medicine therapy is eligible for RMAT designation if it is intended to treat, modify, reverse or cure a serious condition, and preliminary clinical evidence indicates the therapy has the potential to address unmet medical needs for such condition. Sponsor companies receiving RMAT designation can benefit from increased interactions with the FDA involving senior managers, with the goal of expediting drug development.</w:t>
      </w:r>
    </w:p>
    <w:p>
      <w:pPr>
        <w:spacing w:after="0" w:line="19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preclinical and clinical development activities for our product candidates. Our lead product candidate is still in the clinical stage. We do not have any product candidates approved for sale and have not generated any revenue from product sales. Through June 30, 2024, we have funded our operations primarily through: (i) the sale of equity, raising an aggregate of $671.0 million of gross proceeds from our initial public offering, or the IPO, sales of common stock pursuant to our Sales Agreement (as defined below), our October 2022 follow-on offering, our 2023 private placement and our June 2024 Follow-On Offering (as defined below); (ii) pre-IPO private placements of our convertible preferred stock; (iii) our Term Loan Agreement (as defined below) and subsequently the Trinity Term Loan Agreement (as defined below); and (iv) the Astellas Transactions (as defined below).</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November 13, 2023, or the Trinity Closing Date, we entered into a Loan and Security Agreement, or the Trinity Term Loan Agreement, by and among us, the lenders party thereto from time to time, or the Trinity Lenders, and Trinity Capital Inc., as administrative agent and collateral agent for the Trinity Lenders, or Trinity. The Trinity Term Loan Agreement provided for, on the Trinity Closing Date, $40.0 million aggregate principal amount of term loans, or, collectively, the Trinity Term Loans. We drew the Trinity Term Loans in full on the Trinity Closing Date. The proceeds of the Trinity Term Loans were used to repay our obligations under the Loan and Security Agreement, or the Term Loan Agreement, with the lenders party thereto from time to time, or the Lenders and Silicon Valley Bank, as administrative agent and collateral agent for the Lenders, or the Agent, in full. The Term Loan Agreement with Silicon Valley Bank was terminated concurrently with entry into the Trinity Term Loan Agreement.</w:t>
      </w:r>
    </w:p>
    <w:p>
      <w:pPr>
        <w:spacing w:after="0" w:line="1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$45.0 million for the six months ended June 30, 2024 and $42.2 million for the six months ended June 30, 2023. As of June 30, 2024, we had an accumulated deficit of $558.0 million. We expect to continue to incur significant expenses and operating losses for the foreseeable future. We anticipate that our expenses will increase significantly in connection with our ongoing activities, as we:</w:t>
      </w:r>
    </w:p>
    <w:p>
      <w:pPr>
        <w:spacing w:after="0" w:line="72" w:lineRule="exact"/>
        <w:rPr>
          <w:sz w:val="20"/>
          <w:szCs w:val="20"/>
          <w:color w:val="auto"/>
        </w:rPr>
      </w:pPr>
    </w:p>
    <w:p>
      <w:pPr>
        <w:ind w:left="1140" w:right="76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clinical development of our product candidates and, if we determine to do so in the future, reprioritize the advancement of our preclinical and discovery programs;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and any other future product candidates that we advance;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CMOs to manufacture current Good Manufacturing Practice, or GMP material for clinical trials or potential commercial sales;</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below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57150</wp:posOffset>
            </wp:positionV>
            <wp:extent cx="6172200" cy="13887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7220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As of the date of this report, we have deprioritized the company-sponsored evaluation of certain clinical-stage programs, including TSHA-105 for SLC13A5, TSHA-118 for CLN1 and TSHA-121 for CLN7, and are seeking external strategic options to potentially enable further development of these programs. In September 2023, we announced that we discontinued the development of our TSHA-120 program in the evaluation for the treatment of GAN. In January 2024, we initiated the transfer of the FDA Investigational New Drug, or IND, application and investigational clinical trial material for TSHA-120 in GAN to clinical trial collaborator the National Institute of Neurological Disorders and Stroke, enabling the opportunity for continued clinical evaluation of TSHA-120 in GAN by third parties. In July 2024, we terminated our license agreement with Hannah’s Hope Fund for Giant Axonal Neuropathy, Inc., or HHF, relating to TSHA-120 and all rights to TSHA-120 reverted to HHF.</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TSHA-102 for Rett Syndrome</w:t>
      </w:r>
    </w:p>
    <w:p>
      <w:pPr>
        <w:spacing w:after="0" w:line="11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TSHA-102 is a self-complementary intrathecally delivered AAV9 gene transfer therapy in clinical evaluation for Rett syndrome, a rare progressive neurodevelopmental disorder caused by mutations in the X-linked MECP2 gene encoding methyl CpG-binding protein 2, or MeCP2, which is essential for regulating neuronal and synaptic function in the brain. The disorder is characterized by loss of communication and hand function, slowing and/or regression of development, motor and respiratory impairment, seizures, intellectual disabilities and shortened life expectancy. Rett syndrome progression is divided into four key stages, beginning with early onset stagnation at 6 to 18 months of age followed by rapid regression, plateau and late motor deterioration. Rett syndrome primarily occurs in females and is one of the most common genetic causes of severe intellectual disability.</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Designed as a one-time treatment, TSHA-102 aims to address the genetic root cause of the disease by delivering a functional form of MECP2 to cells in the CNS. The vector is delivered directly to the cerebrospinal fluid via intrathecal administration, which facilitates optimal biodistribution and cell transduction within key regions of the CNS. Because of the risks associated with both under- and over-expression of MeCP2, we have combined high-throughput microRNA, or miRNA, profiling and genome mining to create miRNA-Responsive Auto-Regulatory Element, or miRARE, our novel miRNA target panel. The miRARE element includes binding sites for endogenous miRNA, which are responsive to MeCP2 levels to prevent overexpression. By utilizing the miRARE technology, TSHA-102 is designed to mediate levels of MeCP2 in the CNS on a cell-by-cell basis without risk of overexpression. By increasing MECP2 levels in MECP2 deficient cells and maintaining healthy levels of MECP2 output of healthy cells, TSHA-102 has demonstrated the ability to produce and maintain safe transgene expression levels in the CNS. (Sinnet, SE, et al. Engineered microRNA-based regulatory element permits safe high-dose miniMECP2 gene therapy in Rett mice. Brain. 2021 awab182.)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Currently, there are no approved disease-modifying therapies that treat the genetic root cause of Rett syndrome, and there is a significant unmet medical need. According to the Rett Syndrome Research Trust, Rett syndrome affects more than 350,000 patients worldwide. The estimated addressable patient population with typical Rett syndrome caused by a pathogenic/likely pathogenic MECP2 mutation is between 15,000 and 20,000 patients in the United States, European Union and United Kingdom.</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Phase 1/2 REVEAL Clinical Trials</w:t>
      </w:r>
    </w:p>
    <w:p>
      <w:pPr>
        <w:spacing w:after="0" w:line="11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We currently are conducting two Phase 1/2 clinical trials for TSHA-102: an adolescent/adult study in the United States and Canada and a pediatric study in the United States. In addition, approval has been granted to expand the pediatric study into the United Kingdom and Canada. The trials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54610</wp:posOffset>
            </wp:positionV>
            <wp:extent cx="6077585" cy="26485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7758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IT – Intrathecal; MTD – Maximum Tolerated Dose; MAD – Maximum Administered Dose.</w:t>
      </w:r>
    </w:p>
    <w:p>
      <w:pPr>
        <w:spacing w:after="0" w:line="22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dosed the first adult patient with Rett syndrome in cohort 1 in May 2023. The second adult patient in cohort 1 was dosed in September 2023. We dosed the first pediatric patient with Rett syndrome in cohort 1 in the Phase 1/2 REVEAL pediatric trial in December 2023, and the second pediatric patient in cohort 1 was dosed in the first quarter of 2024. In early 2024, we announced that the U.K. MHRA authorized the CTA for TSHA-102 in pediatric patients with Rett syndrome, enabling expansion of our ongoing pediatric trial into the United Kingdom. In February 2024, we announced the expansion of the ongoing REVEAL Phase 1/2 adolescent and adult trial in Canada into the United States following submission of the adolescent and adult trial protocol to the FDA. In August 2024, we announced that Health Canada authorized the CTA for TSHA-102 in pediatric patients with Rett syndrome, enabling expansion of the ongoing REVEAL Phase 1/2 pediatric trial in the United States and United Kingdom into Canada.</w:t>
      </w:r>
    </w:p>
    <w:p>
      <w:pPr>
        <w:spacing w:after="0" w:line="195"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18"/>
          <w:szCs w:val="18"/>
          <w:color w:val="auto"/>
        </w:rPr>
        <w:t>Cohort 1, which evaluates the low dose of TSHA-102 of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is considered complete for both REVEAL trials. Two adult patients have been dosed in cohort 1 in the REVEAL adolescent and adult trial, and TSHA-102 was generally well-tolerated with no SAEs, related to TSHA-102 or DLTs as of the 52-week assessment post-treatment for patient one and 36-week assessment post-treatment for patient two. Following review of available clinical data from the first two adult patients and first pediatric patient showing that TSHA-102 was generally well-tolerated, and in light of the potential for improved benefit at the higher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in February 2024, the IDMC, approved our request to proceed to earlier dose escalation in the adolescent and adult trial, enabling earlier advancement to cohort 2 evaluating the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dose. The first patient in cohort 2 of the adolescent and adult trial was dosed in the second quarter of 2024. TSHA-102 was generally well tolerated, with no serious adverse events, or SAEs, or dose-limiting toxicities, or DLTs, as of the initial six-week assessment in the first patient treated in cohort two of the adolescent and adult trial. Following review of the initial six-week safety data from the first patient dosed in cohort 2 of the adolescent and adult trial, the IDMC approved dosing of the second patient in cohort 2 of the adolescent and adult trial. The second patient in cohort 2 has been enrolled, and dosing is expected in the third quarter of 2024.</w:t>
      </w:r>
    </w:p>
    <w:p>
      <w:pPr>
        <w:spacing w:after="0" w:line="19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Additionally, two pediatric patients have been dosed in cohort 1 in the REVEAL pediatric trial, and TSHA-102 was generally well-tolerated with no SAEs related to TSHA-102 or DLTs as of the 22-week assessment post-treatment for patient one and 11-week assessment post-treatment for patient two. As of the 11-week assessment post-treatment for the second pediatric patient, there were two SAEs reported that were not deemed treatment related. Both were related to underlying disease and one was also attributed to immunosuppression, and both have resolved. In May 2024, the IDMC approved our request to proceed to earlier dose escalation in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ind w:right="120"/>
        <w:spacing w:after="0" w:line="242" w:lineRule="auto"/>
        <w:rPr>
          <w:sz w:val="20"/>
          <w:szCs w:val="20"/>
          <w:color w:val="auto"/>
        </w:rPr>
      </w:pPr>
      <w:r>
        <w:rPr>
          <w:rFonts w:ascii="Times New Roman" w:cs="Times New Roman" w:eastAsia="Times New Roman" w:hAnsi="Times New Roman"/>
          <w:sz w:val="18"/>
          <w:szCs w:val="18"/>
          <w:color w:val="auto"/>
        </w:rPr>
        <w:t>REVEAL pediatric trial, enabling earlier advancement to cohort 2 evaluating the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dose, with dosing to occur following IDMC review of the 42-day safety data from the first patient treated with the high dose of TSHA-102 in the adolescent and adult trial. Following review of the initial six-week safety data from the first patient dosed in cohort 2 of the adolescent and adult trial, the IDMC approved the Company to proceed with dosing the first patient in cohort 2 of the pediatric trial. The first pediatric patient in cohort 2 has been enrolled, and we expect to dose the patient in the third quarter of 2024. We expect to report safety and efficacy data from cohort 2 and an update on safety and efficacy data from cohort 1 of both the adolescent and adult trial and the pediatric trial in the first half of 2025.</w:t>
      </w:r>
    </w:p>
    <w:p>
      <w:pPr>
        <w:spacing w:after="0" w:line="197"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maximum tolerated dose, or MTD, or maximum administered dose, or MAD, established in Part A will be administered during dose expansion in Part B. Data from Part A will be assessed by regulatory agencies and the IDMC to determine key elements of Part B of the study, including efficacy endpoints, study duration and the MTD or MAD.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TSHA-102 REVEAL Adolescent / Adult Clinical Trial Safety and Efficacy Summary</w:t>
      </w:r>
    </w:p>
    <w:p>
      <w:pPr>
        <w:spacing w:after="0" w:line="11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Efficacy endpoints include patient assessments performed by clinicians, including the Clinical Global Impressions Scale – Improvement, or CGI-I, the Clinical Global Impressions Scale – Severity, or CGI-S, Rett Syndrome Hand Function Scale, or RSHFS, and Revised Motor Behavior Assessment, or R-MBA. Additional efficacy endpoints also include patient assessments by caregivers, including Parental Global Impressions Improvement, or PGI-I, the Rett Syndrome Behavior Questionnaire, or RSBQ, and seizure diaries.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Overview of Cohort 1 Patients and Results</w:t>
      </w:r>
    </w:p>
    <w:p>
      <w:pPr>
        <w:spacing w:after="0" w:line="11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first adult patient, a 20-year-old female at the time of dosing, has the most advanced stage of Rett syndrome, Stage IV, with a genetic change consisting of a large deletion within the MECP2 gene that is known to cause Rett syndrome. This patient’s phenotypic manifestation is severe. She lost the ability to walk, stand, and sit without support by age eight (non-ambulatory, wheelchair bound, limited movements of her lower extremities), lost fine motor and hand function by age six (unable to grasp and hold objects of any size, with essentially no function in non-dominant hand) and speak around age six (non-verbal, minimal vocalizations). She experienced frequent apnea and hyperventilation episodes by age three and has a history of seizures since the age of five. Per the Principal Investigator, or PI, the first adult patient’s baseline reported seizure frequency was approximately two to four seizures per year.</w:t>
      </w:r>
    </w:p>
    <w:p>
      <w:pPr>
        <w:spacing w:after="0" w:line="18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the first adult patient, TSHA-102 was generally well-tolerated with no SAEs related to TSHA-102 or DLTs as of the 52-week assessment post-treatment. Per the protocol, prophylactic immunosuppressant therapy began seven days prior to TSHA-102 administration. The first adult patient’s steroid taper was completed by week 36, and her sirolimus taper was completed by week 43. At week 52 post-treatment, the first adult patient demonstrated sustained and new improvements across multiple clinical domains compared to baseline after the completion of her immunosuppression taper. Specifically, the PI reported that the patient sustained improvements in motor function, with the gained ability to kick her legs against gravity and sit unassisted for the first time in over a decade, and sustained improvements in fine motor and hand function with gained function in her non-dominant hand. Additionally, she could open her hands, dissociate her fingers, scratch her nose and touch a screen through week 52 post-treatment. The PI reported sustained improvements in communication and socialization at week 52 post-treatment as the patient was more alert and socially interactive, with increased communication using vocalizations. Caregivers reported an enhanced ability to use an eye-gaze driven communication device at week 25, which she had not expressed interest in before treatment. The first adult patient also demonstrated sustained improvements in autonomic function at week 52 post-treatment, including improved breathing patterns with infrequent hyperventilation and fewer breath holding spells compared to before treatment, normalized sleep/night-time behaviors with the ability to sleep through the night for the first time in 20 years, and improved circulation with the patient’s hands and feet restored to normal temperature and color (whereas before treatment, her hands and feet were usually cold and blue). The PI also reported that the first patient’s seizures were overall well-controlled through week 52 following treatment at lower levels of anti-seizure medication, relative to baseline, and the patient no longer experienced unprovoked seizures. The PI’s clinical observations are supported by clinical, caregiver and video evidence.</w:t>
      </w:r>
    </w:p>
    <w:p>
      <w:pPr>
        <w:spacing w:after="0" w:line="19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second adult patient, a 21-year-old female at the time of dosing, has the most advanced stage of Rett syndrome, Stage IV, with a missense mutation in the MECP2 gene, which has been reported to cause Rett syndrome. This patient’s phenotypic manifestation is milder than the first adult patient. Prior to treatment, she had partial loss of ambulation (able to walk/stand without support, but she had impaired gait and balance that developed at age 18) and impaired fine motor and hand function (significant stereotypies (repetitive, purposeless hand movements and a diagnostic hallmark of Rett syndrome) that emerged by age three, and she mostly held her hands firmly together, with weak ability to reach and grasp objects). She has been mostly nonverbal since the age of two and experienced frequent hyperventilation episodes by age three. She had a history of seizures since the age of 10. Per the PI, the second adult patient’s baseline reported seizure frequency was approximately two to four seizures per week.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34" w:name="page35"/>
    <w:bookmarkEnd w:id="34"/>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second adult patient, TSHA-102 was generally well-tolerated with no SAEs related to TSHA-102 or DLTs as of the 36-week assessment post-treatment. The PI reported that the second adult patient demonstrated sustained and new improvements across multiple clinical domains compared to baseline following completion of her steroid taper at week 25 post-treatment. Her sirolimus taper was completed by week 31. She sustained improvements in fine motor skills, with a reduction in hand stereotypies for the first time since regression at age three. Before treatment, the patient mostly held her hands firmly together, and post-treatment, she displays less forceful hand wringing and more open and relaxed hands. The second patient also sustained improvements in communication and socialization through week 25, including increased response to spoken words and eye contact compared to baseline. The PI also reported sustained improvements in autonomic function, with improvements in breathing dysrhythmia, including hyperventilation and reduced apneic spells, and circulation at week 25 post-treatment, evident by the restoration of the patient’s hands and feet to normal temperature and color compared to the cold and blue appearance before treatment. Additionally, the second adult patient demonstrated new improvements in gross motor skills at week 25 post-treatment, with improved posture and stability. Notably, she also demonstrated pronounced improvements in seizure frequency at week 25, with a significant reduction in seizures at 25% lower levels of anti-seizure medication, relative to the baseline seizure frequency of two to four seizures per week. Following treatment with TSHA-102, the second patient had a single seizure event, with eight and a half months reported seizure free as of week 36 post-treatment.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Adult Patient 1 Efficacy Data (Cohort 1)</w:t>
      </w:r>
    </w:p>
    <w:p>
      <w:pPr>
        <w:spacing w:after="0" w:line="119"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The first adult patient showed clinically significant improvement in CGI-S from a score of six (severely ill) at baseline to a score of five (markedly ill) in this measure four weeks post-TSHA-102 administration, which was sustained through week 52 post-treatment. Similarly, the patient demonstrated sustained improvement in CGI-I post-TSHA-102 administration with a score of three (minimally improved) at week 52 and new improvement in PGI-I with a score of one (considerably better) as of the week 52 assessment post-TSHA-102 administration. The first adult patient demonstrated continued improvement in RSBQ Total Score at week 52 post-TSHA-102 administration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128270</wp:posOffset>
            </wp:positionV>
            <wp:extent cx="4423410" cy="254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42341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60" w:firstLine="749"/>
        <w:spacing w:after="0" w:line="312" w:lineRule="auto"/>
        <w:rPr>
          <w:sz w:val="20"/>
          <w:szCs w:val="20"/>
          <w:color w:val="auto"/>
        </w:rPr>
      </w:pPr>
      <w:r>
        <w:rPr>
          <w:rFonts w:ascii="Times New Roman" w:cs="Times New Roman" w:eastAsia="Times New Roman" w:hAnsi="Times New Roman"/>
          <w:sz w:val="17"/>
          <w:szCs w:val="17"/>
          <w:color w:val="auto"/>
        </w:rPr>
        <w:t>A 35-point improvement was reported in RSBQ Total Score at week 52 compared to baseline, which was driven by improvements in hand behaviors, general mood, breathing, repetitive face movements, body rocking and expressionless face, nighttime behaviors and fear and anxiety.</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5" w:name="page36"/>
    <w:bookmarkEnd w:id="35"/>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first adult patient demonstrated continued improvement in R-MBA Total Score at week 52 post-TSHA-102 administration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114300</wp:posOffset>
            </wp:positionV>
            <wp:extent cx="4886325" cy="27349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86325"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 17-point improvement was reported in R-MBA Total Score at week 52 compared to baseline, which was driven by improvements in motor dysfunction, functional skills, social skills and respiratory behaviors.</w:t>
      </w:r>
    </w:p>
    <w:p>
      <w:pPr>
        <w:spacing w:after="0" w:line="16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Per the seizure diary and caregiver reports, the first adult patient demonstrated stable seizure events relative to baseline through week 52 post-treatment, based on caregiver-reported medical history, and seizures are confined to periods where phenytoin level declines to &lt;50 mmol/L (previously &lt;100 mmol/L). The first adult patient had been on phenytoin as antiepileptic therapy prior to treatment, which she has continued following TSHA-102. Prior to treatment and per the patient’s medical history, she required phenytoin levels of &gt;100 µmol/L to control her seizures. The first adult patient had seizures prior to TSHA-102 administration on day –8 and day –7, and post-administration she had seizures on days 45-49 and day 82 associated with lower than target phenytoin levels. Specifically, the seizures on days 45-49 corresponded with a phenytoin level of 45.9 µmol/L, and the seizure on day 82 corresponded with a phenytoin level of 35.9 umol/L.</w:t>
      </w:r>
    </w:p>
    <w:p>
      <w:pPr>
        <w:spacing w:after="0" w:line="18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Loss of hand function is a hallmark characteristic of Rett syndrome and a key area of concern for caregivers. It impacts a patient’s ability to communicate and impedes daily activities, which ultimately limits independence. The RSHFS is a scale designed to evaluate hand function in patients with Rett syndrome. Hand function is evaluated by an experienced independent physical therapist with expertise in evaluating hand function in patients with Rett syndrome. Sessions are videotaped in which the patient’s caregiver offers the patient both large (e.g. a toy, cup, or spoon) and small (e.g. a grape or small piece of sandwich) objects so that she may demonstrate her ability to grasp, pick up, and hold the objects. The independent physical therapist then codes the demonstrated hand function in each video at the demonstrated level of hand function, ranging from no active grasping of any objects to independent grasping and function.</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first adult patient showed an improvement in the RSHFS at 25 weeks post-TSHA-102 administration as depicted in the tables below. As of week 25 following treatment, the first adult patient was using her non-dominant hand for some basic grasping whereas before treatment, she was not able to grasp at all. As of the week 25 assessment, her dominant hand function improved from baseline with the demonstrated ability to grasp two different objects (spoon and toy) rather than just one object (spoon). These clinical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right="180"/>
        <w:spacing w:after="0" w:line="282" w:lineRule="auto"/>
        <w:rPr>
          <w:sz w:val="20"/>
          <w:szCs w:val="20"/>
          <w:color w:val="auto"/>
        </w:rPr>
      </w:pPr>
      <w:r>
        <w:rPr>
          <w:rFonts w:ascii="Times New Roman" w:cs="Times New Roman" w:eastAsia="Times New Roman" w:hAnsi="Times New Roman"/>
          <w:sz w:val="18"/>
          <w:szCs w:val="18"/>
          <w:color w:val="auto"/>
        </w:rPr>
        <w:t>observations reported by the independent physical therapist are supported by video evidence. The RSHFS for week 52 was not completed as of the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114300</wp:posOffset>
            </wp:positionV>
            <wp:extent cx="5871845" cy="21259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718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Adult Patient 2 Efficacy Data (Cohort 1)</w:t>
      </w:r>
    </w:p>
    <w:p>
      <w:pPr>
        <w:spacing w:after="0" w:line="11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While the two adult patients dosed in cohort 1 in our REVEAL trial both have the most advanced stage of Rett syndrome, Stage IV, they possess different genetic backgrounds and mutation types, which manifest in different phenotypes and clinical severity.</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While there was no change at week 25 post-TSHA-102 administration in the second adult patient’s CGI-S baseline score of four (moderately ill), her CGI-I and PGI-I scores showed sustained improvement at week 25 (score of three, minimally improved and a little better, respectively) post-TSHA-102 administration.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 increase in RSBQ Total Score was reported at week 25 post-TSHA-102 administration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154305</wp:posOffset>
            </wp:positionV>
            <wp:extent cx="4406265" cy="2682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40626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 two-point increase was reported in the RSBQ Total Score at week 25 compared to baseline. Improvements in RSBQ were reported by caregivers in breathing and general mood. However, there was an increase in hand behaviors and fear and anxiety compared to baseline, impacting the total score.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ind w:right="600" w:firstLine="794"/>
        <w:spacing w:after="0" w:line="282" w:lineRule="auto"/>
        <w:rPr>
          <w:sz w:val="20"/>
          <w:szCs w:val="20"/>
          <w:color w:val="auto"/>
        </w:rPr>
      </w:pPr>
      <w:r>
        <w:rPr>
          <w:rFonts w:ascii="Times New Roman" w:cs="Times New Roman" w:eastAsia="Times New Roman" w:hAnsi="Times New Roman"/>
          <w:sz w:val="18"/>
          <w:szCs w:val="18"/>
          <w:color w:val="auto"/>
        </w:rPr>
        <w:t>The second adult patient demonstrated continued improvement in the R-MBA Total Score at week 25 post-TSHA-102 administration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114300</wp:posOffset>
            </wp:positionV>
            <wp:extent cx="4397375" cy="28117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9737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 23-point improvement was reported in the R-MBA Total Score at week 25 compared to baseline. Improvements were reported in all domains, including social skills, respiratory behaviors, seizures, functional skills, motor dysfunction, aberrant behavior, and truncal rocking and stereotypic hand movements.</w:t>
      </w:r>
    </w:p>
    <w:p>
      <w:pPr>
        <w:spacing w:after="0" w:line="176" w:lineRule="exact"/>
        <w:rPr>
          <w:sz w:val="20"/>
          <w:szCs w:val="20"/>
          <w:color w:val="auto"/>
        </w:rPr>
      </w:pPr>
    </w:p>
    <w:p>
      <w:pPr>
        <w:ind w:firstLine="794"/>
        <w:spacing w:after="0" w:line="256" w:lineRule="auto"/>
        <w:rPr>
          <w:sz w:val="20"/>
          <w:szCs w:val="20"/>
          <w:color w:val="auto"/>
        </w:rPr>
      </w:pPr>
      <w:r>
        <w:rPr>
          <w:rFonts w:ascii="Times New Roman" w:cs="Times New Roman" w:eastAsia="Times New Roman" w:hAnsi="Times New Roman"/>
          <w:sz w:val="18"/>
          <w:szCs w:val="18"/>
          <w:color w:val="auto"/>
        </w:rPr>
        <w:t>Per the seizure diary and caregiver reports, the second adult patient demonstrated significantly reduced seizure events relative to baseline through 36 weeks post-treatment at 25% lower levels of anti-seizure medication, based on caregiver-reported medical history. Pre-treatment, the second adult patient had approximately two to four seizures per week, and there has been a significant reduction in seizures post-treatment with TSHA-102 as of the 36-week visit. Post-treatment, the second adult patient had a single seizure event on day 13. The seizure was an unknown type, with motor manifestations and lasted less than one minute duration. The patient has been seizure-free for eight and a half months as of the week 36 post-treatment time point.</w:t>
      </w:r>
    </w:p>
    <w:p>
      <w:pPr>
        <w:spacing w:after="0" w:line="187" w:lineRule="exact"/>
        <w:rPr>
          <w:sz w:val="20"/>
          <w:szCs w:val="20"/>
          <w:color w:val="auto"/>
        </w:rPr>
      </w:pPr>
    </w:p>
    <w:p>
      <w:pPr>
        <w:jc w:val="both"/>
        <w:ind w:right="220" w:firstLine="794"/>
        <w:spacing w:after="0" w:line="257" w:lineRule="auto"/>
        <w:rPr>
          <w:sz w:val="20"/>
          <w:szCs w:val="20"/>
          <w:color w:val="auto"/>
        </w:rPr>
      </w:pPr>
      <w:r>
        <w:rPr>
          <w:rFonts w:ascii="Times New Roman" w:cs="Times New Roman" w:eastAsia="Times New Roman" w:hAnsi="Times New Roman"/>
          <w:sz w:val="18"/>
          <w:szCs w:val="18"/>
          <w:color w:val="auto"/>
        </w:rPr>
        <w:t>Hand function in the dominant hand for the second adult patient is challenging to interpret due to inconsistency in the video recording. At the week 25 post-treatment assessment, the second adult patient’s dominant hand received a hand function score of four, an independent grasp (pick up and hold) and was able to grasp two objects. There was no change reported in the patient’s non-dominant hand score at week 25 compared to baseline.</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However, the rater reported that the patient displayed nice opening of her non-dominant hand and the ability to grasp three objects weakly (hold for about one second). These clinical observations reported by the independent physical therapist are supported by video evidence.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127000</wp:posOffset>
            </wp:positionV>
            <wp:extent cx="6172200" cy="19970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7220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18"/>
          <w:szCs w:val="18"/>
          <w:i w:val="1"/>
          <w:iCs w:val="1"/>
          <w:color w:val="auto"/>
        </w:rPr>
        <w:t>TSHA-102 REVEAL Phase 1/2 Pediatric Trial Safety and Efficacy Summary</w:t>
      </w:r>
    </w:p>
    <w:p>
      <w:pPr>
        <w:spacing w:after="0" w:line="11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Efficacy endpoints include patient assessments performed by clinicians, including CGI-I, CGI-S, R-MBA and Adapted Mullen Scales for Early Learning, or MSEL-A. Additional efficacy endpoints also include patient assessments by caregivers, including PGI-I, RSBQ and seizure diaries.</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Overview of Cohort 1 Patients and Results</w:t>
      </w:r>
    </w:p>
    <w:p>
      <w:pPr>
        <w:spacing w:after="0" w:line="117" w:lineRule="exact"/>
        <w:rPr>
          <w:sz w:val="20"/>
          <w:szCs w:val="20"/>
          <w:color w:val="auto"/>
        </w:rPr>
      </w:pPr>
    </w:p>
    <w:p>
      <w:pPr>
        <w:ind w:right="120" w:firstLine="794"/>
        <w:spacing w:after="0" w:line="255" w:lineRule="auto"/>
        <w:rPr>
          <w:sz w:val="20"/>
          <w:szCs w:val="20"/>
          <w:color w:val="auto"/>
        </w:rPr>
      </w:pPr>
      <w:r>
        <w:rPr>
          <w:rFonts w:ascii="Times New Roman" w:cs="Times New Roman" w:eastAsia="Times New Roman" w:hAnsi="Times New Roman"/>
          <w:sz w:val="18"/>
          <w:szCs w:val="18"/>
          <w:color w:val="auto"/>
        </w:rPr>
        <w:t xml:space="preserve">The first pediatric patient, a six-year-old female at the time of dosing, has Stage III Rett syndrome, with a deletion within her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gene that manifests as a moderate phenotype. The patient’s severity is evident by her clinical presentation at baseline. Prior to treatment, the patient was non-ambulatory (unable to walk without assistance), with impaired gross motor function (could sit unassisted for only up to 30 seconds and stand with support by age three) and impaired fine motor and hand function (lost the ability to use eating utensils at one and half years old and lost pincer grasp by age two). The patient could hold an object for a maximum of 12 seconds at baseline based on medical records and video evidence. She has been mostly non-verbal since the age of one (could use her eye-gaze driven communication device and speak three words inconsistently at baseline). The first pediatric patient experienced breath holding spells and had a history of seizures since three years old. Per the PI, the patient’s baseline reported seizure frequency was approximately one seizure every three months.</w:t>
      </w:r>
    </w:p>
    <w:p>
      <w:pPr>
        <w:spacing w:after="0" w:line="187"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In the first pediatric patient, TSHA-102 was generally well-tolerated with no SAEs related to TSHA-102 or DLTs as of the 22-week assessment post-treatment. The PI reported significant challenges with adverse events, or AEs, due to the immunosuppressive regimen. As of 12 weeks post-treatment, the PI reported improvements across multiple clinical domains and early evidence of developmental gains, compared to baseline, including fine and gross motor skills, with improved hand function and grasping. The first pediatric patient demonstrated the ability to hold an object in her hand for up to three minutes while moving her arm (compared to baseline where she could hold an object for up to 12 seconds, but would drop objects when she moved her arm), and improved truncal stability and balance with the gained ability to move her leg on her own to better take a step with assistance for the first time and the ability to sit unassisted for one minute (compared to 30 seconds at baseline). In addition, the first pediatric patient showed improvement in oral motor and autonomic function, with improved swallowing and oral intake relative to the use of a gastrostomy tube for feeding at week 12 post-treatment. Importantly, we believe this indicates that TSHA-102 impacts both motor and autonomic function in a coordinated manner to further improve functional capabilities for patients with Rett syndrome impacting activities of daily living. The PI also observed improvements in the patient’s communication and socialization, with enhanced use of an eye-gaze driven communication device, including the use of new words, and the gained ability to string multiple words together and identify object functions for the first time. The patient also gained new skills in visual reception and receptive language, including the ability to identify an object from memory, follow two unrelated commands and identify the function of objects and action words, which she was unable to do pre-treatment. Further, the first pediatric patient showed improvements in autonomic function with improved breathing patterns at week 12. The PI observed that the first pediatric patient had stable seizure events as of 22 weeks post-treatment, relative to baseline.</w:t>
      </w:r>
    </w:p>
    <w:p>
      <w:pPr>
        <w:spacing w:after="0" w:line="194"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second pediatric patient, a seven-year-old female at the time of dosing, has Stage III Rett syndrome, with a missense mutation in the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gene that manifests as a milder phenotype as compared to the first pediatric patient, which is reflected in her clinical presentation at baseline as well as her baseline scores across multiple efficacy measures. Prior to treatment, the second patient was ambulatory (could stand and walk independently but developed a mildly apraxic gait at one and half years old, impacting her gait and balance), with impaired fine motor and hand function by age one (could reach, swipe and transfer objects between hands at baseline, but her ability to reach and grasp objects was weak). The patient has been non-verbal since she was one year old (could use her eye-gaze driven communication device at baseline), and she experienced frequent hyperventilation by the age of four and had a history of seizures since the age of three. Per the PI, the patient’s baseline reported seizure frequency was approximately two to four seizures daily.</w:t>
      </w:r>
    </w:p>
    <w:p>
      <w:pPr>
        <w:spacing w:after="0" w:line="185" w:lineRule="exact"/>
        <w:rPr>
          <w:sz w:val="20"/>
          <w:szCs w:val="20"/>
          <w:color w:val="auto"/>
        </w:rPr>
      </w:pPr>
    </w:p>
    <w:p>
      <w:pPr>
        <w:ind w:firstLine="794"/>
        <w:spacing w:after="0" w:line="253" w:lineRule="auto"/>
        <w:rPr>
          <w:sz w:val="20"/>
          <w:szCs w:val="20"/>
          <w:color w:val="auto"/>
        </w:rPr>
      </w:pPr>
      <w:r>
        <w:rPr>
          <w:rFonts w:ascii="Times New Roman" w:cs="Times New Roman" w:eastAsia="Times New Roman" w:hAnsi="Times New Roman"/>
          <w:sz w:val="18"/>
          <w:szCs w:val="18"/>
          <w:color w:val="auto"/>
        </w:rPr>
        <w:t>In the second pediatric patient, TSHA-102 was generally well-tolerated with no SAEs related to TSHA-102 or DLTs as of the 11-week assessment post-treatment. As of the 11-week assessment post-treatment for the second pediatric patient, there were two SAEs reported that were not deemed treatment related. Both were related to underlying disease, and one was also attributed to immunosuppression. Both events have resolved. The PI reported significant challenges with AEs due to the patient’s immunosuppressive regimen. As of eight weeks post-treatment, the PI observed improvements across multiple clinical domains compared to baseline and early evidence of developmental gains in the second pediatric patient. Specifically, following treatment, the patient showed improvements in fine and gross motor skills, with improved hand function and the ability to reach more quickly, as well as improved gait, speed and stability when walking, with new skills gained that were lost pre-treatment, including the ability to stand up from a chair and walk up a stair. The PI also observed improvements in the patient’s communication and socialization, including improved social interest and eye contact. The second pediatric patient also showed improvements in autonomic function, including improved breathing patterns with less hyperventilation and breath holding episodes. The second pediatric patient also had an increase in days reported seizure-free since dosing as of week 11 post-treatment, which was one of the most severe aspects of disease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9" w:name="page40"/>
    <w:bookmarkEnd w:id="39"/>
    <w:p>
      <w:pPr>
        <w:ind w:right="40"/>
        <w:spacing w:after="0" w:line="282" w:lineRule="auto"/>
        <w:rPr>
          <w:sz w:val="20"/>
          <w:szCs w:val="20"/>
          <w:color w:val="auto"/>
        </w:rPr>
      </w:pPr>
      <w:r>
        <w:rPr>
          <w:rFonts w:ascii="Times New Roman" w:cs="Times New Roman" w:eastAsia="Times New Roman" w:hAnsi="Times New Roman"/>
          <w:sz w:val="18"/>
          <w:szCs w:val="18"/>
          <w:color w:val="auto"/>
        </w:rPr>
        <w:t>impacting the patient and her caregivers’ quality of life prior to treatment (although, a new anti-seizure medication was added to the regimen at week four, which has been maintained through week 11).</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Pediatric Patient 1 Efficacy Data (Cohort 1)</w:t>
      </w:r>
    </w:p>
    <w:p>
      <w:pPr>
        <w:spacing w:after="0" w:line="11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There was no change at week 12 post-TSHA-102 administration in the first pediatric patient’s CGI-S baseline score of five (markedly ill). The patient demonstrated an improvement in CGI-I and PGI-I at week four post-treatment with a score of three (minimally improved and a little better, respectively), which was sustained through week 12.</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An increase in RSBQ Total Score was reported at week 12 post-TSHA-102 administration compared to baseline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161925</wp:posOffset>
            </wp:positionV>
            <wp:extent cx="4714875" cy="25717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 seven-point increase was reported in RSBQ Total Score at week 12 compared to baseline. The first pediatric patient demonstrated an improvement in hand behaviors and fear and anxiety compared to baseline. However, the patient’s observed increase in mood changes, body rocking and expressionless face, nighttime behavior, and repetitive face movements also impacted the RSBQ Total Score. These increased behaviors are attributed to impacts of the immunosuppression regimen on the patient, per the PI.</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40" w:name="page41"/>
    <w:bookmarkEnd w:id="40"/>
    <w:p>
      <w:pPr>
        <w:ind w:firstLine="749"/>
        <w:spacing w:after="0" w:line="282" w:lineRule="auto"/>
        <w:rPr>
          <w:sz w:val="20"/>
          <w:szCs w:val="20"/>
          <w:color w:val="auto"/>
        </w:rPr>
      </w:pPr>
      <w:r>
        <w:rPr>
          <w:rFonts w:ascii="Times New Roman" w:cs="Times New Roman" w:eastAsia="Times New Roman" w:hAnsi="Times New Roman"/>
          <w:sz w:val="18"/>
          <w:szCs w:val="18"/>
          <w:color w:val="auto"/>
        </w:rPr>
        <w:t>The first pediatric patient demonstrated an improvement in R-MBA Total Score at week 12 post-TSHA-102 administration compared to baseline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114300</wp:posOffset>
            </wp:positionV>
            <wp:extent cx="4491990" cy="22720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49199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*Pediatric patient one’s R-MBA week eight assessment was collected week 11.</w:t>
      </w:r>
    </w:p>
    <w:p>
      <w:pPr>
        <w:spacing w:after="0" w:line="225"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A four-point improvement was reported in R-MBA Total Score at week 12 compared to baseline, which was driven by an improvement in respiratory behavior, aberrant behavior and motor dysfunction.</w:t>
      </w:r>
    </w:p>
    <w:p>
      <w:pPr>
        <w:spacing w:after="0" w:line="16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Per the seizure diary and caregiver reports, the first pediatric patient demonstrated stable seizure events relative to baseline through 22 weeks post-treatment, based on caregiver-reported medical history. Pre-treatment, the patient had approximately one seizure every three months. Following treatment, the patient had three seizure episodes. The patient has been seizure-free as of week nine following treatment through week 22.</w:t>
      </w:r>
    </w:p>
    <w:p>
      <w:pPr>
        <w:spacing w:after="0" w:line="176" w:lineRule="exact"/>
        <w:rPr>
          <w:sz w:val="20"/>
          <w:szCs w:val="20"/>
          <w:color w:val="auto"/>
        </w:rPr>
      </w:pPr>
    </w:p>
    <w:p>
      <w:pPr>
        <w:ind w:right="40" w:firstLine="794"/>
        <w:spacing w:after="0" w:line="258" w:lineRule="auto"/>
        <w:rPr>
          <w:sz w:val="20"/>
          <w:szCs w:val="20"/>
          <w:color w:val="auto"/>
        </w:rPr>
      </w:pPr>
      <w:r>
        <w:rPr>
          <w:rFonts w:ascii="Times New Roman" w:cs="Times New Roman" w:eastAsia="Times New Roman" w:hAnsi="Times New Roman"/>
          <w:sz w:val="18"/>
          <w:szCs w:val="18"/>
          <w:color w:val="auto"/>
        </w:rPr>
        <w:t>The MSEL-A is a standardized cognitive developmental assessment adapted for use in patients with Rett syndrome. The MSEL-A functionally evaluates skills compared to developmental milestones across four subscales, including visual reception - which is one’s ability to visually interpret the surrounding environment, receptive language – one’s ability to comprehend spoken language, fine motor - one’s ability to use their hands to manipulate an object and communicate, and expressive language - one’s ability to produce language and communication. The MSEL-A is administered by a trained psychologist or psychometrician, and the scores are reviewed by a certified, central rater.</w:t>
      </w:r>
    </w:p>
    <w:p>
      <w:pPr>
        <w:spacing w:after="0" w:line="18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assessment evaluates where patients with Rett syndrome fall on a developmental curve compared to standard developmental milestones. For each domain assessed, the patient’s developmental age equivalence is calculated based on standardized developmental norms.</w:t>
      </w:r>
    </w:p>
    <w:p>
      <w:pPr>
        <w:spacing w:after="0" w:line="162" w:lineRule="exact"/>
        <w:rPr>
          <w:sz w:val="20"/>
          <w:szCs w:val="20"/>
          <w:color w:val="auto"/>
        </w:rPr>
      </w:pPr>
    </w:p>
    <w:p>
      <w:pPr>
        <w:ind w:right="20" w:firstLine="794"/>
        <w:spacing w:after="0" w:line="282" w:lineRule="auto"/>
        <w:rPr>
          <w:sz w:val="20"/>
          <w:szCs w:val="20"/>
          <w:color w:val="auto"/>
        </w:rPr>
      </w:pPr>
      <w:r>
        <w:rPr>
          <w:rFonts w:ascii="Times New Roman" w:cs="Times New Roman" w:eastAsia="Times New Roman" w:hAnsi="Times New Roman"/>
          <w:sz w:val="18"/>
          <w:szCs w:val="18"/>
          <w:color w:val="auto"/>
        </w:rPr>
        <w:t>At week 12 following treatment with TSHA-102, which is the first post-treatment assessment of the MSEL-A, the first pediatric patient showed an improvement in the age equivalence of skills she was able to demonstrate across multiple domains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compared to baseline, including visual reception, receptive language and fine motor, with new developmental gains demonstrated, as depicted in the below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114300</wp:posOffset>
            </wp:positionV>
            <wp:extent cx="4526280" cy="3745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526280"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Before treatment, the patient was able to identify objects from a picture, resulting in an age equivalent baseline score of 25 months for visual reception. At week 12 post-treatment, she gained the ability to identify an object from memory based on three choices, resulting in an improvement in the age equivalent score of 26 months at week 12. Additionally, before treatment, the patient was able to follow one unrelated command and comprehend questions from a picture, resulting in an age equivalent baseline score of 22 months for receptive language.</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Post-treatment, she gained the ability to follow two unrelated commands and identify the function of objects and action words, such as eating, sleeping, or washing, resulting in an improvement in her age equivalent score of 24 months at week 12. Further, the patient lost her ability to grasp at age two and displayed limited hand function at baseline, resulting in an age equivalent baseline score of three months for fine motor. At week 12 post-treatment, she gained the ability to use a refined thumb grasp, resulting in an improvement in the age equivalent score of five months as noted in the below chart. There was no change in the expressive language score at week 12.</w:t>
      </w:r>
    </w:p>
    <w:p>
      <w:pPr>
        <w:spacing w:after="0" w:line="183"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patient was not able to demonstrate these skills before treatment per the MSEL-A baseline assessment, medical history, and caregiver reports. These developmental gains suggest clinically meaningful improvements for the patient as she has generalized these newly gained skills beyond demonstrating them during the MSEL-A assessment. Specifically, per the PI and administrating psychometrician, the patient used her eye-gaze driven communication device to identify object functions while using the device at home, and she held an object for up to three minutes at week 12 compared to up to 12 seconds pre-treatment, which supports her grasping improvements captured on the MSEL-A.</w:t>
      </w:r>
    </w:p>
    <w:p>
      <w:pPr>
        <w:spacing w:after="0" w:line="1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Pediatric Patient 2 Efficacy Data (Cohort 1)</w:t>
      </w:r>
    </w:p>
    <w:p>
      <w:pPr>
        <w:spacing w:after="0" w:line="119" w:lineRule="exact"/>
        <w:rPr>
          <w:sz w:val="20"/>
          <w:szCs w:val="20"/>
          <w:color w:val="auto"/>
        </w:rPr>
      </w:pPr>
    </w:p>
    <w:p>
      <w:pPr>
        <w:ind w:right="360" w:firstLine="794"/>
        <w:spacing w:after="0" w:line="282" w:lineRule="auto"/>
        <w:rPr>
          <w:sz w:val="20"/>
          <w:szCs w:val="20"/>
          <w:color w:val="auto"/>
        </w:rPr>
      </w:pPr>
      <w:r>
        <w:rPr>
          <w:rFonts w:ascii="Times New Roman" w:cs="Times New Roman" w:eastAsia="Times New Roman" w:hAnsi="Times New Roman"/>
          <w:sz w:val="18"/>
          <w:szCs w:val="18"/>
          <w:color w:val="auto"/>
        </w:rPr>
        <w:t>The two pediatric patients dosed to date in our REVEAL trial possess different genetic backgrounds and mutation types, which manifest in different phenotypes and clinical severity.</w:t>
      </w:r>
    </w:p>
    <w:p>
      <w:pPr>
        <w:spacing w:after="0" w:line="162" w:lineRule="exact"/>
        <w:rPr>
          <w:sz w:val="20"/>
          <w:szCs w:val="20"/>
          <w:color w:val="auto"/>
        </w:rPr>
      </w:pPr>
    </w:p>
    <w:p>
      <w:pPr>
        <w:ind w:right="380" w:firstLine="794"/>
        <w:spacing w:after="0" w:line="282" w:lineRule="auto"/>
        <w:rPr>
          <w:sz w:val="20"/>
          <w:szCs w:val="20"/>
          <w:color w:val="auto"/>
        </w:rPr>
      </w:pPr>
      <w:r>
        <w:rPr>
          <w:rFonts w:ascii="Times New Roman" w:cs="Times New Roman" w:eastAsia="Times New Roman" w:hAnsi="Times New Roman"/>
          <w:sz w:val="18"/>
          <w:szCs w:val="18"/>
          <w:color w:val="auto"/>
        </w:rPr>
        <w:t>There was no change at week eight post-TSHA-102-administration in the second pediatric patient’s CGI-S score of four (moderately ill) at baseline. The patient demonstrated an improvement in CGI-I and PGI-I of three (minimally improved and a little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42" w:name="page43"/>
    <w:bookmarkEnd w:id="42"/>
    <w:p>
      <w:pPr>
        <w:ind w:right="260"/>
        <w:spacing w:after="0" w:line="282" w:lineRule="auto"/>
        <w:rPr>
          <w:sz w:val="20"/>
          <w:szCs w:val="20"/>
          <w:color w:val="auto"/>
        </w:rPr>
      </w:pPr>
      <w:r>
        <w:rPr>
          <w:rFonts w:ascii="Times New Roman" w:cs="Times New Roman" w:eastAsia="Times New Roman" w:hAnsi="Times New Roman"/>
          <w:sz w:val="18"/>
          <w:szCs w:val="18"/>
          <w:color w:val="auto"/>
        </w:rPr>
        <w:t>better, respectively) at week four. At week eight, the patient demonstrated continued improvement in CGI-I and PGI-I, with a CGI-I score of two (much improved) and a PGI-I score of two (much better).</w:t>
      </w:r>
    </w:p>
    <w:p>
      <w:pPr>
        <w:spacing w:after="0" w:line="162"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second pediatric patient demonstrated an improvement in RSBQ Total Score eight weeks post-TSHA-102 administration compared to the week four assessment as depicted in the graph below. RSBQ was not assessed at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114300</wp:posOffset>
            </wp:positionV>
            <wp:extent cx="4585970" cy="26060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8597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At week eight, the second pediatric patient demonstrated a 13-point improvement in RSBQ Total Score, compared to week four, which was driven by improvements in breathing, repetitive face movements, nighttime behaviors, and fear and anxiety.</w:t>
      </w:r>
    </w:p>
    <w:p>
      <w:pPr>
        <w:spacing w:after="0" w:line="162" w:lineRule="exact"/>
        <w:rPr>
          <w:sz w:val="20"/>
          <w:szCs w:val="20"/>
          <w:color w:val="auto"/>
        </w:rPr>
      </w:pPr>
    </w:p>
    <w:p>
      <w:pPr>
        <w:ind w:right="220" w:firstLine="794"/>
        <w:spacing w:after="0" w:line="282" w:lineRule="auto"/>
        <w:rPr>
          <w:sz w:val="20"/>
          <w:szCs w:val="20"/>
          <w:color w:val="auto"/>
        </w:rPr>
      </w:pPr>
      <w:r>
        <w:rPr>
          <w:rFonts w:ascii="Times New Roman" w:cs="Times New Roman" w:eastAsia="Times New Roman" w:hAnsi="Times New Roman"/>
          <w:sz w:val="18"/>
          <w:szCs w:val="18"/>
          <w:color w:val="auto"/>
        </w:rPr>
        <w:t>The second pediatric patient demonstrated an improvement in R-MBA Total Score at week eight post-TSHA-102 administration compared to baseline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114300</wp:posOffset>
            </wp:positionV>
            <wp:extent cx="4654550" cy="254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5455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At week eight, the second pediatric patient demonstrated an 11-point improvement in R-MBA Total Score. The most notable improvements were reported in respiratory behaviors, seizures and truncal rocking.</w:t>
      </w:r>
    </w:p>
    <w:p>
      <w:pPr>
        <w:spacing w:after="0" w:line="162"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Per the seizure diary and caregiver reports, the second pediatric patient had an increase in days reported seizure-free since dosing through 11 weeks post-treatment, based on caregiver-reported medical history. Pre-treatment, the patient had approximately two to four seizures per day, with a medical history of seizure disorder including prior hospitalizations for seizure control since the age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18"/>
          <w:szCs w:val="18"/>
          <w:color w:val="auto"/>
        </w:rPr>
        <w:t>of three. Two weeks post-TSHA-102, the patient demonstrated a reduction in seizure frequency, with several days reported seizure-free. The patient experienced an episode of seizures during the week four post-treatment assessment, resulting in hospitalization, which was deemed unrelated to TSHA-102 and due to underlying disease, a concurrent urinary tract infection and Propofol sedation for protocol requirement MRI. Although her seizures improved prior to discharge, a new anti-seizure medication was added to the patient’s regimen at week four, which she has maintained through week 11 post-treatment. The second pediatric patient had an increase in days reported seizure-free post-treatment since dosing through week 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Deprioritized Programs</w:t>
      </w:r>
    </w:p>
    <w:p>
      <w:pPr>
        <w:spacing w:after="0" w:line="11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have previously deprioritized the evaluation of our clinical product candidates TSHA-105 for SLC13A5, TSHA-118 for CLN1 and TSHA-121 for CLN7. Although we are not currently evaluating the potential of TSHA-105, TSHA-118 and TSHA-121, we may again evaluate any of these in the future as a product candidate as a component of our pipeline expansion plans, or pursue partnerships to advance these programs.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TSHA-118 for CLN1 Disease</w:t>
      </w:r>
    </w:p>
    <w:p>
      <w:pPr>
        <w:spacing w:after="0" w:line="11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18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diseases that involve mutations in soluble enzymes, in part, due to cross-correction of neighboring non-transduced cells.</w:t>
      </w:r>
    </w:p>
    <w:p>
      <w:pPr>
        <w:spacing w:after="0" w:line="174"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the introduction of a functional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spacing w:after="0" w:line="185"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TSHA-118 has been granted orphan drug designation, rare pediatric disease designation and fast track designation from the FDA and orphan drug designation from the European Medicines Agency for the treatment of CLN1 disease.</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There is currently an open IND for the CLN1 program. We submitted a CTA filing for TSHA-118 which was approved by Health Canada in 2021. Clinical trial material has been manufactured and released and is now ready for use in a clinical trial setting. We provided investigational clinical trial material for TSHA-118 in CLN1 to support an individual-patient investigator-initiated IND request from RUSH University Medical Center for the treatment of a patient with CLN1 disease.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TSHA-105 for SLC13A5 Deficiency</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TSHA-105 is a gene replacement therapy in development for the treatment of SLC13A5 deficiency, a rare autosomal recessive epileptic encephalopathy characterized by the onset of seizures within the first few days of life. SLC13A5 deficiency is caused by bi-allelic loss-of function mutations in the SLC13A5 gene, which codes for a sodium dependent citrate transporter, or NaCT, that is largely expressed in the brain and liver. To date, all tested mutations result in no or a greatly reduced amount of citrate in the cells. Diminished NaCT function leads to loss of neuronal uptake of citrate and other metabolites such as succinate that are critical to brain energy metabolism and function. Affected children have impairments in gross motor function and speech production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4" w:name="page45"/>
    <w:bookmarkEnd w:id="44"/>
    <w:p>
      <w:pPr>
        <w:ind w:right="220"/>
        <w:spacing w:after="0" w:line="282" w:lineRule="auto"/>
        <w:rPr>
          <w:sz w:val="20"/>
          <w:szCs w:val="20"/>
          <w:color w:val="auto"/>
        </w:rPr>
      </w:pPr>
      <w:r>
        <w:rPr>
          <w:rFonts w:ascii="Times New Roman" w:cs="Times New Roman" w:eastAsia="Times New Roman" w:hAnsi="Times New Roman"/>
          <w:sz w:val="18"/>
          <w:szCs w:val="18"/>
          <w:color w:val="auto"/>
        </w:rPr>
        <w:t>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TSHA-105 is constructed from a codon-optimized human SLC13A5 gene packaged in a self-complementary AAV9 capsid.</w:t>
      </w:r>
    </w:p>
    <w:p>
      <w:pPr>
        <w:spacing w:after="0" w:line="225"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TSHA-105 for the treatment of epilepsy caused by SLC13A5 deficiency. Clinical trial material has been manufactured and released and is now ready for use in a clinical trial setting.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We have a pipeline of early-stage gene therapy programs targeting CNS diseases that we may progress in the future or advance through potential partnerships.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TSHA-113 for Tauopathies</w:t>
      </w:r>
    </w:p>
    <w:p>
      <w:pPr>
        <w:spacing w:after="0" w:line="119"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We are developing TSHA-113 for the treatment of tauopathies. Tauopathies comprise a large subset of neurodegenerative diseases involving the aggregation of microtubule associated protein tau, or MAPT, protein into neurofibrillary or gliofibrillary tangles in the human brain. These include MAPT-associated frontotemporal dementia, or FTD, progressive supranuclear palsy, or PSP, corticobasal degeneration, or CD, and Alzheimer’s disease. There are an estimated 11,000 patients in United States and Europe affected by MAPT mediated FTD and 2,000 to 2,500 are affected with MAPT-mediated PSP. and CD</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and Alzheimer’s disease affects an estimated 6.2 million Americans and 7.8 million Europeans.</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Intrathecal delivery of an antisense oligonucleotide, or ASO, targeting Tau mRNA by Biogen/Ionis in a Phase 1 study demonstrated durable, robust, time and dose dependent lowering of tau protein and phospho-tau in cerebrospinal fluid of Alzheimer’s disease patients. Buoyed by these results, in August 2022, Biogen started a Phase 2 trial in people with mild cognitive impairment or mild dementia due to Alzheimer’s disease. This ASO target validation paved the way for other approaches targeting intercellular tau mRNA (reduce tau protein production), for treating Tauopathies.</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Unlike an ASO treatment, which would require repeat lifelong administration, we are developing a one-time treatment for Tauopathies. TSHA-113 is an AAV9 capsid that packages a tau-specific miRNA and is delivered in the cerebrospinal fluid for the treatment of tauopathies. This miRNA targets all six isoforms of tau mRNA.</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tested the efficacy of TSHA-113 in PS19 mice, a validated mouse model for tauopathies. These mice express human MAPT, and they exhibit significant tau pathology, neurodegeneration, loss of body weight and progressive hind-limb paralysis around nine to 12 months of age. We tested efficacy of our treatment by delivering TSHA-113 to PS19 mice at three months, six months and nine months of age via intracisterna magna injection. We found that the tau mRNA and protein levels were significantly reduced by TSHA-113 treatment. Consistently, the tau seeding assay showed reduced levels of pathological tau in brains from PS19 mice treated with TSHA-113. In addition, TSHA-113 treatment was able to rescue the survival rate, loss in body weight, and the hind limb clasping phenotype in the PS19 mice when treated at three months, six months and nine months of age. Taken together, these results demonstrate that a one-time, vectorized delivery of a tau-specific miRNA is a promising approach for treatment for tauopathies. Ongoing and future work is focused on optimal dose determination for IND-enabling studies.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TSHA-106 for Angelman syndrome</w:t>
      </w:r>
    </w:p>
    <w:p>
      <w:pPr>
        <w:spacing w:after="0" w:line="11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are developing TSHA-106 for the treatment of Angelman syndrome, a neurodevelopmental disorder caused by a maternal deficiency of the UBE3A gene. Angelman syndrome is characterized by profound developmental delay, ataxia and gait disturbance, sleep disorder, seizures, heightened anxiety, aggression and severe speech impairments. Angelman syndrome affects approximately one per 12,000 to 20,000 patients worldwide.</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Angelman syndrome is an imprinting disorder in which the maternal gene is deficient and the paternal copy of UBE3A is intact but silenced by a long non-coding RNA, UBE3A antisense transcript, or UBE3A-ATS. Delivery of an ASO targeting UBE3A-ATS showed promising results in ameliorating Angelman syndrome symptoms in a transgenic mouse model.</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in-licensed a novel gene replacement therapy from University of North Carolina. This novel construct is designed to express two isoforms of UBE3A mRNA from the same codon optimized transgene cassette and could potentially be a one-time treatment for the disease. The unique design feature allows short and long hUBE3A isoforms expression at a near-endogenous 3:1 (short/long) ratio, a feature that could help to support optimal therapeutic outcomes. Additionally, this construct uses human Synapsin 1 promoter, to limit UBE3A expression primarily in neurons, the primary therapeutic target for treating Angelman syndrome.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5" w:name="page46"/>
    <w:bookmarkEnd w:id="45"/>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In a published study, this dual isoform expressing cassette was packaged into PHP.B capsids and administered by intracerebroventricular injections in neonatal mice models. This treatment significantly improved motor learning and innate behaviors in Angelman syndrome mice (PMID: 34676830). It rendered Angelman syndrome mice resilient to epileptogenesis and associated hippocampal neuropathologies induced by seizure kindling. These results demonstrated the feasibility, tolerability, and therapeutic potential for dual-isoform hUBE3A gene transfer in the treatment of AS in mice.</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 advance these findings into translatable interventions, our collaborators packaged the dual isoform expressing cassette into AAV9 capsids and undertook animal proof of concept studies. Overall, these results are highly consistent with the published data describing neonatal ICV delivery of a similar dose of the PHP.B/hUBE3Aopt vector (PMID: 34676830) and support continued development. Ongoing and future work is focused on optimal dose and route of administration determination for IND enabling studies.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are an estimated 55,000 patients with Angelman syndrome in the United States and Europe.</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TSHA-114 for Fragile X Syndrome</w:t>
      </w:r>
    </w:p>
    <w:p>
      <w:pPr>
        <w:spacing w:after="0" w:line="11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Fragile X syndrome is caused by a pathological expansion of a CGG triplet repeat in the 5’ untranslated region of the FMR1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conducted proof of concept studies in animal models of Fragile X (Fmr1 KO) with TSHA-114. No significant adverse effects were observed in behavioral, serological or pathohistological markers up to 12 months after intrathecal administration of TSHA-114 in wild-type mice. TSHA-114 treated FMRKO showed widespread FMRP expression was observed throughout brain post administration. TSHA-114 treated FMRKO mice showed robust suppression of audiogenic seizures and normalization of fear conditioning behavior. In addition, assessment of circadian locomotor activity revealed restoration of hyperactivity and sleep. Assessment of transgene expression and behavioral responses in individual mice demonstrated correlations between the level of FMRP expression and potential drug efficacy.</w:t>
      </w:r>
    </w:p>
    <w:p>
      <w:pPr>
        <w:spacing w:after="0" w:line="187"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results from the study support continued development. Ongoing and future work is focused on optimal dose and route of administration determination for IND enabling studies.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are an estimated 75,000 patients with Fragile X syndrome in the United States and Europe.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The University of Texas Southwestern Medical Center, or UT Southwestern, as amended in April 2020.</w:t>
      </w:r>
    </w:p>
    <w:p>
      <w:pPr>
        <w:spacing w:after="0" w:line="176"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18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On April 2, 2020, we amended the UT Southwestern Agreement to include the addition of another licensed product and certain indications, and a right of first refusal to us over certain patient dosing patents. No additional consideration was transferred in connection with this amendment. In March 2022, we and UT Southwestern mutually agreed to revise the payment schedules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current performance expectations of the current sponsored research agreements under the UT Southwestern Agreement and defer payments by fifteen months. In December 2023, we and UT Southwestern mutually agreed to terminate specific sponsored research agreements. There are no outstanding payments due for these terminated programs as of June 30, 2024.</w:t>
      </w:r>
    </w:p>
    <w:p>
      <w:pPr>
        <w:spacing w:after="0" w:line="176" w:lineRule="exact"/>
        <w:rPr>
          <w:sz w:val="20"/>
          <w:szCs w:val="20"/>
          <w:color w:val="auto"/>
        </w:rPr>
      </w:pPr>
    </w:p>
    <w:p>
      <w:pPr>
        <w:ind w:right="60" w:firstLine="749"/>
        <w:spacing w:after="0" w:line="312" w:lineRule="auto"/>
        <w:rPr>
          <w:sz w:val="20"/>
          <w:szCs w:val="20"/>
          <w:color w:val="auto"/>
        </w:rPr>
      </w:pPr>
      <w:r>
        <w:rPr>
          <w:rFonts w:ascii="Times New Roman" w:cs="Times New Roman" w:eastAsia="Times New Roman" w:hAnsi="Times New Roman"/>
          <w:sz w:val="17"/>
          <w:szCs w:val="17"/>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14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we transferred rights to specific indications back to UT Southwestern.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75"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obligated to use commercially reasonable efforts to develop at least one product and commercialize at least one product in the United States.</w:t>
      </w:r>
    </w:p>
    <w:p>
      <w:pPr>
        <w:spacing w:after="0" w:line="162"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188"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 December 2021, our CTA filing for TSHA-118 for the treatment of CLN1 disease was approved by Health Canada and therefore triggered a $3.0 million regulatory milestone payment in connection with the Abeona CLN1 Agreement. No additional milestone payments were made or triggered during the six months ended June 30, 2024.</w:t>
      </w:r>
    </w:p>
    <w:p>
      <w:pPr>
        <w:spacing w:after="0" w:line="176"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60"/>
        <w:spacing w:after="0" w:line="266" w:lineRule="auto"/>
        <w:rPr>
          <w:sz w:val="20"/>
          <w:szCs w:val="20"/>
          <w:color w:val="auto"/>
        </w:rPr>
      </w:pPr>
      <w:r>
        <w:rPr>
          <w:rFonts w:ascii="Times New Roman" w:cs="Times New Roman" w:eastAsia="Times New Roman" w:hAnsi="Times New Roman"/>
          <w:sz w:val="18"/>
          <w:szCs w:val="18"/>
          <w:color w:val="auto"/>
        </w:rPr>
        <w:t>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of $1.0 million in connection with the Rett Agreement. In May 2023, we dosed the first patient with TSHA-102 in the Phase 1/2 REVEAL trial evaluating the safety and preliminary efficacy of TSHA-102 in adult patients with Rett syndrome and therefore triggered a milestone payment of $3.5 million in connection with the Rett Agreement, which was paid in August 2023. No additional milestone payments were made during the six months ended June 30, 2024.</w:t>
      </w:r>
    </w:p>
    <w:p>
      <w:pPr>
        <w:spacing w:after="0" w:line="183"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 with Astellas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21, 2022, or the Effective Date, we entered into an Option Agreement, or the Option Agreement, with Astellas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(f/k/a Audentes Therapeutics, Inc. (d/b/a Astellas Gene Therapy)), or Astellas.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TSHA-120 Giant Axonal Neuropathy</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Subject to certain extensions, the GAN Option was exercisable from the Effective Date through a specified period of time following Astellas’ receipt of (i) the formal minutes from the Type B end-of-Phase 2 meeting between us and the United States Food and Drug Administration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 Following the receipt of Type C meeting feedback from the FDA regarding a registrational path for TSHA-120 in September 2023, Astellas elected not to exercise the GAN Option, and we recognized revenue related to this expiration during the third quarter of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TSHA-102 Rett Syndrome</w:t>
      </w:r>
    </w:p>
    <w:p>
      <w:pPr>
        <w:spacing w:after="0" w:line="121"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Under the Option Agreement, we also granted to Astellas an exclusive option to obtain an exclusive, worldwide, royalty and milestone-bearing right and license (A) to Exploit any Rett Product (as defined below), and (B) under any intellectual property rights controlled by us or any of our affiliates with respect to such Exploitation, or the Rett Option. Subject to certain extensions, the Rett Option is exercisable from the Effective Date through a specified period of time following Astellas’ receipt of (1) certain clinical data from the female pediatric trial and (2) certain specified data with respect to TSHA-102, or the Rett Option Period and together with the GAN Option, each, an Option,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w:t>
      </w:r>
    </w:p>
    <w:p>
      <w:pPr>
        <w:spacing w:after="0" w:line="19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Revenue for the six months ended June 30, 2024 was derived from the Astellas Transactions. We recognize revenue as research and development activities related to our Rett program are performed. Revenue related to the material rights associated 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20"/>
        <w:spacing w:after="0" w:line="282" w:lineRule="auto"/>
        <w:rPr>
          <w:sz w:val="20"/>
          <w:szCs w:val="20"/>
          <w:color w:val="auto"/>
        </w:rPr>
      </w:pPr>
      <w:r>
        <w:rPr>
          <w:rFonts w:ascii="Times New Roman" w:cs="Times New Roman" w:eastAsia="Times New Roman" w:hAnsi="Times New Roman"/>
          <w:sz w:val="18"/>
          <w:szCs w:val="18"/>
          <w:color w:val="auto"/>
        </w:rPr>
        <w:t>the Rett Option and the GAN Option must be recognized at a point in time when the options are exercised or the option period expires. In September 2023, Astellas elected not to exercise the GAN Option, therefore we recognized revenue related to the GAN Option during the year ended December 31, 2023.</w:t>
      </w:r>
    </w:p>
    <w:p>
      <w:pPr>
        <w:spacing w:after="0" w:line="16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primarily consist of clinical and preclinical development of our product candidates and discovery efforts, including conducting preclinical studies, manufacturing development efforts, preparing for and conducting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79" w:lineRule="exact"/>
        <w:rPr>
          <w:sz w:val="20"/>
          <w:szCs w:val="20"/>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severance costs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or CMOs;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reduced our research and development and general and administrative spend from 2022 to 2023 but have increased and expect to continue to increase our research and development expenses with respect to the Rett clinical trials for the foreseeable future as we continue the development of TSHA-102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2" w:lineRule="exact"/>
        <w:rPr>
          <w:sz w:val="20"/>
          <w:szCs w:val="20"/>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9" w:name="page50"/>
    <w:bookmarkEnd w:id="49"/>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17" w:lineRule="exact"/>
        <w:rPr>
          <w:rFonts w:ascii="Times New Roman" w:cs="Times New Roman" w:eastAsia="Times New Roman" w:hAnsi="Times New Roman"/>
          <w:sz w:val="18"/>
          <w:szCs w:val="18"/>
          <w:color w:val="auto"/>
        </w:rPr>
      </w:pPr>
    </w:p>
    <w:p>
      <w:pPr>
        <w:ind w:left="1540" w:right="200" w:hanging="514"/>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 candidates;</w:t>
      </w:r>
    </w:p>
    <w:p>
      <w:pPr>
        <w:spacing w:after="0" w:line="11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anticipate that certain of our general and administrative expenses will decrease in the future as a result of the reductions in our headcount in 2022 and 2023 to support our infrastructure and focus on our Rett program. We also anticipate that our general and administrative expenses may increase in the future as a result of payments for accounting, audit, legal, consulting services, costs associated with maintaining compliance with Nasdaq listing rules and SEC requirements, director and officer liability insurance, investor and public relations activities and other expenses associated with operating as a public company to support planned future Rett program development.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Other income (expense) consists primarily of dividends earned from our money market fund and interest income on our cash and cash equivalents, interest expense on borrowings under the Trinity Term Loan, and non-cash changes in the fair value of our outstanding warrant liability and the Trinity Term Loan.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June 30, 2024 and 2023</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35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r>
      <w:tr>
        <w:trPr>
          <w:trHeight w:val="187"/>
        </w:trPr>
        <w:tc>
          <w:tcPr>
            <w:tcW w:w="77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FF0FC"/>
          </w:tcPr>
          <w:p>
            <w:pPr>
              <w:spacing w:after="0"/>
              <w:rPr>
                <w:sz w:val="21"/>
                <w:szCs w:val="2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(21,299 )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(23,384 )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(1,440 )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(1,214 )</w:t>
            </w: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(20,928 )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(24,598 )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-1447800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Revenue related to the Astellas Transactions was $1.1 million for the three months ended June 30, 2024, compared to $2.4 million for the three months ended June 30, 2023. The revenue recorded is the result of Rett research and development activities performed during the respective three month periods ended June 30, 2024 and June 30, 2023.</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$15.1 million for the three months ended June 30, 2024, compared to $19.8 million for the three months ended June 30, 2023. The $4.7 million decrease was primarily due to a milestone fee payable to Abeona during the three months ended June 30, 2023, following the dosing of the first adult patient in the TSHA-102 Phase 1/2 REVEAL trial.</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$7.3 million for the three months ended June 30, 2024, compared to $6.0 million for the three months ended June 30, 2023. The increase of $1.3 million was primarily due to $0.9 million of higher stock-based compensation expenses and $0.4 million of higher consulting, professional fees and other expenses.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 in fair value of warrant liability was a non-cash expense totaling $0.2 million for the three months ended June 30, 2024 related to the SSI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term loan</w:t>
      </w:r>
    </w:p>
    <w:p>
      <w:pPr>
        <w:spacing w:after="0" w:line="11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We elected the fair value option for the Trinity Term Loan and changes to fair value, other than changes that were directly attributed to instrument-specific credit risk, were recorded as a component of other income (expense). The change in fair value was $1.3 million for the three months ended June 30, 2024.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$1.4 million for the three months ended June 30, 2024 compared to $0.2 million for the three months ended June 30, 2023. The increase in income was primarily attributed to dividends earned from our money market fund and interest earned on our savings account following the investment of proceeds raised in our August 2023 Private Placement.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Interest expense was less than $0.1 million for the three months ended June 30, 2024, compared to $1.4 million for the three months ended June 30, 2023. The decrease of approximately $1.3 million was primarily attributed to interest expense incurred under the SVB Term Loan Agreement for the three months ended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Six Months ended June 30, 2024 and 2023</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 (in thousands):</w:t>
      </w:r>
    </w:p>
    <w:p>
      <w:pPr>
        <w:spacing w:after="0" w:line="340"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spacing w:after="0" w:line="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Ended 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shd w:val="clear" w:color="auto" w:fill="CFF0FC"/>
          </w:tcPr>
          <w:p>
            <w:pPr>
              <w:spacing w:after="0"/>
              <w:rPr>
                <w:sz w:val="20"/>
                <w:szCs w:val="20"/>
                <w:color w:val="auto"/>
              </w:rPr>
            </w:pPr>
          </w:p>
        </w:tc>
      </w:tr>
      <w:tr>
        <w:trPr>
          <w:trHeight w:val="24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100" w:type="dxa"/>
            <w:vAlign w:val="bottom"/>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50,152</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(45,629 )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(39,943 )</w:t>
            </w: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9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(2,332 )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(2,814 )</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7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(2,277 )</w:t>
            </w:r>
          </w:p>
        </w:tc>
      </w:tr>
      <w:tr>
        <w:trPr>
          <w:trHeight w:val="20"/>
        </w:trPr>
        <w:tc>
          <w:tcPr>
            <w:tcW w:w="77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(44,989 )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(42,220 )</w:t>
            </w: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-1448435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Revenue related to the Astellas Transactions was $4.5 million for the six months ended June 30, 2024, compared to $7.1 million for the six months ended June 30, 2023. The revenue recorded was the result of Rett research and development activities performed during the respective six months ended June 30, 2024 and 2023.</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$35.7 million for the six months ended June 30, 2024, compared to $32.3 million for the six months ended June 30, 2023. The $3.4 million increase was primarily driven by an $8.2 million increase in GMP batch activities during the six months ended June 30, 2024, which is representative of the intended commercial manufacturing process for TSHA-102 in Rett syndrome. This increase was partially offset by a milestone fee payable to Abeona during the three months ended June 30, 2023 after the dosing of the first adult patient in the TSHA-102 Phase 1/2 REVEAL clinical trial and lower other research and development expenses for the six months ended June 30, 2024.</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$14.4 million for the six months ended June 30, 2024, compared to $14.7 million for the six months ended June 30, 2023. The decrease of $0.3 million was due to reduced compensation expense as a result of lower headcount and reduced consulting and professional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2" w:name="page53"/>
    <w:bookmarkEnd w:id="5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 in fair value of warrant liability was a non-cash expense totaling $0.1 million for the six months ended June 30, 2024 related to the SSI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term loan</w:t>
      </w:r>
    </w:p>
    <w:p>
      <w:pPr>
        <w:spacing w:after="0" w:line="11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We elected the fair value option for the Trinity Term Loan and changes to fair value, other than changes that are directly attributed to instrument-specific credit risk, were recorded as a component of other income (expense). The change in fair value was $2.3 million for the six months ended June 30, 2024.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$3.1 million for the six months ended June 30, 2024 compared to $0.5 million for the six months ended June 30, 2023. The increase in income was primarily attributed to dividends earned from our money market fund and interest earned on our savings account following the investment of proceeds raised in our August 2023 Private Placement.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Interest expense was $0.1 million for the six months ended June 30, 2024, compared to $2.8 million for the six months ended June 30, 2023. The decrease of approximately $2.7 million was primarily attributed to interest expense incurred under the SVB Term Loan Agreement for the six months ended June 30,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As of June 30, 2024, we had cash and cash equivalents of $172.7 million. We have funded our operations primarily through equity financings, raising an aggregate of $671.0 million in gross proceeds from equity financings, including from pre-IPO private placements of convertible preferred stock, our IPO, and subsequent sales of common stock in public and private securities offerings, our term loans and the Astellas Transactions.</w:t>
      </w:r>
    </w:p>
    <w:p>
      <w:pPr>
        <w:spacing w:after="0" w:line="18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the Trinity Closing Date, we entered into the Trinity Term Loan Agreement, by and among us, the Trinity Lenders, and Trinity. The Trinity Term Loan Agreement provided for, on the Trinity Closing Date, $40.0 million aggregate principal amount of term loans, or, collectively, the Trinity Term Loans. We drew the Trinity Term Loans in full on the Trinity Closing Date. The interest rate applicable to the Trinity Term Loans is the greater of (a) the Wall Street Journal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we are required to pay equal monthly installments of principal through November 13, 2028, or the Maturity Date. The Trinity Term Loans may be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we paid Trinity a commitment fee of 1.00% of the original principal amount of the Trinity Term Loans. Upon repayment in full of the Trinity Term Loans, we will pay Trinity an end of term payment equal to 5.00% of the original principal amount of the Trinity Term Loans.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obligations under the Trinity Term Loan Agreement are secured by a perfected security interest in all of our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our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and paying cash dividends. 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5.00% per annum may be applied to the outstanding loan balances, and the Trinity Lenders may declare all outstanding obligations immediately due and payable and exercise all of its rights and remedies as set forth in the Trinity Term Loan Agreement and under applicable law. The proceeds of the Trinity Term Loans were used to repay our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3" w:name="page54"/>
    <w:bookmarkEnd w:id="53"/>
    <w:p>
      <w:pPr>
        <w:ind w:right="640"/>
        <w:spacing w:after="0" w:line="282" w:lineRule="auto"/>
        <w:rPr>
          <w:sz w:val="20"/>
          <w:szCs w:val="20"/>
          <w:color w:val="auto"/>
        </w:rPr>
      </w:pPr>
      <w:r>
        <w:rPr>
          <w:rFonts w:ascii="Times New Roman" w:cs="Times New Roman" w:eastAsia="Times New Roman" w:hAnsi="Times New Roman"/>
          <w:sz w:val="18"/>
          <w:szCs w:val="18"/>
          <w:color w:val="auto"/>
        </w:rPr>
        <w:t>obligations under the Term Loan Agreement with Silicon Valley Bank in full. The Term Loan Agreement with Silicon Valley Bank was terminated concurrently with entry into the Trinity Term Loan Agreement.</w:t>
      </w:r>
    </w:p>
    <w:p>
      <w:pPr>
        <w:spacing w:after="0" w:line="16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June 30, 2024.</w:t>
      </w:r>
    </w:p>
    <w:p>
      <w:pPr>
        <w:spacing w:after="0" w:line="18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spacing w:after="0" w:line="176"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Also on October 21, 2022, we entered into a securities Purchase Agreement with Astellas, or the Astellas Securities Purchase Agreement, and together with the Option Agreement, the Astellas Transactions, pursuant to which we agreed to issue and sell to Astellas in a private placement, or the Astellas Private Placement, an aggregate of 7,266,342 shares of our common stock, or the Astellas Private Placement Shares, for aggregate proceeds of approximately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We also granted Astellas certain registration rights with respect to the Astellas Private Placement Shares.</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October 2022, we closed an underwritten offering of 14,000,000 shares of our common stock. The shares of common stock were sold at a price of $1.88 per share, resulting in total net proceeds of $26.0 million, after deducting underwriting discounts and commissions, and offering expenses. In November 2022, the underwriter exercised its option to purchase an additional 765,226 shares of our common stock and we received net proceeds of $1.4 million after deducting underwriting discounts and commissions. In April 2023, we entered into a securities purchase agreement, or the SSI Securities Purchase Agreement, with two affiliates of SSI Strategy Holdings LLC, or SSI, named therein, or the SSI Investors, pursuant to which we agreed to issue and sell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which was the closing price of our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our clinical programs. The SSI Private Placement closed on April 5, 2023. Gross proceeds of the SSI Private Placement were $0.5 million.</w:t>
      </w:r>
    </w:p>
    <w:p>
      <w:pPr>
        <w:spacing w:after="0" w:line="192"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or the August 2023 Securities Purchase Agreement, with certain institutional and other accredited investors, or the Purchasers, pursuant to which we agreed to sell and issue to the Purchasers in a private placement transaction, or the August 2023 Private Placement, that closed on August 16, 2023: (i) 122,412,376 shares of our common stock and (ii) with respect to certain Purchasers, pre-funded warrants, or the Pre-Funded Warrants, to purchase 44,250,978 shares of common stock in lieu of shares of common stock. The closing of the August 2023 Private Placement, or the PIPE Closing, occurred on August 16, 2023. The total gross proceeds to us at the PIPE Closing were $150.0 million, and after deducting placement agent commissions and offering expenses payable by us, net proceeds were $140.3 million.</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June 26, 2024, we entered into an underwriting agreement, or the June 2024 Underwriting Agreement, with Jefferies LLC and Goldman Sachs &amp; Co. LLC, as representatives of the several underwriters set forth therein, or, collectively, the Underwriters, to issue and sell 14,361,113 shares of our common stock and pre-funded warrants to purchase 18,972,221 shares of our common stock, or the June 2024 Pre-Funded Warrants in the June 2024 Offering pursuant to an effective shelf registration statement on Form S-3 and a related prospectus and prospectus supplement. The offering price to the public was $2.25 per share of common stock and $2.249 per June 2024 Pre-Funded Warrant, which is the price to the public of each share of common stock sold in the June 2024 Offering, minus the $0.001 exercise price per June 2024 Pre-Funded Warrant. The Underwriters purchased the shares and the June 2024 Pre-Funded Warrants from us pursuant to the June 2024 Underwriting Agreement at a price of $2.115 per share and $2.114 per pre-funded warrant, respectively. The initial closing of the June 2024 Offering occurred on June 27, 2024 and we received net proceeds of $70.0 million, after deducting underwriting discounts and commissions and offering expenses. In addition, we granted the Underwriters an option to purchase, for a period of 30 days, up to an additional 5,000,000 shares of our common stock. On July 9, 2024, the Underwriters exercised their option to purchase an additional 3,235,000 shares of common stock and we received additional net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4" w:name="page55"/>
    <w:bookmarkEnd w:id="54"/>
    <w:p>
      <w:pPr>
        <w:ind w:right="360"/>
        <w:spacing w:after="0" w:line="282" w:lineRule="auto"/>
        <w:rPr>
          <w:sz w:val="20"/>
          <w:szCs w:val="20"/>
          <w:color w:val="auto"/>
        </w:rPr>
      </w:pPr>
      <w:r>
        <w:rPr>
          <w:rFonts w:ascii="Times New Roman" w:cs="Times New Roman" w:eastAsia="Times New Roman" w:hAnsi="Times New Roman"/>
          <w:sz w:val="18"/>
          <w:szCs w:val="18"/>
          <w:color w:val="auto"/>
        </w:rPr>
        <w:t>proceeds of $6.8 million, after deducting underwiring discounts and commissions and offering expenses. The total net proceeds received from the June 2024 Offering were $76.8 million after deducting underwriting discounts, commissions and other offering expenses payable by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reduced spending in 2023, and anticipate such reductions will continue in 2024, as a result of our decision to discontinue development of our GAN clinical program. We have increased and expect to continue to increase our research and development expenses, particularly with respect to the Rett clinical trials, for the foreseeable future as we continue the development of our product candidates and manufacturing processes and conduct discovery and research activities for our preclinical programs.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As of June 30, 2024, our material cash requirements consisted of $30.2 million in total lease payments under our noncancelable leases for equipment, laboratory space and office space. These leases are described in further detail in Note 5 to our unaudited condensed consolidated financial statements located in “Part I – Financial Information, Item 1. Financial Statements” in this Quarterly Report on Form 10-Q. Our most significant purchase commitments consist of approximately $9.5 million in cancellable purchase obligations to our CROs and other clinical trial vendors.</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requirements into the fourth quarter of 2026.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1020" w:right="4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10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in defending ourselves in any legal proceedings that we may be subject 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six months ended June 30, 2024 and 2023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(41,302 )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(38,952 )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(3,852 )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70,446</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28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(42,797 )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our net cash used in operating activities of $41.3 million primarily consisted of a net loss of $45.0 million, primarily attributable to our spending on research and development expenses. The net loss of $45.0 million was partially offset by adjustments for non-cash items, primarily stock-based compensation expense of $6.5 million and other non-cash items of $1.1 million, net. Additional cash used in operating assets and liabilities of $4.0 million was primarily attributable to a decrease in deferred revenue of $4.5 million, partially offset by an increase in accounts payable of $2.4 million.</w:t>
      </w:r>
    </w:p>
    <w:p>
      <w:pPr>
        <w:spacing w:after="0" w:line="183"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2023, our net cash used in operating activities of $39.0 million primarily consisted of a net loss of $42.2 million, primarily attributable to our spending on research and development expenses. The net loss of $42.2 million was partially offset by $9.0 million of adjustments for non-cash items, primarily stock-based compensation expense of $3.9 million and the $3.5 million milestone license fee to Abeona related to the dosing of the first adult patient in the TSHA-102 Phase 1/2 REVEAL trial. Additional cash used in operating activities of $7.1 million was due to a decrease in deferred revenue.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investing activities used $0.3 million of cash primarily attributable to the purchase of lab equipment. During the six months ended June 30, 2023, investing activities used $3.9 million of cash primarily attributable to capital expenditures related to the close out of our in-house manufacturing facility project.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financing activities provided $70.4 million of cash, which is primarily attributable to the closing of the June 2024 Offering. During the six months ended June 30, 2023, financing activities provided less than $0.1 million of cash, which is primarily attributable to the proceeds from the SSI Strategy Private Placement, partially offset by the payment of shelf registration costs and other financing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is included in our Annual Report. Please read the unaudited condensed consolidated financial statements in conjunction with our audited financial statements and accompanying notes in our Annual Report.</w:t>
      </w:r>
    </w:p>
    <w:p>
      <w:pPr>
        <w:spacing w:after="0" w:line="75"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that require significant judgments and estimates are more fully described under the heading “Management’s Discussion and Analysis of Financial Condition and Results of Operations—Critical Accounting Policies and Significant Judgments and Estimates” in our Annual Report and in Note 2 to our audited consolidated financial statements contained in our Annual Report. There have been no significant changes to our critical accounting policies that require significant judgments and estimates from those disclosed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183"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5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6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ind w:right="20"/>
        <w:spacing w:after="0" w:line="282" w:lineRule="auto"/>
        <w:rPr>
          <w:sz w:val="20"/>
          <w:szCs w:val="20"/>
          <w:color w:val="auto"/>
        </w:rPr>
      </w:pPr>
      <w:r>
        <w:rPr>
          <w:rFonts w:ascii="Times New Roman" w:cs="Times New Roman" w:eastAsia="Times New Roman" w:hAnsi="Times New Roman"/>
          <w:sz w:val="18"/>
          <w:szCs w:val="18"/>
          <w:color w:val="auto"/>
        </w:rPr>
        <w:t>financial statements in our Annual Report on Form 10-K and, similar to emerging growth companies, smaller reporting companies have reduced disclosure obligations regarding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20"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Quarterly Report on Form 10-Q. Based on such evaluation, our Chief Executive Officer and Chief Financial Officer have concluded that as of June 30, 2024, our disclosure controls and procedures were effective to provide reasonable assurance that the information required to be disclosed by us in this Quarterly Report on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Shortly after filing suit, the plaintiff in the second-filed action voluntarily dismissed his lawsuit and filed a substantially similar action except with fewer named defendants. The complaints assert claims relating to the Company’s August 2023 Private Placement against (i) certain of the Company’s current and former directors and officers for breach of fiduciary duty and unjust enrichment; and (ii) against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experts, and accountants. In May 2024, the Court consolidated the two actions and set a briefing schedule for motions for appointment of a leadership structure (the “Lead Plaintiff Motions”). The Lead Plaintiff Motions have been fully briefed, and the Court has set a hearing for the Lead Plaintiff Motions for September 5, 2024. The Company has not recorded a liability related to these lawsuits because, at this time, the Company is unable to reasonably estimate possible losses or gains or determine whether an unfavorable outcome is either probable or remote.</w:t>
      </w:r>
    </w:p>
    <w:p>
      <w:pPr>
        <w:spacing w:after="0" w:line="192" w:lineRule="exact"/>
        <w:rPr>
          <w:sz w:val="20"/>
          <w:szCs w:val="20"/>
          <w:color w:val="auto"/>
        </w:rPr>
      </w:pPr>
    </w:p>
    <w:p>
      <w:pPr>
        <w:ind w:right="360" w:firstLine="794"/>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additional legal or regulatory proceedings. Regardless of outcome, litigation can have an adverse impact on us because of defense and settlement costs, diversion of management resources and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7"/>
          <w:szCs w:val="17"/>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for the fiscal year ended December 31, 2023, filed with the Securities and Exchange Commission on March 19, 2024. Other than as described below, there have been no material changes to the risk factors described in that report .</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For example, in June 2024, we announced initial clinical data from the first two pediatric patients and interim clinical data from the first two adult patients treated in the Phase 1/2 REVEAL trials of TSHA-102. However, those observations may not endure or be repeated in subsequently dosed patients or any age or disease severity, including patients receiving higher doses of TSHA-102 in either the adolescent/adult or pediatric trial. Initial clinical observations also may not translate into success on primary endpoints of the REVEAL trial. Differences between preliminary or interim data and final data could significantly harm our business prospects and may cause the trading price of our common stock to fluctuate significantly.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claims from time to time that may seek material damages or otherwise may have a material adverse effect on our business. The costs we incur in defending ourselves or associated with settling any of these proceedings, as well as a material final judgment or decree against us, could materially adversely affect our financial condition.</w:t>
      </w:r>
    </w:p>
    <w:p>
      <w:pPr>
        <w:spacing w:after="0" w:line="6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subject to legal proceedings and claims from time to time that may seek material damages or otherwise may have a material adverse effect on our business. For example, in January 2024 and April 2024, we were named a nominal defendant in a shareholder derivative lawsuits against certain of our current and former directors in the Court of Chancery of the State of Delaware. These lawsuits seek unspecified monetary damages, disgorgement of profits, and reasonable costs and expenses, including attorneys’ fees, and other relief. See “Item 3-Legal Proceedings” and “Part II, Item 8, Note 13—Commitments and Contingencies” in our Annual Report and “Part I, Item 2, Note 13—Commitments and Contingencies” in this Quarterly Report on Form 10-Q for more information. Due to the inherent uncertainties in legal proceedings, we cannot accurately predict the ultimate outcome of any such proceedings. This or any future litigation, regardless of the merits of any such proceeding, could harm our reputation and result in substantial costs and diversion of management’s attention and resources, which could adversely impact our business. Although we have directors’ and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9" w:name="page60"/>
    <w:bookmarkEnd w:id="59"/>
    <w:p>
      <w:pPr>
        <w:spacing w:after="0" w:line="256" w:lineRule="auto"/>
        <w:rPr>
          <w:sz w:val="20"/>
          <w:szCs w:val="20"/>
          <w:color w:val="auto"/>
        </w:rPr>
      </w:pPr>
      <w:r>
        <w:rPr>
          <w:rFonts w:ascii="Times New Roman" w:cs="Times New Roman" w:eastAsia="Times New Roman" w:hAnsi="Times New Roman"/>
          <w:sz w:val="18"/>
          <w:szCs w:val="18"/>
          <w:color w:val="auto"/>
        </w:rPr>
        <w:t>officers’ liability insurance, it provides for a substantial retention of liability and is subject to limitations and may not cover a significant portion, or any, of the expenses or liabilities we may incur or be subject to in connection with these lawsuits or other litigation to which we are party. The costs we incur in defending ourselves or associated with settling such proceedings, as well as a material final judgment or decree against us, that are not covered by our directors’ and officers’ liability insurance could materially adversely affect our financial condition. In addition, additional lawsuits may be filed, the conclusion of which in a manner adverse to us and for which we incur substantial costs or damages not covered by our directors’ and officers’ liability insurance could have a material adverse effect on our financial condition and business.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0" w:type="dxa"/>
            <w:vAlign w:val="bottom"/>
            <w:tcBorders>
              <w:bottom w:val="single" w:sz="8" w:color="auto"/>
            </w:tcBorders>
            <w:gridSpan w:val="15"/>
          </w:tcPr>
          <w:p>
            <w:pPr>
              <w:ind w:left="1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tcBorders>
              <w:bottom w:val="single" w:sz="8" w:color="0000FF"/>
            </w:tcBorders>
            <w:gridSpan w:val="18"/>
          </w:tcPr>
          <w:p>
            <w:pPr>
              <w:spacing w:after="0" w:line="17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 8-K</w:t>
              </w:r>
            </w:hyperlink>
          </w:p>
        </w:tc>
        <w:tc>
          <w:tcPr>
            <w:tcW w:w="4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9"/>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(File No. 001-39536), filed with the Securities and Exchange Commission on September 29, 2020).</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9"/>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Amended and Restated Bylaws (incorporated by reference to Exhibit 3.4 to the Company’s Current Report on Form 8-K (File No. 001-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39536)</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29, 2020).</w:t>
              </w:r>
            </w:hyperlink>
          </w:p>
        </w:tc>
        <w:tc>
          <w:tcPr>
            <w:tcW w:w="480" w:type="dxa"/>
            <w:vAlign w:val="bottom"/>
            <w:gridSpan w:val="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Certificate of Amendment to the Amended and Restated Certificate of Incorporation of (incorporated by reference to Exhibit 3.1 to the</w:t>
              </w:r>
            </w:hyperlink>
          </w:p>
        </w:tc>
        <w:tc>
          <w:tcPr>
            <w:tcW w:w="460" w:type="dxa"/>
            <w:vAlign w:val="bottom"/>
            <w:gridSpan w:val="6"/>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Company’s Current Report on Form 8-K (File No. 001-39536), filed with the Securities and Exchange Commission on November 15, 2023).</w:t>
              </w:r>
            </w:hyperlink>
          </w:p>
        </w:tc>
        <w:tc>
          <w:tcPr>
            <w:tcW w:w="60" w:type="dxa"/>
            <w:vAlign w:val="bottom"/>
            <w:gridSpan w:val="2"/>
          </w:tcPr>
          <w:p>
            <w:pPr>
              <w:spacing w:after="0"/>
              <w:rPr>
                <w:sz w:val="17"/>
                <w:szCs w:val="17"/>
                <w:color w:val="auto"/>
              </w:rPr>
            </w:pPr>
          </w:p>
        </w:tc>
      </w:tr>
      <w:tr>
        <w:trPr>
          <w:trHeight w:val="20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Description of the Company’s Common Stock.</w:t>
            </w:r>
          </w:p>
        </w:tc>
        <w:tc>
          <w:tcPr>
            <w:tcW w:w="20" w:type="dxa"/>
            <w:vAlign w:val="bottom"/>
            <w:tcBorders>
              <w:bottom w:val="single" w:sz="8" w:color="0000EE"/>
            </w:tcBorders>
          </w:tcPr>
          <w:p>
            <w:pPr>
              <w:spacing w:after="0"/>
              <w:rPr>
                <w:sz w:val="18"/>
                <w:szCs w:val="18"/>
                <w:color w:val="auto"/>
              </w:rPr>
            </w:pPr>
          </w:p>
        </w:tc>
        <w:tc>
          <w:tcPr>
            <w:tcW w:w="6800" w:type="dxa"/>
            <w:vAlign w:val="bottom"/>
            <w:gridSpan w:val="15"/>
          </w:tcPr>
          <w:p>
            <w:pPr>
              <w:spacing w:after="0"/>
              <w:rPr>
                <w:sz w:val="18"/>
                <w:szCs w:val="18"/>
                <w:color w:val="auto"/>
              </w:rPr>
            </w:pPr>
          </w:p>
        </w:tc>
      </w:tr>
      <w:tr>
        <w:trPr>
          <w:trHeight w:val="20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Form of Pre-Funded Warrant to Purchase Common Stock (incorporated by reference to Exhibit 4.1 to the Company’s Current Report on</w:t>
              </w:r>
            </w:hyperlink>
          </w:p>
        </w:tc>
        <w:tc>
          <w:tcPr>
            <w:tcW w:w="380" w:type="dxa"/>
            <w:vAlign w:val="bottom"/>
            <w:gridSpan w:val="5"/>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9"/>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Form 8-K (File No. 001-39536), filed with the Securities and Exchange Commission on June 26,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0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40" w:type="dxa"/>
            <w:vAlign w:val="bottom"/>
            <w:gridSpan w:val="8"/>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3"/>
          </w:tcPr>
          <w:p>
            <w:pPr>
              <w:spacing w:after="0"/>
              <w:rPr>
                <w:sz w:val="17"/>
                <w:szCs w:val="17"/>
                <w:color w:val="auto"/>
              </w:rPr>
            </w:pPr>
          </w:p>
        </w:tc>
      </w:tr>
      <w:tr>
        <w:trPr>
          <w:trHeight w:val="21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600" w:type="dxa"/>
            <w:vAlign w:val="bottom"/>
            <w:gridSpan w:val="9"/>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3"/>
          </w:tcPr>
          <w:p>
            <w:pPr>
              <w:spacing w:after="0"/>
              <w:rPr>
                <w:sz w:val="17"/>
                <w:szCs w:val="17"/>
                <w:color w:val="auto"/>
              </w:rPr>
            </w:pPr>
          </w:p>
        </w:tc>
      </w:tr>
      <w:tr>
        <w:trPr>
          <w:trHeight w:val="20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gridSpan w:val="3"/>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17"/>
          </w:tcPr>
          <w:p>
            <w:pPr>
              <w:spacing w:after="0"/>
              <w:rPr>
                <w:sz w:val="17"/>
                <w:szCs w:val="17"/>
                <w:color w:val="auto"/>
              </w:rPr>
            </w:pPr>
          </w:p>
        </w:tc>
      </w:tr>
      <w:tr>
        <w:trPr>
          <w:trHeight w:val="21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60" w:type="dxa"/>
            <w:vAlign w:val="bottom"/>
            <w:gridSpan w:val="4"/>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17"/>
          </w:tcPr>
          <w:p>
            <w:pPr>
              <w:spacing w:after="0"/>
              <w:rPr>
                <w:sz w:val="17"/>
                <w:szCs w:val="17"/>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2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3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640" w:firstLine="326"/>
        <w:spacing w:after="0" w:line="427" w:lineRule="auto"/>
        <w:tabs>
          <w:tab w:leader="none" w:pos="102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15855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ind w:firstLine="8"/>
        <w:spacing w:after="0" w:line="266" w:lineRule="auto"/>
        <w:tabs>
          <w:tab w:leader="none" w:pos="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252" w:lineRule="exact"/>
        <w:rPr>
          <w:sz w:val="20"/>
          <w:szCs w:val="20"/>
          <w:color w:val="auto"/>
        </w:rPr>
      </w:pPr>
    </w:p>
    <w:p>
      <w:pPr>
        <w:ind w:left="20"/>
        <w:spacing w:after="0"/>
        <w:tabs>
          <w:tab w:leader="none" w:pos="5180" w:val="left"/>
          <w:tab w:leader="none" w:pos="7880"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ind w:left="20"/>
        <w:spacing w:after="0"/>
        <w:tabs>
          <w:tab w:leader="none" w:pos="5180" w:val="left"/>
          <w:tab w:leader="none" w:pos="7800"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TAYSHA GENE THERAPIES, INC. COMMON STOCK</w:t>
      </w:r>
    </w:p>
    <w:p>
      <w:pPr>
        <w:spacing w:after="0" w:line="8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i w:val="1"/>
          <w:iCs w:val="1"/>
          <w:color w:val="auto"/>
        </w:rPr>
        <w:t>The following description of the common stock of Taysha Gene Therapies, Inc., or the Company, and certain provisions of the Company’s amended and restated certificate of incorporation, or the certificate, the certificate of amendment to the certificate, or the amendment, and together with the certificate, the amended and restated certificate, and amended and restated bylaws, or restated bylaws, are summaries. These summaries are qualified in the entirety by reference to the provisions of the Delaware General Corporation Law and the complete text of the certificate, the amendment and the restated bylaws, which are incorporated by reference as Exhibits 3.1, 3.3 and 3.2, respectively, of the Company’s Annual Report on Form 10-K to which this description is also an exhibit.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20"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20"/>
          <w:szCs w:val="20"/>
          <w:color w:val="auto"/>
        </w:rPr>
        <w:t>The amended and restated certificate authorizes the Company to issue up to 400,000,000 shares of common stock, $0.00001 par value per share, and 10,000,000 shares of preferred stock, $0.00001 par value per share, all of which shares of preferred stock are undesignated. The Company’s board of directors may establish the rights and preferences of the preferred stock from time to time.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1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Each holder of the Company’s common stock is entitled to one vote for each share on all matters submitted to a vote of the stockholders, including the election of directors. The affirmative vote of holders of at least 66</w:t>
      </w:r>
      <w:r>
        <w:rPr>
          <w:rFonts w:ascii="Times New Roman" w:cs="Times New Roman" w:eastAsia="Times New Roman" w:hAnsi="Times New Roman"/>
          <w:sz w:val="16"/>
          <w:szCs w:val="16"/>
          <w:color w:val="auto"/>
        </w:rPr>
        <w:t>2</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3</w:t>
      </w:r>
      <w:r>
        <w:rPr>
          <w:rFonts w:ascii="Times New Roman" w:cs="Times New Roman" w:eastAsia="Times New Roman" w:hAnsi="Times New Roman"/>
          <w:sz w:val="19"/>
          <w:szCs w:val="19"/>
          <w:color w:val="auto"/>
        </w:rPr>
        <w:t>% of the voting power of all of the then-outstanding shares of capital stock, voting as a single class, is required to amend certain provisions of the amended and restated certificate, including provisions relating to amending the Company’s restated bylaws, the classified board, the size of the Company’s board, removal of directors, director liability, vacancies on the Company’s board, special meetings, stockholder notices, actions by written consent and exclusive forum.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12"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Subject to preferences that may be applicable to any then-outstanding preferred stock, holders of the Company’s common stock are entitled to receive ratably those dividends, if any, as may be declared from time to time by the board of directors out of legally available funds.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11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In the event of the Company’s liquidation, dissolution or winding up, holders of the Company’s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Rights and Preferences</w:t>
      </w:r>
    </w:p>
    <w:p>
      <w:pPr>
        <w:spacing w:after="0" w:line="112"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Holders of the Company’s common stock have no preemptive, conversion or subscription rights and there are no redemption or sinking fund provisions applicable to the common stock. The rights, preferences and privileges of the holders of the Company’s common stock are subject to, and may be adversely affected by, the right of the holders of shares of any series of preferred stock that the Company’s board of directors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3" w:name="page64"/>
    <w:bookmarkEnd w:id="63"/>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203 of the Delaware General Corporation Law</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74" w:lineRule="exact"/>
        <w:rPr>
          <w:sz w:val="20"/>
          <w:szCs w:val="20"/>
          <w:color w:val="auto"/>
        </w:rPr>
      </w:pPr>
    </w:p>
    <w:p>
      <w:pPr>
        <w:ind w:left="880" w:right="660" w:hanging="431"/>
        <w:spacing w:after="0" w:line="269" w:lineRule="auto"/>
        <w:tabs>
          <w:tab w:leader="none" w:pos="8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such date, the board of directors of the corporation approved either the business combination or the transaction that resulted in the stockholder becoming an interested stockholder;</w:t>
      </w: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880" w:right="100" w:hanging="431"/>
        <w:spacing w:after="0" w:line="245" w:lineRule="auto"/>
        <w:tabs>
          <w:tab w:leader="none" w:pos="8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0" w:lineRule="exact"/>
        <w:rPr>
          <w:rFonts w:ascii="Times New Roman" w:cs="Times New Roman" w:eastAsia="Times New Roman" w:hAnsi="Times New Roman"/>
          <w:sz w:val="20"/>
          <w:szCs w:val="20"/>
          <w:color w:val="auto"/>
        </w:rPr>
      </w:pPr>
    </w:p>
    <w:p>
      <w:pPr>
        <w:spacing w:after="0" w:line="227" w:lineRule="exact"/>
        <w:rPr>
          <w:rFonts w:ascii="Times New Roman" w:cs="Times New Roman" w:eastAsia="Times New Roman" w:hAnsi="Times New Roman"/>
          <w:sz w:val="20"/>
          <w:szCs w:val="20"/>
          <w:color w:val="auto"/>
        </w:rPr>
      </w:pPr>
    </w:p>
    <w:p>
      <w:pPr>
        <w:ind w:left="880" w:right="100" w:hanging="431"/>
        <w:spacing w:after="0" w:line="254" w:lineRule="auto"/>
        <w:tabs>
          <w:tab w:leader="none" w:pos="8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17"/>
          <w:szCs w:val="17"/>
          <w:color w:val="auto"/>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3</w:t>
      </w:r>
      <w:r>
        <w:rPr>
          <w:rFonts w:ascii="Times New Roman" w:cs="Times New Roman" w:eastAsia="Times New Roman" w:hAnsi="Times New Roman"/>
          <w:sz w:val="20"/>
          <w:szCs w:val="20"/>
          <w:color w:val="auto"/>
        </w:rPr>
        <w:t>% of the outstanding voting stock that is not owned by the interested stockholder.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general, Section 203 defines a “business combination” to include the following:</w:t>
      </w:r>
    </w:p>
    <w:p>
      <w:pPr>
        <w:spacing w:after="0" w:line="216" w:lineRule="exact"/>
        <w:rPr>
          <w:sz w:val="20"/>
          <w:szCs w:val="20"/>
          <w:color w:val="auto"/>
        </w:rPr>
      </w:pPr>
    </w:p>
    <w:p>
      <w:pPr>
        <w:ind w:left="880" w:right="140" w:hanging="431"/>
        <w:spacing w:after="0" w:line="269" w:lineRule="auto"/>
        <w:tabs>
          <w:tab w:leader="none" w:pos="8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involving the corporation or any direct or indirect majority-owned subsidiary of the corporation and the interested stockholder;</w:t>
      </w: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880" w:right="100" w:hanging="431"/>
        <w:spacing w:after="0" w:line="269" w:lineRule="auto"/>
        <w:tabs>
          <w:tab w:leader="none" w:pos="8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transfer, pledge or other disposition of 10% or more of the assets of the corporation involving the interested stockholder (in one transaction or a series of transactions);</w:t>
      </w: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880" w:right="120" w:hanging="431"/>
        <w:spacing w:after="0" w:line="295" w:lineRule="auto"/>
        <w:tabs>
          <w:tab w:leader="none" w:pos="8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380" w:lineRule="exact"/>
        <w:rPr>
          <w:rFonts w:ascii="Times New Roman" w:cs="Times New Roman" w:eastAsia="Times New Roman" w:hAnsi="Times New Roman"/>
          <w:sz w:val="19"/>
          <w:szCs w:val="19"/>
          <w:color w:val="auto"/>
        </w:rPr>
      </w:pPr>
    </w:p>
    <w:p>
      <w:pPr>
        <w:ind w:left="880" w:right="540" w:hanging="431"/>
        <w:spacing w:after="0" w:line="254" w:lineRule="auto"/>
        <w:tabs>
          <w:tab w:leader="none" w:pos="8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200" w:lineRule="exact"/>
        <w:rPr>
          <w:rFonts w:ascii="Times New Roman" w:cs="Times New Roman" w:eastAsia="Times New Roman" w:hAnsi="Times New Roman"/>
          <w:sz w:val="20"/>
          <w:szCs w:val="20"/>
          <w:color w:val="auto"/>
        </w:rPr>
      </w:pPr>
    </w:p>
    <w:p>
      <w:pPr>
        <w:spacing w:after="0" w:line="217" w:lineRule="exact"/>
        <w:rPr>
          <w:rFonts w:ascii="Times New Roman" w:cs="Times New Roman" w:eastAsia="Times New Roman" w:hAnsi="Times New Roman"/>
          <w:sz w:val="20"/>
          <w:szCs w:val="20"/>
          <w:color w:val="auto"/>
        </w:rPr>
      </w:pPr>
    </w:p>
    <w:p>
      <w:pPr>
        <w:ind w:left="880" w:right="240" w:hanging="431"/>
        <w:spacing w:after="0" w:line="269" w:lineRule="auto"/>
        <w:tabs>
          <w:tab w:leader="none" w:pos="8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interested stockholder of the benefit of any loans, advances, guarantees, pledges or other financial benefits by or through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189"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Certificate of Incorporation and Amended and Restated Bylaws</w:t>
      </w:r>
    </w:p>
    <w:p>
      <w:pPr>
        <w:spacing w:after="0" w:line="11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amended and restated certificate provides for the Company’s board of directors to be divided into three classes with staggered three-year terms. Only one class of directors will be elected at each annual meeting of the Company’s stockholders, with the other classes continuing for the remainder of their respective three-year terms. Because the Company’s stockholders do not have cumulative voting rights, stockholders holding a majority of the shares of the Company’s common stock outstanding will be able to elect all of the Company’s directors. The amended and restated certificate and restated bylaws provide that directors may be removed by the stockholders only for cause upon the vote of 66</w:t>
      </w:r>
      <w:r>
        <w:rPr>
          <w:rFonts w:ascii="Times New Roman" w:cs="Times New Roman" w:eastAsia="Times New Roman" w:hAnsi="Times New Roman"/>
          <w:sz w:val="17"/>
          <w:szCs w:val="17"/>
          <w:color w:val="auto"/>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3</w:t>
      </w:r>
      <w:r>
        <w:rPr>
          <w:rFonts w:ascii="Times New Roman" w:cs="Times New Roman" w:eastAsia="Times New Roman" w:hAnsi="Times New Roman"/>
          <w:sz w:val="20"/>
          <w:szCs w:val="20"/>
          <w:color w:val="auto"/>
        </w:rPr>
        <w:t>% or more of the Company’s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8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amended and restated certificate and restated bylaws also provide that all stockholder actions must be effected at a duly called meeting of stockholders and will eliminate the right of stockholders to act by written consent without a meeting. The restated bylaws provide that only the Company’s Chairman of the board, Chief Executive Officer or the board of directors pursuant to a resolution adopted by a majority of the total number of authorized directors may call a special meeting of stockholders.</w:t>
      </w:r>
    </w:p>
    <w:p>
      <w:pPr>
        <w:spacing w:after="0" w:line="180"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The restated bylaws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7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amended and restated certificate and restated bylaws provide that the stockholders cannot amend many of the provisions described above except by a vote of 66</w:t>
      </w:r>
      <w:r>
        <w:rPr>
          <w:rFonts w:ascii="Times New Roman" w:cs="Times New Roman" w:eastAsia="Times New Roman" w:hAnsi="Times New Roman"/>
          <w:sz w:val="17"/>
          <w:szCs w:val="17"/>
          <w:color w:val="auto"/>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3</w:t>
      </w:r>
      <w:r>
        <w:rPr>
          <w:rFonts w:ascii="Times New Roman" w:cs="Times New Roman" w:eastAsia="Times New Roman" w:hAnsi="Times New Roman"/>
          <w:sz w:val="20"/>
          <w:szCs w:val="20"/>
          <w:color w:val="auto"/>
        </w:rPr>
        <w:t>% or more of the Company’s outstanding common stock.</w:t>
      </w:r>
    </w:p>
    <w:p>
      <w:pPr>
        <w:spacing w:after="0" w:line="159"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The amended and restated certificates gives the Company’s board of directors the authority, without further action by the Company’s stockholders, to issue up to 10,000,000 shares of preferred stock in one or more series, with any rights, preferences and privileges as they may designate, including the right to approve an acquisition or other change in control.</w:t>
      </w:r>
    </w:p>
    <w:p>
      <w:pPr>
        <w:spacing w:after="0" w:line="17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combination of these provisions will make it more difficult for the Company’s existing stockholders to replace the Company’s board of directors as well as for another party to obtain control of the Company by replacing the Company’s board of directors. Since the Company’s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control of the Company.</w:t>
      </w:r>
    </w:p>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These provisions are intended to enhance the likelihood of continued stability in the composition of the Company’s board of directors and its policies and to discourage coercive takeover practices and inadequate takeover bids. These provisions are also designed to reduce the Company’s vulnerability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 that could result from actual or rumored takeover attempts. The Company believes that the benefits of these provisions, including increased protection of the Company’s potential ability to negotiate with the proponent of an unfriendly or unsolicited proposal to acquire or restructure the Company’s company, outweigh the disadvantages of discouraging takeover proposals, because negotiation of takeover proposals could result in an improvement of their terms.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Choice of Forum</w:t>
      </w:r>
    </w:p>
    <w:p>
      <w:pPr>
        <w:spacing w:after="0" w:line="112" w:lineRule="exact"/>
        <w:rPr>
          <w:sz w:val="20"/>
          <w:szCs w:val="20"/>
          <w:color w:val="auto"/>
        </w:rPr>
      </w:pPr>
    </w:p>
    <w:p>
      <w:pPr>
        <w:ind w:right="340" w:firstLine="509"/>
        <w:spacing w:after="0" w:line="269" w:lineRule="auto"/>
        <w:rPr>
          <w:sz w:val="20"/>
          <w:szCs w:val="20"/>
          <w:color w:val="auto"/>
        </w:rPr>
      </w:pPr>
      <w:r>
        <w:rPr>
          <w:rFonts w:ascii="Times New Roman" w:cs="Times New Roman" w:eastAsia="Times New Roman" w:hAnsi="Times New Roman"/>
          <w:sz w:val="20"/>
          <w:szCs w:val="20"/>
          <w:color w:val="auto"/>
        </w:rPr>
        <w:t>The Company’s amended and restated certificate provides that the Court of Chancery of the state of Delaware will be the exclusive forum for the following types of actions or proceedings under Delaware statutory or common law:</w:t>
      </w:r>
    </w:p>
    <w:p>
      <w:pPr>
        <w:spacing w:after="0" w:line="159"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the Company’s behalf;</w:t>
      </w:r>
    </w:p>
    <w:p>
      <w:pPr>
        <w:spacing w:after="0" w:line="215"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breach of fiduciary duty;</w:t>
      </w:r>
    </w:p>
    <w:p>
      <w:pPr>
        <w:spacing w:after="0" w:line="215" w:lineRule="exact"/>
        <w:rPr>
          <w:rFonts w:ascii="Times New Roman" w:cs="Times New Roman" w:eastAsia="Times New Roman" w:hAnsi="Times New Roman"/>
          <w:sz w:val="20"/>
          <w:szCs w:val="20"/>
          <w:color w:val="auto"/>
        </w:rPr>
      </w:pPr>
    </w:p>
    <w:p>
      <w:pPr>
        <w:ind w:left="1140" w:right="720" w:hanging="383"/>
        <w:spacing w:after="0" w:line="269" w:lineRule="auto"/>
        <w:tabs>
          <w:tab w:leader="none" w:pos="11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the Company arising pursuant to the DGCL, the Company’s amended and restated certificate or the Company’s restated bylaws;</w:t>
      </w:r>
    </w:p>
    <w:p>
      <w:pPr>
        <w:spacing w:after="0" w:line="159" w:lineRule="exact"/>
        <w:rPr>
          <w:rFonts w:ascii="Times New Roman" w:cs="Times New Roman" w:eastAsia="Times New Roman" w:hAnsi="Times New Roman"/>
          <w:sz w:val="20"/>
          <w:szCs w:val="20"/>
          <w:color w:val="auto"/>
        </w:rPr>
      </w:pPr>
    </w:p>
    <w:p>
      <w:pPr>
        <w:ind w:left="1140" w:right="520" w:hanging="383"/>
        <w:spacing w:after="0" w:line="269" w:lineRule="auto"/>
        <w:tabs>
          <w:tab w:leader="none" w:pos="11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or cause of action seeking to interpret, apply, enforce or determine the validity of the Company’s amended and restated certificate or the Company’s restated bylaws;</w:t>
      </w:r>
    </w:p>
    <w:p>
      <w:pPr>
        <w:spacing w:after="0" w:line="159"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or cause of action as to which the DGCL confers jurisdiction on the Court of Chancery of the state of Delaware; or</w:t>
      </w:r>
    </w:p>
    <w:p>
      <w:pPr>
        <w:spacing w:after="0" w:line="215"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the Company that is governed by the internal affairs doctrine.</w:t>
      </w:r>
    </w:p>
    <w:p>
      <w:pPr>
        <w:spacing w:after="0" w:line="216"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20"/>
          <w:szCs w:val="20"/>
          <w:color w:val="auto"/>
        </w:rPr>
        <w:t>The provision does not apply to suits brought to enforce a duty or liability created by the Exchange Act or to claims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Company’s amended and restated certificate also provides that unless the Company consents in writing to the selection of an alternative forum, the federal district courts of the United States shall be the exclusive forum for the resolution of any complaint asserting a cause of action arising under the Securities Act. Although the Company’s amended and restated certificate contains the choice of forum provision described above, it is possible that a court could rule that such a provision is inapplicable for a particular claim or action or that such provision is unenforceable.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22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The transfer agent and registrar for the Company’s common stock is Equiniti Trust Company, LLC (f/k/a American Stock Transfer &amp; Trust Company, LLC), with offices at 55 Challenger Road, Ridgefield Park, NJ 07660.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common stock is listed on the Nasdaq Global Select Market under the trading symbol “TSHA.”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Nolan,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8120"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8020"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2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spacing w:after="0" w:line="176" w:lineRule="exact"/>
        <w:rPr>
          <w:sz w:val="20"/>
          <w:szCs w:val="20"/>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2024,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2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76" w:lineRule="exact"/>
        <w:rPr>
          <w:sz w:val="20"/>
          <w:szCs w:val="20"/>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2024, to which this Certification is attached as Exhibit 32.2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2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2"/>
      <w:numFmt w:val="decimal"/>
      <w:start w:val="104"/>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297" Type="http://schemas.openxmlformats.org/officeDocument/2006/relationships/hyperlink" Target="https://www.sec.gov/Archives/edgar/data/1806310/000119312520257858/d78879dex31.htm" TargetMode="External"/><Relationship Id="rId298" Type="http://schemas.openxmlformats.org/officeDocument/2006/relationships/hyperlink" Target="https://www.sec.gov/Archives/edgar/data/1806310/000119312520247565/d938924dex34.htm" TargetMode="External"/><Relationship Id="rId299" Type="http://schemas.openxmlformats.org/officeDocument/2006/relationships/hyperlink" Target="https://www.sec.gov/Archives/edgar/data/1806310/000119312523277914/d941656dex31.htm" TargetMode="External"/><Relationship Id="rId300" Type="http://schemas.openxmlformats.org/officeDocument/2006/relationships/hyperlink" Target="https://www.sec.gov/Archives/edgar/data/1806310/000119312524169191/d85734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2024-08-12T07:40:34Z</dcterms:created>
  <dcterms:modified xsi:type="dcterms:W3CDTF">2024-08-12T07:40:34Z</dcterms:modified>
</cp:coreProperties>
</file>