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333-291244</w:t>
            </w: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220" w:type="dxa"/>
            <w:vAlign w:val="bottom"/>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9"/>
              </w:rPr>
              <w:t>is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gridSpan w:val="12"/>
            <w:vMerge w:val="restart"/>
          </w:tcPr>
          <w:p>
            <w:pPr>
              <w:jc w:val="center"/>
              <w:ind w:left="712"/>
              <w:spacing w:after="0"/>
              <w:rPr>
                <w:sz w:val="20"/>
                <w:szCs w:val="20"/>
                <w:color w:val="auto"/>
              </w:rPr>
            </w:pPr>
            <w:r>
              <w:rPr>
                <w:rFonts w:ascii="Times New Roman" w:cs="Times New Roman" w:eastAsia="Times New Roman" w:hAnsi="Times New Roman"/>
                <w:sz w:val="16"/>
                <w:szCs w:val="16"/>
                <w:b w:val="1"/>
                <w:bCs w:val="1"/>
                <w:color w:val="FF4338"/>
              </w:rPr>
              <w:t>Subject to Completion, dated June 24, 2026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8"/>
              </w:rPr>
              <w:t>or sale</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5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2"/>
        </w:trPr>
        <w:tc>
          <w:tcPr>
            <w:tcW w:w="3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and the</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the offer</w:t>
            </w:r>
          </w:p>
        </w:tc>
        <w:tc>
          <w:tcPr>
            <w:tcW w:w="240" w:type="dxa"/>
            <w:vAlign w:val="bottom"/>
          </w:tcPr>
          <w:p>
            <w:pPr>
              <w:spacing w:after="0"/>
              <w:rPr>
                <w:sz w:val="18"/>
                <w:szCs w:val="18"/>
                <w:color w:val="auto"/>
              </w:rPr>
            </w:pPr>
          </w:p>
        </w:tc>
        <w:tc>
          <w:tcPr>
            <w:tcW w:w="580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(To Prospectus dated November 4, 2025)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7"/>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40" w:type="dxa"/>
            <w:vAlign w:val="bottom"/>
            <w:gridSpan w:val="3"/>
          </w:tcPr>
          <w:p>
            <w:pPr>
              <w:jc w:val="center"/>
              <w:ind w:left="2643"/>
              <w:spacing w:after="0"/>
              <w:rPr>
                <w:sz w:val="20"/>
                <w:szCs w:val="20"/>
                <w:color w:val="auto"/>
              </w:rPr>
            </w:pPr>
            <w:r>
              <w:rPr>
                <w:rFonts w:ascii="Times New Roman" w:cs="Times New Roman" w:eastAsia="Times New Roman" w:hAnsi="Times New Roman"/>
                <w:sz w:val="31"/>
                <w:szCs w:val="31"/>
                <w:b w:val="1"/>
                <w:bCs w:val="1"/>
                <w:color w:val="auto"/>
                <w:w w:val="98"/>
              </w:rPr>
              <w:t>$200,000,000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0"/>
        </w:trPr>
        <w:tc>
          <w:tcPr>
            <w:tcW w:w="300" w:type="dxa"/>
            <w:vAlign w:val="bottom"/>
            <w:textDirection w:val="btLr"/>
          </w:tcPr>
          <w:p>
            <w:pPr>
              <w:ind w:left="197"/>
              <w:spacing w:after="0"/>
              <w:rPr>
                <w:sz w:val="20"/>
                <w:szCs w:val="20"/>
                <w:color w:val="auto"/>
              </w:rPr>
            </w:pPr>
            <w:r>
              <w:rPr>
                <w:rFonts w:ascii="Times New Roman" w:cs="Times New Roman" w:eastAsia="Times New Roman" w:hAnsi="Times New Roman"/>
                <w:sz w:val="9"/>
                <w:szCs w:val="9"/>
                <w:b w:val="1"/>
                <w:bCs w:val="1"/>
                <w:color w:val="FF4338"/>
                <w:w w:val="77"/>
              </w:rPr>
              <w:t>changed.Thispreliminaryprospectussupplement</w:t>
            </w:r>
          </w:p>
        </w:tc>
        <w:tc>
          <w:tcPr>
            <w:tcW w:w="220" w:type="dxa"/>
            <w:vAlign w:val="bottom"/>
            <w:textDirection w:val="btLr"/>
          </w:tcPr>
          <w:p>
            <w:pPr>
              <w:ind w:left="105"/>
              <w:spacing w:after="0"/>
              <w:rPr>
                <w:sz w:val="20"/>
                <w:szCs w:val="20"/>
                <w:color w:val="auto"/>
              </w:rPr>
            </w:pPr>
            <w:r>
              <w:rPr>
                <w:rFonts w:ascii="Times New Roman" w:cs="Times New Roman" w:eastAsia="Times New Roman" w:hAnsi="Times New Roman"/>
                <w:sz w:val="10"/>
                <w:szCs w:val="10"/>
                <w:b w:val="1"/>
                <w:bCs w:val="1"/>
                <w:color w:val="FF4338"/>
                <w:w w:val="72"/>
              </w:rPr>
              <w:t>offertobuythesecuritiesinanyjurisdiction where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7"/>
            <w:vMerge w:val="restart"/>
          </w:tcPr>
          <w:p>
            <w:pPr>
              <w:jc w:val="center"/>
              <w:ind w:left="2112"/>
              <w:spacing w:after="0"/>
              <w:rPr>
                <w:sz w:val="20"/>
                <w:szCs w:val="20"/>
                <w:color w:val="auto"/>
              </w:rPr>
            </w:pPr>
            <w:r>
              <w:rPr>
                <w:rFonts w:ascii="Times New Roman" w:cs="Times New Roman" w:eastAsia="Times New Roman" w:hAnsi="Times New Roman"/>
                <w:sz w:val="23"/>
                <w:szCs w:val="23"/>
                <w:b w:val="1"/>
                <w:bCs w:val="1"/>
                <w:color w:val="auto"/>
              </w:rPr>
              <w:t>Shares of Common Stock</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120" w:type="dxa"/>
            <w:vAlign w:val="bottom"/>
            <w:gridSpan w:val="7"/>
            <w:vMerge w:val="continue"/>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40" w:type="dxa"/>
            <w:vAlign w:val="bottom"/>
            <w:gridSpan w:val="3"/>
          </w:tcPr>
          <w:p>
            <w:pPr>
              <w:ind w:left="20"/>
              <w:spacing w:after="0"/>
              <w:rPr>
                <w:sz w:val="20"/>
                <w:szCs w:val="20"/>
                <w:color w:val="auto"/>
              </w:rPr>
            </w:pPr>
            <w:r>
              <w:rPr>
                <w:rFonts w:ascii="Times New Roman" w:cs="Times New Roman" w:eastAsia="Times New Roman" w:hAnsi="Times New Roman"/>
                <w:sz w:val="23"/>
                <w:szCs w:val="23"/>
                <w:b w:val="1"/>
                <w:bCs w:val="1"/>
                <w:color w:val="auto"/>
              </w:rPr>
              <w:t xml:space="preserve">Pre-Funded Warrants to Purchase up to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gridSpan w:val="10"/>
          </w:tcPr>
          <w:p>
            <w:pPr>
              <w:jc w:val="right"/>
              <w:ind w:right="1741"/>
              <w:spacing w:after="0"/>
              <w:rPr>
                <w:sz w:val="20"/>
                <w:szCs w:val="20"/>
                <w:color w:val="auto"/>
              </w:rPr>
            </w:pPr>
            <w:r>
              <w:rPr>
                <w:rFonts w:ascii="Times New Roman" w:cs="Times New Roman" w:eastAsia="Times New Roman" w:hAnsi="Times New Roman"/>
                <w:sz w:val="23"/>
                <w:szCs w:val="23"/>
                <w:b w:val="1"/>
                <w:bCs w:val="1"/>
                <w:color w:val="auto"/>
              </w:rPr>
              <w:t>Shares of Common Stock</w:t>
            </w:r>
          </w:p>
        </w:tc>
        <w:tc>
          <w:tcPr>
            <w:tcW w:w="0" w:type="dxa"/>
            <w:vAlign w:val="bottom"/>
          </w:tcPr>
          <w:p>
            <w:pPr>
              <w:spacing w:after="0"/>
              <w:rPr>
                <w:sz w:val="1"/>
                <w:szCs w:val="1"/>
                <w:color w:val="auto"/>
              </w:rPr>
            </w:pPr>
          </w:p>
        </w:tc>
      </w:tr>
      <w:tr>
        <w:trPr>
          <w:trHeight w:val="34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gridSpan w:val="2"/>
          </w:tcPr>
          <w:p>
            <w:pPr>
              <w:spacing w:after="0"/>
              <w:rPr>
                <w:sz w:val="24"/>
                <w:szCs w:val="24"/>
                <w:color w:val="auto"/>
              </w:rPr>
            </w:pPr>
          </w:p>
        </w:tc>
        <w:tc>
          <w:tcPr>
            <w:tcW w:w="4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w w:val="90"/>
              </w:rPr>
              <w:t>We are offering  </w:t>
            </w:r>
          </w:p>
        </w:tc>
        <w:tc>
          <w:tcPr>
            <w:tcW w:w="40" w:type="dxa"/>
            <w:vAlign w:val="bottom"/>
          </w:tcPr>
          <w:p>
            <w:pPr>
              <w:spacing w:after="0"/>
              <w:rPr>
                <w:sz w:val="24"/>
                <w:szCs w:val="24"/>
                <w:color w:val="auto"/>
              </w:rPr>
            </w:pPr>
          </w:p>
        </w:tc>
        <w:tc>
          <w:tcPr>
            <w:tcW w:w="9180" w:type="dxa"/>
            <w:vAlign w:val="bottom"/>
            <w:gridSpan w:val="15"/>
          </w:tcPr>
          <w:p>
            <w:pPr>
              <w:jc w:val="right"/>
              <w:ind w:right="661"/>
              <w:spacing w:after="0"/>
              <w:rPr>
                <w:sz w:val="20"/>
                <w:szCs w:val="20"/>
                <w:color w:val="auto"/>
              </w:rPr>
            </w:pPr>
            <w:r>
              <w:rPr>
                <w:rFonts w:ascii="Times New Roman" w:cs="Times New Roman" w:eastAsia="Times New Roman" w:hAnsi="Times New Roman"/>
                <w:sz w:val="16"/>
                <w:szCs w:val="16"/>
                <w:color w:val="auto"/>
              </w:rPr>
              <w:t>         shares of our common stock, par value $0.00001 per share, or the common stock, and, in lieu of common stock to certain</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investors that so choose, pre-funded warrants to purchase up to             shares of our common stock. The purchase price of each pre-funded</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warrant will equal the price per share at which shares of our common stock are being sold to the public in this offering, minus $0.001, the exercise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price of each pre-funded warrant. Each pre-funded warrant will be immediately exercisable for one share of common stock, subject to the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limitations described in the section “Description of the Pre-Funded Warrants—Exercisability.” The public offering price for each share of common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 xml:space="preserve">stock is $       </w:t>
            </w:r>
          </w:p>
        </w:tc>
        <w:tc>
          <w:tcPr>
            <w:tcW w:w="922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auto"/>
              </w:rPr>
              <w:t>. We are also offering the shares of our common stock that are issuable from time to time upon exercise of the pre-funded warrants.</w:t>
            </w:r>
          </w:p>
        </w:tc>
        <w:tc>
          <w:tcPr>
            <w:tcW w:w="0" w:type="dxa"/>
            <w:vAlign w:val="bottom"/>
          </w:tcPr>
          <w:p>
            <w:pPr>
              <w:spacing w:after="0"/>
              <w:rPr>
                <w:sz w:val="1"/>
                <w:szCs w:val="1"/>
                <w:color w:val="auto"/>
              </w:rPr>
            </w:pPr>
          </w:p>
        </w:tc>
      </w:tr>
      <w:tr>
        <w:trPr>
          <w:trHeight w:val="411"/>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9"/>
              </w:rPr>
              <w:t>be</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an</w:t>
            </w:r>
          </w:p>
        </w:tc>
        <w:tc>
          <w:tcPr>
            <w:tcW w:w="240" w:type="dxa"/>
            <w:vAlign w:val="bottom"/>
          </w:tcPr>
          <w:p>
            <w:pPr>
              <w:spacing w:after="0"/>
              <w:rPr>
                <w:sz w:val="24"/>
                <w:szCs w:val="24"/>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“TSHA.” The last reported sale price of our common stock on</w:t>
            </w:r>
          </w:p>
        </w:tc>
        <w:tc>
          <w:tcPr>
            <w:tcW w:w="0" w:type="dxa"/>
            <w:vAlign w:val="bottom"/>
          </w:tcPr>
          <w:p>
            <w:pPr>
              <w:spacing w:after="0"/>
              <w:rPr>
                <w:sz w:val="1"/>
                <w:szCs w:val="1"/>
                <w:color w:val="auto"/>
              </w:rPr>
            </w:pPr>
          </w:p>
        </w:tc>
      </w:tr>
      <w:tr>
        <w:trPr>
          <w:trHeight w:val="154"/>
        </w:trPr>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380" w:type="dxa"/>
            <w:vAlign w:val="bottom"/>
            <w:gridSpan w:val="20"/>
            <w:vMerge w:val="restart"/>
          </w:tcPr>
          <w:p>
            <w:pPr>
              <w:ind w:left="40"/>
              <w:spacing w:after="0"/>
              <w:rPr>
                <w:sz w:val="20"/>
                <w:szCs w:val="20"/>
                <w:color w:val="auto"/>
              </w:rPr>
            </w:pPr>
            <w:r>
              <w:rPr>
                <w:rFonts w:ascii="Times New Roman" w:cs="Times New Roman" w:eastAsia="Times New Roman" w:hAnsi="Times New Roman"/>
                <w:sz w:val="16"/>
                <w:szCs w:val="16"/>
                <w:color w:val="auto"/>
              </w:rPr>
              <w:t>The Nasdaq Global Select Market on June 23, 2026 was $6.86 per share. There is no established public trading market for the pre-funded warrants,</w:t>
            </w:r>
          </w:p>
        </w:tc>
        <w:tc>
          <w:tcPr>
            <w:tcW w:w="0" w:type="dxa"/>
            <w:vAlign w:val="bottom"/>
          </w:tcPr>
          <w:p>
            <w:pPr>
              <w:spacing w:after="0"/>
              <w:rPr>
                <w:sz w:val="1"/>
                <w:szCs w:val="1"/>
                <w:color w:val="auto"/>
              </w:rPr>
            </w:pPr>
          </w:p>
        </w:tc>
      </w:tr>
      <w:tr>
        <w:trPr>
          <w:trHeight w:val="57"/>
        </w:trPr>
        <w:tc>
          <w:tcPr>
            <w:tcW w:w="300" w:type="dxa"/>
            <w:vAlign w:val="bottom"/>
            <w:vMerge w:val="restart"/>
            <w:textDirection w:val="btLr"/>
          </w:tcPr>
          <w:p>
            <w:pPr>
              <w:ind w:left="289"/>
              <w:spacing w:after="0"/>
              <w:rPr>
                <w:sz w:val="20"/>
                <w:szCs w:val="20"/>
                <w:color w:val="auto"/>
              </w:rPr>
            </w:pPr>
            <w:r>
              <w:rPr>
                <w:rFonts w:ascii="Times New Roman" w:cs="Times New Roman" w:eastAsia="Times New Roman" w:hAnsi="Times New Roman"/>
                <w:sz w:val="1"/>
                <w:szCs w:val="1"/>
                <w:b w:val="1"/>
                <w:bCs w:val="1"/>
                <w:color w:val="FF4338"/>
                <w:w w:val="68"/>
              </w:rPr>
              <w:t>notcompleteandmay</w:t>
            </w:r>
          </w:p>
        </w:tc>
        <w:tc>
          <w:tcPr>
            <w:tcW w:w="220" w:type="dxa"/>
            <w:vAlign w:val="bottom"/>
            <w:vMerge w:val="restart"/>
            <w:textDirection w:val="btLr"/>
          </w:tcPr>
          <w:p>
            <w:pPr>
              <w:ind w:left="209"/>
              <w:spacing w:after="0"/>
              <w:rPr>
                <w:sz w:val="20"/>
                <w:szCs w:val="20"/>
                <w:color w:val="auto"/>
              </w:rPr>
            </w:pPr>
            <w:r>
              <w:rPr>
                <w:rFonts w:ascii="Times New Roman" w:cs="Times New Roman" w:eastAsia="Times New Roman" w:hAnsi="Times New Roman"/>
                <w:sz w:val="1"/>
                <w:szCs w:val="1"/>
                <w:b w:val="1"/>
                <w:bCs w:val="1"/>
                <w:color w:val="FF4338"/>
                <w:w w:val="72"/>
              </w:rPr>
              <w:t>andarenotsoliciting</w:t>
            </w:r>
          </w:p>
        </w:tc>
        <w:tc>
          <w:tcPr>
            <w:tcW w:w="240" w:type="dxa"/>
            <w:vAlign w:val="bottom"/>
          </w:tcPr>
          <w:p>
            <w:pPr>
              <w:spacing w:after="0"/>
              <w:rPr>
                <w:sz w:val="4"/>
                <w:szCs w:val="4"/>
                <w:color w:val="auto"/>
              </w:rPr>
            </w:pPr>
          </w:p>
        </w:tc>
        <w:tc>
          <w:tcPr>
            <w:tcW w:w="10380" w:type="dxa"/>
            <w:vAlign w:val="bottom"/>
            <w:gridSpan w:val="2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
        </w:trPr>
        <w:tc>
          <w:tcPr>
            <w:tcW w:w="3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20" w:type="dxa"/>
            <w:vAlign w:val="bottom"/>
            <w:gridSpan w:val="17"/>
          </w:tcPr>
          <w:p>
            <w:pPr>
              <w:ind w:left="40"/>
              <w:spacing w:after="0" w:line="11" w:lineRule="exact"/>
              <w:rPr>
                <w:sz w:val="20"/>
                <w:szCs w:val="20"/>
                <w:color w:val="auto"/>
              </w:rPr>
            </w:pPr>
            <w:r>
              <w:rPr>
                <w:rFonts w:ascii="Times New Roman" w:cs="Times New Roman" w:eastAsia="Times New Roman" w:hAnsi="Times New Roman"/>
                <w:sz w:val="1"/>
                <w:szCs w:val="1"/>
                <w:color w:val="auto"/>
              </w:rPr>
              <w:t>See “Prospectus Supplement Summary—Implications of Being a Smaller Reporting Company.”</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and we do not expect a market to develop. We do not intend to apply for listing of the pre-funded warrants on The Nasdaq Global Select Market or</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any securities exchange or nationally recognized trading system. Without an active trading market, the liquidity of the pre-funded warrants will be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limited.</w:t>
            </w: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We are a “smaller reporting company” under applicable Securities and Exchange Commission rules and are subject to reduced public company</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reporting requirements.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3"/>
        </w:trPr>
        <w:tc>
          <w:tcPr>
            <w:tcW w:w="300" w:type="dxa"/>
            <w:vAlign w:val="bottom"/>
            <w:vMerge w:val="restart"/>
            <w:textDirection w:val="btLr"/>
          </w:tcPr>
          <w:p>
            <w:pPr>
              <w:ind w:left="254"/>
              <w:spacing w:after="0"/>
              <w:rPr>
                <w:sz w:val="20"/>
                <w:szCs w:val="20"/>
                <w:color w:val="auto"/>
              </w:rPr>
            </w:pPr>
            <w:r>
              <w:rPr>
                <w:rFonts w:ascii="Times New Roman" w:cs="Times New Roman" w:eastAsia="Times New Roman" w:hAnsi="Times New Roman"/>
                <w:sz w:val="4"/>
                <w:szCs w:val="4"/>
                <w:b w:val="1"/>
                <w:bCs w:val="1"/>
                <w:color w:val="FF4338"/>
                <w:w w:val="93"/>
              </w:rPr>
              <w:t>Theinformationinthispreliminaryprospectussupplementis</w:t>
            </w:r>
          </w:p>
        </w:tc>
        <w:tc>
          <w:tcPr>
            <w:tcW w:w="22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6"/>
                <w:szCs w:val="6"/>
                <w:b w:val="1"/>
                <w:bCs w:val="1"/>
                <w:color w:val="FF4338"/>
                <w:w w:val="75"/>
              </w:rPr>
              <w:t>accompanyingprospectusarenotanoffertosellthesecurities</w:t>
            </w:r>
          </w:p>
        </w:tc>
        <w:tc>
          <w:tcPr>
            <w:tcW w:w="240" w:type="dxa"/>
            <w:vAlign w:val="bottom"/>
            <w:vMerge w:val="restart"/>
            <w:textDirection w:val="btLr"/>
          </w:tcPr>
          <w:p>
            <w:pPr>
              <w:ind w:left="33"/>
              <w:spacing w:after="0"/>
              <w:rPr>
                <w:sz w:val="20"/>
                <w:szCs w:val="20"/>
                <w:color w:val="auto"/>
              </w:rPr>
            </w:pPr>
            <w:r>
              <w:rPr>
                <w:rFonts w:ascii="Times New Roman" w:cs="Times New Roman" w:eastAsia="Times New Roman" w:hAnsi="Times New Roman"/>
                <w:sz w:val="18"/>
                <w:szCs w:val="18"/>
                <w:b w:val="1"/>
                <w:bCs w:val="1"/>
                <w:color w:val="FF4338"/>
                <w:w w:val="75"/>
              </w:rPr>
              <w:t>notpermitted.</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jc w:val="right"/>
              <w:ind w:right="821"/>
              <w:spacing w:after="0"/>
              <w:rPr>
                <w:sz w:val="20"/>
                <w:szCs w:val="20"/>
                <w:color w:val="auto"/>
              </w:rPr>
            </w:pPr>
            <w:r>
              <w:rPr>
                <w:rFonts w:ascii="Times New Roman" w:cs="Times New Roman" w:eastAsia="Times New Roman" w:hAnsi="Times New Roman"/>
                <w:sz w:val="20"/>
                <w:szCs w:val="20"/>
                <w:b w:val="1"/>
                <w:bCs w:val="1"/>
                <w:color w:val="auto"/>
              </w:rPr>
              <w:t>Investing in our common stock involves a high degree of risk. See “</w:t>
            </w:r>
            <w:r>
              <w:rPr>
                <w:rFonts w:ascii="Times New Roman" w:cs="Times New Roman" w:eastAsia="Times New Roman" w:hAnsi="Times New Roman"/>
                <w:sz w:val="20"/>
                <w:szCs w:val="20"/>
                <w:b w:val="1"/>
                <w:bCs w:val="1"/>
                <w:color w:val="0000EE"/>
              </w:rPr>
              <w:t>Risk Factors</w:t>
            </w:r>
            <w:r>
              <w:rPr>
                <w:rFonts w:ascii="Times New Roman" w:cs="Times New Roman" w:eastAsia="Times New Roman" w:hAnsi="Times New Roman"/>
                <w:sz w:val="20"/>
                <w:szCs w:val="20"/>
                <w:b w:val="1"/>
                <w:bCs w:val="1"/>
                <w:color w:val="auto"/>
              </w:rPr>
              <w:t>” beginning on page S-17 of</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gridSpan w:val="11"/>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380" w:type="dxa"/>
            <w:vAlign w:val="bottom"/>
            <w:gridSpan w:val="20"/>
          </w:tcPr>
          <w:p>
            <w:pPr>
              <w:ind w:left="40"/>
              <w:spacing w:after="0" w:line="223" w:lineRule="exact"/>
              <w:rPr>
                <w:sz w:val="20"/>
                <w:szCs w:val="20"/>
                <w:color w:val="auto"/>
              </w:rPr>
            </w:pPr>
            <w:r>
              <w:rPr>
                <w:rFonts w:ascii="Times New Roman" w:cs="Times New Roman" w:eastAsia="Times New Roman" w:hAnsi="Times New Roman"/>
                <w:sz w:val="20"/>
                <w:szCs w:val="20"/>
                <w:b w:val="1"/>
                <w:bCs w:val="1"/>
                <w:color w:val="auto"/>
              </w:rPr>
              <w:t>this prospectus supplement, page 8 of the accompanying prospectus and under similar headings in the documents</w:t>
            </w:r>
          </w:p>
        </w:tc>
        <w:tc>
          <w:tcPr>
            <w:tcW w:w="0" w:type="dxa"/>
            <w:vAlign w:val="bottom"/>
          </w:tcPr>
          <w:p>
            <w:pPr>
              <w:spacing w:after="0"/>
              <w:rPr>
                <w:sz w:val="1"/>
                <w:szCs w:val="1"/>
                <w:color w:val="auto"/>
              </w:rPr>
            </w:pPr>
          </w:p>
        </w:tc>
      </w:tr>
      <w:tr>
        <w:trPr>
          <w:trHeight w:val="262"/>
        </w:trPr>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20"/>
                <w:szCs w:val="20"/>
                <w:b w:val="1"/>
                <w:bCs w:val="1"/>
                <w:color w:val="auto"/>
              </w:rPr>
              <w:t>incorporated by reference into this prospectus supplement and the accompanying prospectus.</w:t>
            </w:r>
          </w:p>
        </w:tc>
        <w:tc>
          <w:tcPr>
            <w:tcW w:w="0" w:type="dxa"/>
            <w:vAlign w:val="bottom"/>
          </w:tcPr>
          <w:p>
            <w:pPr>
              <w:spacing w:after="0"/>
              <w:rPr>
                <w:sz w:val="1"/>
                <w:szCs w:val="1"/>
                <w:color w:val="auto"/>
              </w:rPr>
            </w:pPr>
          </w:p>
        </w:tc>
      </w:tr>
      <w:tr>
        <w:trPr>
          <w:trHeight w:val="39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9"/>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b w:val="1"/>
                <w:bCs w:val="1"/>
                <w:color w:val="auto"/>
              </w:rPr>
              <w:t>or determined if this prospectus supplement or the accompanying prospectus is truthful or complete. Any representation to the contrary is</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a criminal offense.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Per</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Per</w:t>
            </w:r>
          </w:p>
        </w:tc>
        <w:tc>
          <w:tcPr>
            <w:tcW w:w="140" w:type="dxa"/>
            <w:vAlign w:val="bottom"/>
          </w:tcPr>
          <w:p>
            <w:pPr>
              <w:spacing w:after="0"/>
              <w:rPr>
                <w:sz w:val="11"/>
                <w:szCs w:val="11"/>
                <w:color w:val="auto"/>
              </w:rPr>
            </w:pPr>
          </w:p>
        </w:tc>
        <w:tc>
          <w:tcPr>
            <w:tcW w:w="1260" w:type="dxa"/>
            <w:vAlign w:val="bottom"/>
            <w:gridSpan w:val="4"/>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Pre-Funded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3"/>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Warrant</w:t>
            </w:r>
          </w:p>
        </w:tc>
        <w:tc>
          <w:tcPr>
            <w:tcW w:w="160" w:type="dxa"/>
            <w:vAlign w:val="bottom"/>
          </w:tcPr>
          <w:p>
            <w:pPr>
              <w:spacing w:after="0"/>
              <w:rPr>
                <w:sz w:val="13"/>
                <w:szCs w:val="13"/>
                <w:color w:val="auto"/>
              </w:rPr>
            </w:pPr>
          </w:p>
        </w:tc>
        <w:tc>
          <w:tcPr>
            <w:tcW w:w="2500" w:type="dxa"/>
            <w:vAlign w:val="bottom"/>
            <w:gridSpan w:val="2"/>
          </w:tcPr>
          <w:p>
            <w:pPr>
              <w:jc w:val="right"/>
              <w:ind w:right="19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 discounts and commissions(1)</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Taysha Gene Therapies, Inc., before expenses</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4920" w:type="dxa"/>
            <w:vAlign w:val="bottom"/>
            <w:gridSpan w:val="7"/>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20" w:type="dxa"/>
            <w:vAlign w:val="bottom"/>
            <w:gridSpan w:val="10"/>
          </w:tcPr>
          <w:p>
            <w:pPr>
              <w:ind w:left="40"/>
              <w:spacing w:after="0"/>
              <w:rPr>
                <w:sz w:val="20"/>
                <w:szCs w:val="20"/>
                <w:color w:val="auto"/>
              </w:rPr>
            </w:pPr>
            <w:r>
              <w:rPr>
                <w:rFonts w:ascii="Times New Roman" w:cs="Times New Roman" w:eastAsia="Times New Roman" w:hAnsi="Times New Roman"/>
                <w:sz w:val="16"/>
                <w:szCs w:val="16"/>
                <w:color w:val="auto"/>
              </w:rPr>
              <w:t>(1)  See “Underwriting” for a description of the compensation payable to the underwriters.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We intend to grant the underwriters an option for a period of 30 days to purchase up to </w:t>
            </w:r>
          </w:p>
        </w:tc>
        <w:tc>
          <w:tcPr>
            <w:tcW w:w="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Pr>
          <w:p>
            <w:pPr>
              <w:spacing w:after="0"/>
              <w:rPr>
                <w:sz w:val="24"/>
                <w:szCs w:val="24"/>
                <w:color w:val="auto"/>
              </w:rPr>
            </w:pPr>
          </w:p>
        </w:tc>
        <w:tc>
          <w:tcPr>
            <w:tcW w:w="260" w:type="dxa"/>
            <w:vAlign w:val="bottom"/>
          </w:tcPr>
          <w:p>
            <w:pPr>
              <w:jc w:val="center"/>
              <w:ind w:right="7"/>
              <w:spacing w:after="0"/>
              <w:rPr>
                <w:sz w:val="20"/>
                <w:szCs w:val="20"/>
                <w:color w:val="auto"/>
              </w:rPr>
            </w:pPr>
            <w:r>
              <w:rPr>
                <w:rFonts w:ascii="Times New Roman" w:cs="Times New Roman" w:eastAsia="Times New Roman" w:hAnsi="Times New Roman"/>
                <w:sz w:val="5"/>
                <w:szCs w:val="5"/>
                <w:color w:val="auto"/>
                <w:w w:val="79"/>
              </w:rPr>
              <w:t> </w:t>
            </w:r>
          </w:p>
        </w:tc>
        <w:tc>
          <w:tcPr>
            <w:tcW w:w="4060" w:type="dxa"/>
            <w:vAlign w:val="bottom"/>
            <w:gridSpan w:val="8"/>
          </w:tcPr>
          <w:p>
            <w:pPr>
              <w:jc w:val="right"/>
              <w:ind w:right="621"/>
              <w:spacing w:after="0"/>
              <w:rPr>
                <w:sz w:val="20"/>
                <w:szCs w:val="20"/>
                <w:color w:val="auto"/>
              </w:rPr>
            </w:pPr>
            <w:r>
              <w:rPr>
                <w:rFonts w:ascii="Times New Roman" w:cs="Times New Roman" w:eastAsia="Times New Roman" w:hAnsi="Times New Roman"/>
                <w:sz w:val="16"/>
                <w:szCs w:val="16"/>
                <w:color w:val="auto"/>
              </w:rPr>
              <w:t>additional shares of our common stock at the initial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price to the public less the underwriting discount.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20"/>
          </w:tcPr>
          <w:p>
            <w:pPr>
              <w:ind w:left="40"/>
              <w:spacing w:after="0"/>
              <w:rPr>
                <w:sz w:val="20"/>
                <w:szCs w:val="20"/>
                <w:color w:val="auto"/>
              </w:rPr>
            </w:pPr>
            <w:r>
              <w:rPr>
                <w:rFonts w:ascii="Times New Roman" w:cs="Times New Roman" w:eastAsia="Times New Roman" w:hAnsi="Times New Roman"/>
                <w:sz w:val="16"/>
                <w:szCs w:val="16"/>
                <w:color w:val="auto"/>
              </w:rPr>
              <w:t>The underwriters expect to deliver the shares and pre-funded warrants against payment in New York, New York on June    , 2026.</w:t>
            </w:r>
          </w:p>
        </w:tc>
        <w:tc>
          <w:tcPr>
            <w:tcW w:w="0" w:type="dxa"/>
            <w:vAlign w:val="bottom"/>
          </w:tcPr>
          <w:p>
            <w:pPr>
              <w:spacing w:after="0"/>
              <w:rPr>
                <w:sz w:val="1"/>
                <w:szCs w:val="1"/>
                <w:color w:val="auto"/>
              </w:rPr>
            </w:pPr>
          </w:p>
        </w:tc>
      </w:tr>
      <w:tr>
        <w:trPr>
          <w:trHeight w:val="35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20" w:type="dxa"/>
            <w:vAlign w:val="bottom"/>
            <w:tcBorders>
              <w:bottom w:val="single" w:sz="8" w:color="auto"/>
            </w:tcBorders>
            <w:gridSpan w:val="3"/>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5"/>
          </w:tcPr>
          <w:p>
            <w:pPr>
              <w:jc w:val="center"/>
              <w:ind w:left="2432"/>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Jefferies</w:t>
            </w:r>
          </w:p>
        </w:tc>
        <w:tc>
          <w:tcPr>
            <w:tcW w:w="40" w:type="dxa"/>
            <w:vAlign w:val="bottom"/>
          </w:tcPr>
          <w:p>
            <w:pPr>
              <w:spacing w:after="0"/>
              <w:rPr>
                <w:sz w:val="24"/>
                <w:szCs w:val="24"/>
                <w:color w:val="auto"/>
              </w:rPr>
            </w:pPr>
          </w:p>
        </w:tc>
        <w:tc>
          <w:tcPr>
            <w:tcW w:w="4600" w:type="dxa"/>
            <w:vAlign w:val="bottom"/>
            <w:gridSpan w:val="2"/>
          </w:tcPr>
          <w:p>
            <w:pPr>
              <w:ind w:left="1160"/>
              <w:spacing w:after="0"/>
              <w:rPr>
                <w:sz w:val="20"/>
                <w:szCs w:val="20"/>
                <w:color w:val="auto"/>
              </w:rPr>
            </w:pPr>
            <w:r>
              <w:rPr>
                <w:rFonts w:ascii="Times New Roman" w:cs="Times New Roman" w:eastAsia="Times New Roman" w:hAnsi="Times New Roman"/>
                <w:sz w:val="20"/>
                <w:szCs w:val="20"/>
                <w:b w:val="1"/>
                <w:bCs w:val="1"/>
                <w:color w:val="auto"/>
              </w:rPr>
              <w:t>Goldman Sachs &amp; Co. LLC</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Piper Sandler</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Cantor</w:t>
            </w:r>
          </w:p>
        </w:tc>
        <w:tc>
          <w:tcPr>
            <w:tcW w:w="0" w:type="dxa"/>
            <w:vAlign w:val="bottom"/>
          </w:tcPr>
          <w:p>
            <w:pPr>
              <w:spacing w:after="0"/>
              <w:rPr>
                <w:sz w:val="1"/>
                <w:szCs w:val="1"/>
                <w:color w:val="auto"/>
              </w:rPr>
            </w:pPr>
          </w:p>
        </w:tc>
      </w:tr>
      <w:tr>
        <w:trPr>
          <w:trHeight w:val="44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Lead Manager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Baird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-7966710</wp:posOffset>
            </wp:positionV>
            <wp:extent cx="171450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97205"/>
                    </a:xfrm>
                    <a:prstGeom prst="rect">
                      <a:avLst/>
                    </a:prstGeom>
                    <a:noFill/>
                  </pic:spPr>
                </pic:pic>
              </a:graphicData>
            </a:graphic>
          </wp:anchor>
        </w:drawing>
      </w:r>
    </w:p>
    <w:p>
      <w:pPr>
        <w:sectPr>
          <w:pgSz w:w="11900" w:h="16838" w:orient="portrait"/>
          <w:cols w:equalWidth="0" w:num="1">
            <w:col w:w="11140"/>
          </w:cols>
          <w:pgMar w:left="320" w:top="216" w:right="439" w:bottom="218" w:gutter="0" w:footer="0" w:header="0"/>
        </w:sectPr>
      </w:pPr>
    </w:p>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Prospectus Supplement dated June    , 2026</w:t>
      </w:r>
    </w:p>
    <w:p>
      <w:pPr>
        <w:sectPr>
          <w:pgSz w:w="11900" w:h="16838" w:orient="portrait"/>
          <w:cols w:equalWidth="0" w:num="1">
            <w:col w:w="11140"/>
          </w:cols>
          <w:pgMar w:left="320" w:top="216" w:right="439" w:bottom="21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4"/>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4"/>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6"/>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336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17"/>
                <w:szCs w:val="17"/>
                <w:color w:val="auto"/>
              </w:rPr>
            </w:pPr>
          </w:p>
        </w:tc>
        <w:tc>
          <w:tcPr>
            <w:tcW w:w="540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00" w:type="dxa"/>
            <w:vAlign w:val="bottom"/>
            <w:gridSpan w:val="1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20" w:type="dxa"/>
            <w:vAlign w:val="bottom"/>
            <w:gridSpan w:val="2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PRE-FUNDED WARRANTS</w:t>
            </w:r>
          </w:p>
        </w:tc>
        <w:tc>
          <w:tcPr>
            <w:tcW w:w="464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S-34</w:t>
            </w:r>
          </w:p>
        </w:tc>
      </w:tr>
      <w:tr>
        <w:trPr>
          <w:trHeight w:val="196"/>
        </w:trPr>
        <w:tc>
          <w:tcPr>
            <w:tcW w:w="120" w:type="dxa"/>
            <w:vAlign w:val="bottom"/>
          </w:tcPr>
          <w:p>
            <w:pPr>
              <w:spacing w:after="0"/>
              <w:rPr>
                <w:sz w:val="17"/>
                <w:szCs w:val="17"/>
                <w:color w:val="auto"/>
              </w:rPr>
            </w:pPr>
          </w:p>
        </w:tc>
        <w:tc>
          <w:tcPr>
            <w:tcW w:w="47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94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220" w:type="dxa"/>
            <w:vAlign w:val="bottom"/>
            <w:gridSpan w:val="1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S-49</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S-50</w:t>
            </w:r>
          </w:p>
        </w:tc>
      </w:tr>
      <w:tr>
        <w:trPr>
          <w:trHeight w:val="20"/>
        </w:trPr>
        <w:tc>
          <w:tcPr>
            <w:tcW w:w="120" w:type="dxa"/>
            <w:vAlign w:val="bottom"/>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S-51</w:t>
            </w:r>
          </w:p>
        </w:tc>
      </w:tr>
      <w:tr>
        <w:trPr>
          <w:trHeight w:val="394"/>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20" w:type="dxa"/>
            <w:vAlign w:val="bottom"/>
          </w:tcPr>
          <w:p>
            <w:pPr>
              <w:spacing w:after="0"/>
              <w:rPr>
                <w:sz w:val="16"/>
                <w:szCs w:val="16"/>
                <w:color w:val="auto"/>
              </w:rPr>
            </w:pPr>
          </w:p>
        </w:tc>
        <w:tc>
          <w:tcPr>
            <w:tcW w:w="86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36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4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20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66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6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20" w:type="dxa"/>
            <w:vAlign w:val="bottom"/>
            <w:gridSpan w:val="19"/>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3800" w:type="dxa"/>
            <w:vAlign w:val="bottom"/>
            <w:gridSpan w:val="17"/>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50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S-3ASR (File No. 333-291244) that we filed with the Securities and Exchange Commission, or the SEC, on November 4, 2025, and which became automatically effective upon filing, as a “well-known seasoned issuer” as defined in Rule 405 under the Securities Act of 1933, as amended, or the Securities Act, using an automatic “shelf” registration process. This document is in two parts. The first part is this prospectus supplement, which describes the specific terms of this offering of common stock and pre-funded warrants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The information included or incorporated by reference in this prospectus supplement also adds to, updates and changes information contained or incorporated by reference in the accompanying prospectus.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Before buying any of the shares of common stock and pre-funded warrants offered hereby, we urge you to read carefully this prospectus supplement and the accompanying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If the description of the offering varies between any free writing prospectus we have authorized for use in connection with this offering and this prospectus supplement, you should rely on the information in such free writing prospectus.</w:t>
      </w:r>
    </w:p>
    <w:p>
      <w:pPr>
        <w:spacing w:after="0" w:line="188"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or pre-funded warrants.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supplement, references to “we,” “us,” “our,” “the company” and “Taysha” refer to Taysha Gene Therapies,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forward-looking statements that involve substantial risks and uncertainties. All statements, other than statements of historical fact,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18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67" w:lineRule="exact"/>
        <w:rPr>
          <w:sz w:val="20"/>
          <w:szCs w:val="20"/>
          <w:color w:val="auto"/>
        </w:rPr>
      </w:pPr>
    </w:p>
    <w:p>
      <w:pPr>
        <w:jc w:val="both"/>
        <w:ind w:left="1080" w:right="20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or IND, and Clinical Trial Agreement submissions, initiation of clinical trials and timing of expected clinical results for TSHA-102 for Rett syndrome and any other current and future product candidates that we advance;</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 and strategy, including the scalability and commercial viability of our manufacturing methods and processes;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TSHA-102 or any other current or future product candidate that we advance;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including our next-generation technologies,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litigation and our expectations regarding the outcome of lawsuits and other claims against us and any regulatory or legal proceedings;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term loan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cash runway, future revenue, expenses and needs for additional financing;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proceeds from this offering.</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w:t>
      </w:r>
      <w:r>
        <w:rPr>
          <w:rFonts w:ascii="Times New Roman" w:cs="Times New Roman" w:eastAsia="Times New Roman" w:hAnsi="Times New Roman"/>
          <w:sz w:val="18"/>
          <w:szCs w:val="18"/>
          <w:color w:val="auto"/>
          <w:strike w:val="1"/>
        </w:rPr>
        <w:t>included</w:t>
      </w:r>
      <w:r>
        <w:rPr>
          <w:rFonts w:ascii="Times New Roman" w:cs="Times New Roman" w:eastAsia="Times New Roman" w:hAnsi="Times New Roman"/>
          <w:sz w:val="18"/>
          <w:szCs w:val="18"/>
          <w:color w:val="auto"/>
        </w:rPr>
        <w:t xml:space="preserve"> contained in this prospectus supplement,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spacing w:after="0" w:line="273"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carefully, especially the risks of investing in our common stock discussed under “Risk Factors” beginning on page S-17 of this prospectus supplement and under a similar heading in our Annual Report on Form 10-K for the year ended December 31, 2025, or the 2025 Form 10-K and other documents incorporated by reference into this prospectus supplement and the accompanying prospectus, along with our financial statements and notes to those financial statements and the other information incorporated by reference in this prospectus supplement and the accompanying prospectus, before making an investment decision.</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are evaluating TSHA-102 for the treatment of females with Rett syndrome in our REVEAL and ASPIRE clinical trials.</w:t>
      </w:r>
    </w:p>
    <w:p>
      <w:pPr>
        <w:spacing w:after="0" w:line="225"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The REVEAL Phase 1/2 Adolescent and Adult Trial, also known as Part A,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patients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and Canada. A total of six patients aged 6 to 8 years were treated with TSHA-102 in this study, and enrollment for this trial is also complete.</w:t>
      </w:r>
    </w:p>
    <w:p>
      <w:pPr>
        <w:spacing w:after="0" w:line="192" w:lineRule="exact"/>
        <w:rPr>
          <w:sz w:val="20"/>
          <w:szCs w:val="20"/>
          <w:color w:val="auto"/>
        </w:rPr>
      </w:pPr>
    </w:p>
    <w:p>
      <w:pPr>
        <w:ind w:left="300" w:right="40"/>
        <w:spacing w:after="0" w:line="296" w:lineRule="auto"/>
        <w:rPr>
          <w:sz w:val="20"/>
          <w:szCs w:val="20"/>
          <w:color w:val="auto"/>
        </w:rPr>
      </w:pPr>
      <w:r>
        <w:rPr>
          <w:rFonts w:ascii="Times New Roman" w:cs="Times New Roman" w:eastAsia="Times New Roman" w:hAnsi="Times New Roman"/>
          <w:sz w:val="18"/>
          <w:szCs w:val="18"/>
          <w:color w:val="auto"/>
        </w:rPr>
        <w:t>We have completed dosing of the 12 patients aged 6 to 21 years in Part A of both REVEAL trials, which includes eight patients in cohort two (high dose, 1x10</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total vg).</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Longer-Term Results from Part A of REVEAL Trials as of May 2026 Data Cutoff</w:t>
      </w:r>
    </w:p>
    <w:p>
      <w:pPr>
        <w:spacing w:after="0" w:line="119" w:lineRule="exact"/>
        <w:rPr>
          <w:sz w:val="20"/>
          <w:szCs w:val="20"/>
          <w:color w:val="auto"/>
        </w:rPr>
      </w:pPr>
    </w:p>
    <w:p>
      <w:pPr>
        <w:jc w:val="both"/>
        <w:ind w:left="300" w:right="440"/>
        <w:spacing w:after="0" w:line="266" w:lineRule="auto"/>
        <w:rPr>
          <w:sz w:val="20"/>
          <w:szCs w:val="20"/>
          <w:color w:val="auto"/>
        </w:rPr>
      </w:pPr>
      <w:r>
        <w:rPr>
          <w:rFonts w:ascii="Times New Roman" w:cs="Times New Roman" w:eastAsia="Times New Roman" w:hAnsi="Times New Roman"/>
          <w:sz w:val="18"/>
          <w:szCs w:val="18"/>
          <w:color w:val="auto"/>
        </w:rPr>
        <w:t>Developmental milestones are defined as a functional gain of one or more of the 28 milestones defined in the natural history study. This is the primary evidence of efficacy that will support our planned BLA submission and the FDA’s review of efficacy in the REVEAL pivotal trial. In REVEAL Part A, developmental milestones were assessed by multiple independent raters through video-evidenced evaluation.</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44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12 patients treated in REVEAL Part A ranged from 6 to 21 years of age at dosing, with post-treatment follow-up spanning 12 to 30 months. We enrolled patients across a broad spectrum of disease severity, as assessed by the Clinical Global Impression-Severity, or CGI-S scale --a 7-point, clinician-rated assessment of illness severity ranging from 1 (normal/not at all ill) to 7 (among the most extremely ill). Baseline scores ranged from 4 to 6, reflecting moderately to severely ill patients.</w:t>
      </w:r>
    </w:p>
    <w:p>
      <w:pPr>
        <w:spacing w:after="0" w:line="180"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As of the May 2026 data cutoff, 100% of the 12 patients in REVEAL Part A gained or regained ≥ one developmental milestone across the core functional domains of fine motor, gross motor and communication post-treatment with TSHA-102. These results were seen despite the broad range in age and disease severity,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00" w:right="60"/>
        <w:spacing w:after="0" w:line="289" w:lineRule="auto"/>
        <w:rPr>
          <w:sz w:val="20"/>
          <w:szCs w:val="20"/>
          <w:color w:val="auto"/>
        </w:rPr>
      </w:pPr>
      <w:r>
        <w:rPr>
          <w:rFonts w:ascii="Times New Roman" w:cs="Times New Roman" w:eastAsia="Times New Roman" w:hAnsi="Times New Roman"/>
          <w:sz w:val="17"/>
          <w:szCs w:val="17"/>
          <w:color w:val="auto"/>
        </w:rPr>
        <w:t>A total of 31 developmental milestones were achieved across the 12 patients post-treatment, spanning the core functional domains of Rett syndrome of communication, fine motor, and gross motor function. These achievements represent the breadth of response demonstrated and reflect meaningful improvements in daily living that are important to caregivers, families, and clinicians. The milestones achieved are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67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Many patients achieved milestones as early as 3 months post-TSHA-102. These gains were persistent, and patients continued to accumulate additional milestones over time across all three core disease domains. The total number of developmental milestones achieved across the patients increased from 16 at 6 months to 27 at 12 months, representing a 69% increase, and to 31 at ≥12 months, representing a 94% increase. The majority of patients achieved multiple developmental milestones, with 75% of high-dose patients achieving two developmental milestones or more post-TSHA-102.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also observed clinically meaningful skill gains and improvements in core disease characteristics beyond the 28 natural history-defined developmental milestones, which were assessed through rigorous video-evidenced evaluation and validated scales. Together, the developmental milestones and additional skills and improvements reflect the totality of functional gains seen post-TSHA-102 that impact activities of daily living. At ≥12 months post-TSHA-102, a total of 310 functional gains were observed, translating to an average of 26 per patient. We believe these durable, multi-domain functional gains that accumulated over time reflect the broad functional impact of TSHA-102.</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total functional gains seen post-TSHA-102 is depicted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Improvements were also observed across multiple clinician-assessed outcome measures, including Revised Motor Behavior Assessment (R-MBA), Clinician Global Impression – Improvement (CGI-I), and Clinical Global Impression – Severity (CGI-S), all of which corroborated the functional gains demonstrated post-TSHA-102.</w:t>
      </w:r>
    </w:p>
    <w:p>
      <w:pPr>
        <w:spacing w:after="0" w:line="176" w:lineRule="exact"/>
        <w:rPr>
          <w:sz w:val="20"/>
          <w:szCs w:val="20"/>
          <w:color w:val="auto"/>
        </w:rPr>
      </w:pPr>
    </w:p>
    <w:p>
      <w:pPr>
        <w:ind w:left="300" w:right="80"/>
        <w:spacing w:after="0" w:line="272" w:lineRule="auto"/>
        <w:rPr>
          <w:sz w:val="20"/>
          <w:szCs w:val="20"/>
          <w:color w:val="auto"/>
        </w:rPr>
      </w:pPr>
      <w:r>
        <w:rPr>
          <w:rFonts w:ascii="Times New Roman" w:cs="Times New Roman" w:eastAsia="Times New Roman" w:hAnsi="Times New Roman"/>
          <w:sz w:val="17"/>
          <w:szCs w:val="17"/>
          <w:color w:val="auto"/>
        </w:rPr>
        <w:t>R-MBA demonstrated a consistent and robust treatment effect across all 12 patients at both 6- and 12-months post-TSHA-102. Mean change from baseline showed statistically significant improvement at both time points compared to natural history data, as depicted in the graph below, which suggests a reversal of the expected disease trajectory. The treatment effect demonstrated greater statistical separation from natural history at</w:t>
      </w:r>
    </w:p>
    <w:p>
      <w:pPr>
        <w:spacing w:after="0" w:line="2"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12 months than at 6 months, as reflected by a lower p-value. Beyond 12 months, the treatment effect continued to increase, with a clear dose-dependent separation. High-dose patients achieved a mean improvement of 15.7 points compared to 7.8 points in the low-dose cohort. We believe these results support the therapeutic potentail of TSHA-102.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0" w:right="20" w:hanging="422"/>
        <w:spacing w:after="0" w:line="236" w:lineRule="auto"/>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May 2026 data cutoff (N=12 at 6 and 12 months, N=7 at ≥18 months post-TSHA-102). Statistical analyses are based on May 2026 data cutoff (N=12). 1R-MBA assessed in Rett syndrome NHS at ~6 and ~12 months; MBA natural history data converted to R-MBA; mean scores reported were calculated from baseline to 6 and 12 months: Accessed from International Rett Syndrome Foundation (IRSF). ClinicalTrials.gov: NCT02738281: a prospective cohort of individuals with a pathologic mutation in the MECP2 gene, commonly associated with RTT.</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00"/>
          </w:cols>
          <w:pgMar w:left="320" w:top="455"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40"/>
        <w:spacing w:after="0" w:line="289" w:lineRule="auto"/>
        <w:rPr>
          <w:sz w:val="20"/>
          <w:szCs w:val="20"/>
          <w:color w:val="auto"/>
        </w:rPr>
      </w:pPr>
      <w:r>
        <w:rPr>
          <w:rFonts w:ascii="Times New Roman" w:cs="Times New Roman" w:eastAsia="Times New Roman" w:hAnsi="Times New Roman"/>
          <w:sz w:val="17"/>
          <w:szCs w:val="17"/>
          <w:color w:val="auto"/>
        </w:rPr>
        <w:t>TSHA-102 drove early, sustained global improvement in CGI-I, with dose-dependent effects that deepened over time, as summarized in the table below. 100% of the patients demonstrated an improved CGI-I score of 3 or less at multiple post-treatment assessments. Mean CGI-I scores in the high dose cohort were less than 3 at all assessments and improved over time, reaching 1.7 in the high-dose cohort at 18 months post-treatment.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line="273" w:lineRule="auto"/>
        <w:rPr>
          <w:sz w:val="20"/>
          <w:szCs w:val="20"/>
          <w:color w:val="auto"/>
        </w:rPr>
      </w:pPr>
      <w:r>
        <w:rPr>
          <w:rFonts w:ascii="Times New Roman" w:cs="Times New Roman" w:eastAsia="Times New Roman" w:hAnsi="Times New Roman"/>
          <w:sz w:val="17"/>
          <w:szCs w:val="17"/>
          <w:color w:val="auto"/>
        </w:rPr>
        <w:t>TSHA-102 demonstrated robust, clinically meaningful responses at both 6 and at 12 months and beyond across multiple key outcome measures. Importantly, we observed an 83% response rate at 6 months and a 100% response rate at 12 months, exceeding the FDA-aligned minimum threshold for the pivotal trial (33% response rate), which further bolsters our confidence in our pivotal trial 6-month interim analysis, in addition to total functional gains observed, R-MBA, CGI-I, and CGI-S data all demonstrating significant and consistent response at 6 months, 12 months and beyond. Further, the FDA has agreed that our clinical and final commercial manufacturing processes are considered comparable, which enables us to include this REVEAL Part A data in our BLA to support the totality of evidence. We believe this alignment further supports the possibility of a BLA submission based on the pivotal trial interim analysis. The responses for both the high and low dose cohorts of Part A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80"/>
          </w:cols>
          <w:pgMar w:left="320" w:top="455"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04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As of the May 2026 data cutoff, TSHA-102 was generally well tolerated with no treatment-related serious adverse events, or SAEs, or dose limiting toxicities, or DLTs, and all treatment-emergent adverse events related to TSHA-102 were mild to moderate in severity. Across the 29 patients treated in the REVEAL Part A and pivotal trials, there have been no treatment related SAEs or DLTs as of the June 2026 data cutoff. The number of adverse events across 12 pediatric, adolescent, and adult patients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20" w:hanging="422"/>
        <w:spacing w:after="0"/>
        <w:tabs>
          <w:tab w:leader="none" w:pos="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REVEAL Part A data cut May 2026 (N=12).</w:t>
      </w:r>
    </w:p>
    <w:p>
      <w:pPr>
        <w:spacing w:after="0" w:line="4" w:lineRule="exact"/>
        <w:rPr>
          <w:sz w:val="20"/>
          <w:szCs w:val="20"/>
          <w:color w:val="auto"/>
        </w:rPr>
      </w:pPr>
    </w:p>
    <w:p>
      <w:pPr>
        <w:ind w:left="720" w:hanging="422"/>
        <w:spacing w:after="0"/>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REVEAL part A and pivotal trial study safety data cut June 2026 (N=29).</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REVEAL Pivotal Trial</w:t>
      </w:r>
    </w:p>
    <w:p>
      <w:pPr>
        <w:spacing w:after="0" w:line="11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TSHA-102 clinical development program is designed to support the potential future approval of TSHA-102 for a broad population of patients aged 2 years and older with Rett syndrome through an efficient and rigorously designed pathway. In close collaboration with the United States Food and Drug Administration, or FDA, we designed the TSHA-102 pivotal program so that efficacy data from the REVEAL pivotal trial in patients aged 6 to &lt;22 years who have reached developmental plateau can be used to represent patients aged 2 to &lt;6 years, while safety data in younger children are generated through the separate ASPIRE trial to support the potential for a broad label for TSHA-102.</w:t>
      </w:r>
    </w:p>
    <w:p>
      <w:pPr>
        <w:spacing w:after="0" w:line="183"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The REVEAL pivotal trial, also known as Part B, is a single-arm, open-label study evaluating the efficacy and safety of high dose TSHA-102 as a single lumbar intrathecal administration in females aged 6 to &lt;22 years with Rett syndrome due to MECP2 loss-of-function mutation, with each patient serving as their own control. The trial is taking place in the United States. The study enrolled females in the developmental plateau population of Rett syndrome; these patients have an exceedingly low likelihood (0% to &lt;6.7%) of gaining new or regaining developmental milestones that were lost after a defined number of years, based on our analysis of the National Institutes of Health, or NIH, -funded International Rett Syndrome Foundation’s natural history study data. The primary endpoint will assess response rate, defined as the percentage of patients who gain or regain at least one developmental milestone from a list of 28 natural-history defined milestones across the core functional domains of communication, fine motor and gross motor, following administration of TSHA-102. The response rate of 33% is the minimum threshold for success sufficient to reject the natural history established null hypothesis of 6.7%.</w:t>
      </w:r>
    </w:p>
    <w:p>
      <w:pPr>
        <w:spacing w:after="0" w:line="188" w:lineRule="exact"/>
        <w:rPr>
          <w:sz w:val="20"/>
          <w:szCs w:val="20"/>
          <w:color w:val="auto"/>
        </w:rPr>
      </w:pPr>
    </w:p>
    <w:p>
      <w:pPr>
        <w:ind w:left="300" w:right="280"/>
        <w:spacing w:after="0" w:line="266" w:lineRule="auto"/>
        <w:rPr>
          <w:sz w:val="20"/>
          <w:szCs w:val="20"/>
          <w:color w:val="auto"/>
        </w:rPr>
      </w:pPr>
      <w:r>
        <w:rPr>
          <w:rFonts w:ascii="Times New Roman" w:cs="Times New Roman" w:eastAsia="Times New Roman" w:hAnsi="Times New Roman"/>
          <w:sz w:val="18"/>
          <w:szCs w:val="18"/>
          <w:color w:val="auto"/>
        </w:rPr>
        <w:t>We have completed dosing of the 17 patients aged 6 to &lt;22 years in the overenrolled REVEAL pivotal trial, and enrollment for this trial is complete with a well balanced age distribution across all pediatric, adolescent and adult patients dosed. As of the June 2026 data cutoff for the REVEAL pivotal trial, TSHA-102 was generally well tolerated in the 17 patients, with no treatment-related SAEs or DLTs reported.</w:t>
      </w:r>
    </w:p>
    <w:p>
      <w:pPr>
        <w:spacing w:after="0" w:line="2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20"/>
          </w:cols>
          <w:pgMar w:left="320" w:top="455" w:right="7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 The interim analysis to support the planned and FDA-aligned BLA submission is expected to occur after all 17 patients complete six months of post-treatment follow-up. Subsequently, we plan to discuss data from the 6-month interim analysis and next steps toward the BLA submission pathway with the FDA in early 2027, with topline data and regulatory feedback anticipated in the first half of 2027.</w:t>
      </w:r>
    </w:p>
    <w:p>
      <w:pPr>
        <w:spacing w:after="0" w:line="183" w:lineRule="exact"/>
        <w:rPr>
          <w:sz w:val="20"/>
          <w:szCs w:val="20"/>
          <w:color w:val="auto"/>
        </w:rPr>
      </w:pPr>
    </w:p>
    <w:p>
      <w:pPr>
        <w:ind w:left="300" w:right="20"/>
        <w:spacing w:after="0" w:line="238" w:lineRule="auto"/>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which we refer to as the ASPIRE trial, and the data for inclusion in the planned BLA submission to enable potential broad labeling of TSHA-102 for patients aged ≥2 years with Rett syndrome. ASPIRE is enrolling four females aged 2 to &lt;4 years with Rett syndrome to evaluate the safety and preliminary efficacy of a single intrathecal administration of high dose TSHA-102 (1x10</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total vg), scaled to account for the lower brain volume in 2 to &lt;4-year-olds. A minimum of three months of ASPIRE safety data will be included in the planned BLA submission, while efficacy in the 2 to &lt;6-year-old population will be extrapolated from data collected in the REVEAL pivotal trial. The ASPIRE trial is ongoing, with enrollment of four patients exceeding the initial target of three patients.</w:t>
      </w:r>
    </w:p>
    <w:p>
      <w:pPr>
        <w:spacing w:after="0" w:line="200" w:lineRule="exact"/>
        <w:rPr>
          <w:sz w:val="20"/>
          <w:szCs w:val="20"/>
          <w:color w:val="auto"/>
        </w:rPr>
      </w:pPr>
    </w:p>
    <w:p>
      <w:pPr>
        <w:ind w:left="300" w:right="520"/>
        <w:spacing w:after="0" w:line="282" w:lineRule="auto"/>
        <w:rPr>
          <w:sz w:val="20"/>
          <w:szCs w:val="20"/>
          <w:color w:val="auto"/>
        </w:rPr>
      </w:pPr>
      <w:r>
        <w:rPr>
          <w:rFonts w:ascii="Times New Roman" w:cs="Times New Roman" w:eastAsia="Times New Roman" w:hAnsi="Times New Roman"/>
          <w:sz w:val="18"/>
          <w:szCs w:val="18"/>
          <w:color w:val="auto"/>
        </w:rPr>
        <w:t>Topline data from the REVEAL pivotal trial 6-month interim analysis and FDA feedback on the BLA submission pathway for TSHA-102 is expected in the first half of 2027.</w:t>
      </w:r>
    </w:p>
    <w:p>
      <w:pPr>
        <w:spacing w:after="0" w:line="162"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We reached written alignment with the FDA on Chemistry, Manufacturing and Controls, or CMC, requirements to support a planned BLA submission for TSHA-102 following a Type C meeting. We further aligned with the FDA on our proposed comparability approach between TSHA-102 material derived from the clinical and final commercial manufacturing processes. The FDA agreed that this approach may support pooling data from the REVEAL Phase 1/2 trials with data from the ongoing REVEAL pivotal and ASPIRE trials for the planned BLA submission. The FDA also endorsed our proposed Process Performance Qualification, or PPQ, campaign strategy to support process validation for the BLA submission, including the stability data package, the potency assay strategy, and the execution of BLA-enabling PPQ lots using the commercial manufacturing process. We initiated our PPQ campaign in April 2026 and expect to complete the campaign in the fourth quarter of 2026. Initiating the PPQ campaign ensures our CMC activities remain aligned with our clinical development timelines for the planned BLA submission.</w:t>
      </w:r>
    </w:p>
    <w:p>
      <w:pPr>
        <w:spacing w:after="0" w:line="172"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In February 2024, we received Innovative Licensing and Access Pathway, or ILAP, designation for TSHA-102 from the U.K. Medicines and Healthcare Products Regulatory Agency. The ILAP aims to facilitate patient access to novel treatments by accelerating time to market through opportunities for enhanced engagements with U.K. regulatory authorities and other stakeholders.</w:t>
      </w:r>
    </w:p>
    <w:p>
      <w:pPr>
        <w:spacing w:after="0" w:line="183"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27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00" w:right="16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are discussed more fully in the section titled “Risk Factors” immediately following this prospectus summary and under similar headings in our filings with the SEC which are incorporated by reference in this prospectus supplement and the accompanying prospectus. These risks include the following:</w:t>
      </w:r>
    </w:p>
    <w:p>
      <w:pPr>
        <w:spacing w:after="0" w:line="81" w:lineRule="exact"/>
        <w:rPr>
          <w:sz w:val="20"/>
          <w:szCs w:val="20"/>
          <w:color w:val="auto"/>
        </w:rPr>
      </w:pPr>
    </w:p>
    <w:p>
      <w:pPr>
        <w:ind w:left="1240" w:right="1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81"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completed testing of any product candidate in clinical trials. Success in preclinical studies or earlier clinical trials, including our Phase 1/2 REVEAL trials of TSHA-102, may not be indicative of results in future clinical trials, or provide support for the submission of a marketing application.</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TSHA-102. There is no guarantee that we will be able to successfully develop and commercialize TSHA-102. If we are unable to complete development of, obtain regulatory approval for and commercialize TSHA-102 in one or more indications and in a timely manner, our business, financial condition, results of operations and prospects will be significantly harmed.</w:t>
      </w:r>
    </w:p>
    <w:p>
      <w:pPr>
        <w:spacing w:after="0" w:line="85"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novel gene therapy product candidates, which makes it difficult to predict the time, cost and potential success of product candidate development.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93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36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European Medicines Agency and comparable foreign authorities are lengthy, time consuming and inherently unpredictable. If we are not able to obtain required regulatory approval for our product candidates, our business will be substantially harmed.</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legislative or regulatory reform measures may have a negative impact on our business and results of operations.</w:t>
      </w:r>
    </w:p>
    <w:p>
      <w:pPr>
        <w:spacing w:after="0" w:line="130" w:lineRule="exact"/>
        <w:rPr>
          <w:rFonts w:ascii="Times New Roman" w:cs="Times New Roman" w:eastAsia="Times New Roman" w:hAnsi="Times New Roman"/>
          <w:sz w:val="18"/>
          <w:szCs w:val="18"/>
          <w:color w:val="auto"/>
        </w:rPr>
      </w:pPr>
    </w:p>
    <w:p>
      <w:pPr>
        <w:ind w:left="1240" w:right="8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or our next-generation platform technologies.</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could limit our ability to grow our business and negatively affect our results of operations.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1"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69" w:lineRule="exact"/>
        <w:rPr>
          <w:rFonts w:ascii="Times New Roman" w:cs="Times New Roman" w:eastAsia="Times New Roman" w:hAnsi="Times New Roman"/>
          <w:sz w:val="17"/>
          <w:szCs w:val="17"/>
          <w:color w:val="auto"/>
        </w:rPr>
      </w:pPr>
    </w:p>
    <w:p>
      <w:pPr>
        <w:ind w:left="1240" w:right="8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from time to time which seek material damages.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loan agreement contains restrictions that potentially limit our flexibility in operating our business, and we may be required to make a prepayment or repay our outstanding indebtedness earlier than we expect.</w:t>
      </w:r>
    </w:p>
    <w:p>
      <w:pPr>
        <w:spacing w:after="0" w:line="67"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any of our product candidates, we may not be able to compete effectively in our market.</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including as a result of this offering, may cause dilution to our stockholders, restrict our operations or require us to relinquish rights to our product candidates.</w:t>
      </w:r>
    </w:p>
    <w:p>
      <w:pPr>
        <w:spacing w:after="0" w:line="67" w:lineRule="exact"/>
        <w:rPr>
          <w:rFonts w:ascii="Times New Roman" w:cs="Times New Roman" w:eastAsia="Times New Roman" w:hAnsi="Times New Roman"/>
          <w:sz w:val="18"/>
          <w:szCs w:val="18"/>
          <w:color w:val="auto"/>
        </w:rPr>
      </w:pPr>
    </w:p>
    <w:p>
      <w:pPr>
        <w:ind w:left="1240" w:right="8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shares of common stock or pre-funded warrants in this offering, you will suffer immediate dilution of your investment.</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841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284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over the use of our cash and cash equivalents, including the net proceeds we receive in this offering, and may not use them effectively.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Texas in September 2019. In February 2020, we converted to a Delaware corporation. Our principal executive offices are located at 3000 Pegasus Park Drive, Suite 1430, Dallas, Texas 75247 and our telephone number is (214) 612-0000. Our website address is www.tayshagtx.com. The information contained on, or accessible through, our website is not incorporated by reference into this prospectus supplement. We have included our website in this prospectus supplement solely as an inactive textual reference.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100"/>
        <w:spacing w:after="0" w:line="276" w:lineRule="auto"/>
        <w:rPr>
          <w:sz w:val="20"/>
          <w:szCs w:val="20"/>
          <w:color w:val="auto"/>
        </w:rPr>
      </w:pPr>
      <w:r>
        <w:rPr>
          <w:rFonts w:ascii="Times New Roman" w:cs="Times New Roman" w:eastAsia="Times New Roman" w:hAnsi="Times New Roman"/>
          <w:sz w:val="17"/>
          <w:szCs w:val="17"/>
          <w:color w:val="auto"/>
        </w:rPr>
        <w:t>We are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left="520" w:hanging="22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w:t>
      </w:r>
    </w:p>
    <w:p>
      <w:pPr>
        <w:spacing w:after="0" w:line="9" w:lineRule="exact"/>
        <w:rPr>
          <w:rFonts w:ascii="Times New Roman" w:cs="Times New Roman" w:eastAsia="Times New Roman" w:hAnsi="Times New Roman"/>
          <w:sz w:val="18"/>
          <w:szCs w:val="18"/>
          <w:color w:val="auto"/>
        </w:rPr>
      </w:pPr>
    </w:p>
    <w:p>
      <w:pPr>
        <w:ind w:lef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recently completed fiscal year and the market value of our shares held by non-affiliates is less than $700 million. We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00"/>
          </w:cols>
          <w:pgMar w:left="320" w:top="455" w:right="6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81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300" w:right="660"/>
        <w:spacing w:after="0" w:line="443" w:lineRule="auto"/>
        <w:rPr>
          <w:sz w:val="20"/>
          <w:szCs w:val="20"/>
          <w:color w:val="auto"/>
        </w:rPr>
      </w:pPr>
      <w:r>
        <w:rPr>
          <w:rFonts w:ascii="Times New Roman" w:cs="Times New Roman" w:eastAsia="Times New Roman" w:hAnsi="Times New Roman"/>
          <w:sz w:val="18"/>
          <w:szCs w:val="18"/>
          <w:b w:val="1"/>
          <w:bCs w:val="1"/>
          <w:color w:val="auto"/>
        </w:rPr>
        <w:t>Common stock offered by us Pre-funded warrants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14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are also offering, in lieu of common stock to certain investors that so choose, pre-funded warrants to purchase up to         shares of our common stock. The purchase price of each pre-funded warrant will equal the price per share at which the shares of our common stock are being sold to the public in this offering, minus $0.001, which is the exercise price of each pre-funded warrant per share. Each pre-funded warrant will be exercisable at any time after the date of issuance of such pre-funded warrant, subject to an ownership limitation. See “Description of the Pre-Funded Warrants” on page S-31 of this prospectus supplement. This prospectus supplement also relates to the offering of the shares of our common stock issuable upon exercise of the pre-funded warrants.</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1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 option to purchase additional shares</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5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shares (or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w:t>
            </w:r>
          </w:p>
        </w:tc>
        <w:tc>
          <w:tcPr>
            <w:tcW w:w="4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w:t>
            </w:r>
          </w:p>
        </w:tc>
      </w:tr>
      <w:tr>
        <w:trPr>
          <w:trHeight w:val="22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662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w w:val="99"/>
              </w:rPr>
              <w:t>purchase additional shares), assuming no exercise of any pre-funded warrants issued in this</w:t>
            </w:r>
          </w:p>
        </w:tc>
      </w:tr>
      <w:tr>
        <w:trPr>
          <w:trHeight w:val="234"/>
        </w:trPr>
        <w:tc>
          <w:tcPr>
            <w:tcW w:w="3980" w:type="dxa"/>
            <w:vAlign w:val="bottom"/>
          </w:tcPr>
          <w:p>
            <w:pPr>
              <w:spacing w:after="0"/>
              <w:rPr>
                <w:sz w:val="20"/>
                <w:szCs w:val="20"/>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4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2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 xml:space="preserve">We estimate that the net proceeds from this offering will be approximately $          </w:t>
            </w:r>
          </w:p>
        </w:tc>
      </w:tr>
      <w:tr>
        <w:trPr>
          <w:trHeight w:val="216"/>
        </w:trPr>
        <w:tc>
          <w:tcPr>
            <w:tcW w:w="3980" w:type="dxa"/>
            <w:vAlign w:val="bottom"/>
          </w:tcPr>
          <w:p>
            <w:pPr>
              <w:spacing w:after="0"/>
              <w:rPr>
                <w:sz w:val="18"/>
                <w:szCs w:val="18"/>
                <w:color w:val="auto"/>
              </w:rPr>
            </w:pPr>
          </w:p>
        </w:tc>
        <w:tc>
          <w:tcPr>
            <w:tcW w:w="21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xml:space="preserve">million (or approximately $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million if the underwriters exercise in full their</w:t>
            </w:r>
          </w:p>
        </w:tc>
      </w:tr>
      <w:tr>
        <w:trPr>
          <w:trHeight w:val="216"/>
        </w:trPr>
        <w:tc>
          <w:tcPr>
            <w:tcW w:w="3980" w:type="dxa"/>
            <w:vAlign w:val="bottom"/>
          </w:tcPr>
          <w:p>
            <w:pPr>
              <w:spacing w:after="0"/>
              <w:rPr>
                <w:sz w:val="18"/>
                <w:szCs w:val="18"/>
                <w:color w:val="auto"/>
              </w:rPr>
            </w:pPr>
          </w:p>
        </w:tc>
        <w:tc>
          <w:tcPr>
            <w:tcW w:w="19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2"/>
              </w:rPr>
              <w:t>option to purchase up to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shares of common stock), assuming a public</w:t>
            </w:r>
          </w:p>
        </w:tc>
      </w:tr>
      <w:tr>
        <w:trPr>
          <w:trHeight w:val="234"/>
        </w:trPr>
        <w:tc>
          <w:tcPr>
            <w:tcW w:w="3980" w:type="dxa"/>
            <w:vAlign w:val="bottom"/>
          </w:tcPr>
          <w:p>
            <w:pPr>
              <w:spacing w:after="0"/>
              <w:rPr>
                <w:sz w:val="20"/>
                <w:szCs w:val="20"/>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offering price of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 share and $            per pre-funded warrant, after</w:t>
            </w:r>
          </w:p>
        </w:tc>
      </w:tr>
    </w:tbl>
    <w:p>
      <w:pPr>
        <w:ind w:left="4340" w:right="360"/>
        <w:spacing w:after="0" w:line="255" w:lineRule="auto"/>
        <w:rPr>
          <w:sz w:val="20"/>
          <w:szCs w:val="20"/>
          <w:color w:val="auto"/>
        </w:rPr>
      </w:pPr>
      <w:r>
        <w:rPr>
          <w:rFonts w:ascii="Times New Roman" w:cs="Times New Roman" w:eastAsia="Times New Roman" w:hAnsi="Times New Roman"/>
          <w:sz w:val="18"/>
          <w:szCs w:val="18"/>
          <w:color w:val="auto"/>
        </w:rPr>
        <w:t>deducting the underwriting discounts and commissions and estimated offering expenses payable by us. These estimates exclude the nominal proceeds, if any, from the exercise of the pre-funded warrants sold in this offering.</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current</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cash and cash equivalents, to fund the regulatory and manufacturing development and</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anticipated commercial launch, if approved, of TSHA-102 in Rett syndrome and clinical</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and preclinical development of other pipeline candidates and general working capital</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purposes. See the section titled “Use of Proceeds” beginning on page S-20 for additional</w:t>
            </w:r>
          </w:p>
        </w:tc>
      </w:tr>
      <w:tr>
        <w:trPr>
          <w:trHeight w:val="234"/>
        </w:trPr>
        <w:tc>
          <w:tcPr>
            <w:tcW w:w="2660" w:type="dxa"/>
            <w:vAlign w:val="bottom"/>
          </w:tcPr>
          <w:p>
            <w:pPr>
              <w:spacing w:after="0"/>
              <w:rPr>
                <w:sz w:val="20"/>
                <w:szCs w:val="20"/>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information.</w:t>
            </w:r>
          </w:p>
        </w:tc>
      </w:tr>
      <w:tr>
        <w:trPr>
          <w:trHeight w:val="441"/>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page S-17 and page 8 of the accompanying prospectus, respectively, and the “Risk Factors”</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section in our 2025 Form 10-K and other documents incorporated by reference into this</w:t>
            </w:r>
          </w:p>
        </w:tc>
      </w:tr>
      <w:tr>
        <w:trPr>
          <w:trHeight w:val="216"/>
        </w:trPr>
        <w:tc>
          <w:tcPr>
            <w:tcW w:w="2660" w:type="dxa"/>
            <w:vAlign w:val="bottom"/>
          </w:tcPr>
          <w:p>
            <w:pPr>
              <w:spacing w:after="0"/>
              <w:rPr>
                <w:sz w:val="18"/>
                <w:szCs w:val="18"/>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prospectus supplement and the accompanying prospectus, for a discussion of factors to</w:t>
            </w:r>
          </w:p>
        </w:tc>
      </w:tr>
      <w:tr>
        <w:trPr>
          <w:trHeight w:val="234"/>
        </w:trPr>
        <w:tc>
          <w:tcPr>
            <w:tcW w:w="2660" w:type="dxa"/>
            <w:vAlign w:val="bottom"/>
          </w:tcPr>
          <w:p>
            <w:pPr>
              <w:spacing w:after="0"/>
              <w:rPr>
                <w:sz w:val="20"/>
                <w:szCs w:val="20"/>
                <w:color w:val="auto"/>
              </w:rPr>
            </w:pPr>
          </w:p>
        </w:tc>
        <w:tc>
          <w:tcPr>
            <w:tcW w:w="83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consider carefully before deciding to invest in our securities.</w:t>
            </w:r>
          </w:p>
        </w:tc>
      </w:tr>
      <w:tr>
        <w:trPr>
          <w:trHeight w:val="172"/>
        </w:trPr>
        <w:tc>
          <w:tcPr>
            <w:tcW w:w="2660" w:type="dxa"/>
            <w:vAlign w:val="bottom"/>
            <w:tcBorders>
              <w:bottom w:val="single" w:sz="8" w:color="auto"/>
            </w:tcBorders>
          </w:tcPr>
          <w:p>
            <w:pPr>
              <w:spacing w:after="0"/>
              <w:rPr>
                <w:sz w:val="14"/>
                <w:szCs w:val="14"/>
                <w:color w:val="auto"/>
              </w:rPr>
            </w:pPr>
          </w:p>
        </w:tc>
        <w:tc>
          <w:tcPr>
            <w:tcW w:w="8360" w:type="dxa"/>
            <w:vAlign w:val="bottom"/>
            <w:tcBorders>
              <w:bottom w:val="single" w:sz="8" w:color="auto"/>
            </w:tcBorders>
          </w:tcPr>
          <w:p>
            <w:pPr>
              <w:spacing w:after="0"/>
              <w:rPr>
                <w:sz w:val="14"/>
                <w:szCs w:val="14"/>
                <w:color w:val="auto"/>
              </w:rPr>
            </w:pPr>
          </w:p>
        </w:tc>
      </w:tr>
      <w:tr>
        <w:trPr>
          <w:trHeight w:val="361"/>
        </w:trPr>
        <w:tc>
          <w:tcPr>
            <w:tcW w:w="2660" w:type="dxa"/>
            <w:vAlign w:val="bottom"/>
          </w:tcPr>
          <w:p>
            <w:pPr>
              <w:spacing w:after="0"/>
              <w:rPr>
                <w:sz w:val="24"/>
                <w:szCs w:val="24"/>
                <w:color w:val="auto"/>
              </w:rPr>
            </w:pPr>
          </w:p>
        </w:tc>
        <w:tc>
          <w:tcPr>
            <w:tcW w:w="83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S-15</w:t>
            </w:r>
          </w:p>
        </w:tc>
      </w:tr>
    </w:tbl>
    <w:p>
      <w:pPr>
        <w:sectPr>
          <w:pgSz w:w="11900" w:h="16838" w:orient="portrait"/>
          <w:cols w:equalWidth="0" w:num="1">
            <w:col w:w="11140"/>
          </w:cols>
          <w:pgMar w:left="320" w:top="455"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716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Select</w:t>
      </w:r>
    </w:p>
    <w:p>
      <w:pPr>
        <w:spacing w:after="0" w:line="31" w:lineRule="exact"/>
        <w:rPr>
          <w:sz w:val="20"/>
          <w:szCs w:val="20"/>
          <w:color w:val="auto"/>
        </w:rPr>
      </w:pPr>
    </w:p>
    <w:p>
      <w:pPr>
        <w:ind w:left="4340" w:right="60" w:hanging="4034"/>
        <w:spacing w:after="0" w:line="277" w:lineRule="auto"/>
        <w:tabs>
          <w:tab w:leader="none" w:pos="4320" w:val="left"/>
        </w:tabs>
        <w:rPr>
          <w:sz w:val="20"/>
          <w:szCs w:val="20"/>
          <w:color w:val="auto"/>
        </w:rPr>
      </w:pPr>
      <w:r>
        <w:rPr>
          <w:rFonts w:ascii="Times New Roman" w:cs="Times New Roman" w:eastAsia="Times New Roman" w:hAnsi="Times New Roman"/>
          <w:sz w:val="18"/>
          <w:szCs w:val="18"/>
          <w:b w:val="1"/>
          <w:bCs w:val="1"/>
          <w:color w:val="auto"/>
        </w:rPr>
        <w:t>Market symbol</w:t>
      </w:r>
      <w:r>
        <w:rPr>
          <w:sz w:val="20"/>
          <w:szCs w:val="20"/>
          <w:color w:val="auto"/>
        </w:rPr>
        <w:tab/>
      </w:r>
      <w:r>
        <w:rPr>
          <w:rFonts w:ascii="Times New Roman" w:cs="Times New Roman" w:eastAsia="Times New Roman" w:hAnsi="Times New Roman"/>
          <w:sz w:val="17"/>
          <w:szCs w:val="17"/>
          <w:color w:val="auto"/>
        </w:rPr>
        <w:t>Our common stock is listed on The Nasdaq Global Select Market under the symbol “TSHA.” We do not intend to apply for listing of the pre-funded warrants on The Nasdaq Global Select Market or any securities exchange or nationally recognized trading system.</w:t>
      </w:r>
    </w:p>
    <w:p>
      <w:pPr>
        <w:spacing w:after="0" w:line="169"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287,276,885 shares of our common stock outstanding as of March 31, 2026, and excludes:</w:t>
      </w:r>
    </w:p>
    <w:p>
      <w:pPr>
        <w:spacing w:after="0" w:line="67" w:lineRule="exact"/>
        <w:rPr>
          <w:sz w:val="20"/>
          <w:szCs w:val="20"/>
          <w:color w:val="auto"/>
        </w:rPr>
      </w:pPr>
    </w:p>
    <w:p>
      <w:pPr>
        <w:ind w:left="1240" w:right="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28,320,761 shares of our common stock issuable upon the exercise of stock options outstanding as of March 31, 2026, at a weighted average exercise price of $2.99 per share;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16,643,333 shares of common stock issuable upon the vesting and settlement of restricted stock units outstanding as of March 31, 2026;</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79,466,785 shares of common stock issuable upon the exercise of outstanding pre-funded warrants to purchase shares of common stock outstanding as of March 31, 2026 with an exercise price of $0.001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1,962,369 shares of common stock reserved for future issuance under our 2020 Stock Incentive Plan as of March 31, 2026;</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3,113,882 shares of our common stock reserved for future issuance under our 2020 Employee Stock Purchase Plan as of March 31, 2026;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2,501,720 shares of our common stock reserved for future issuance under our 2023 Inducement Plan as of March 31, 2026.</w:t>
      </w:r>
    </w:p>
    <w:p>
      <w:pPr>
        <w:spacing w:after="0" w:line="225"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(i) no exercise of the outstanding options or settlement of unvested restricted stock units described above, (ii) no exercise of outstanding pre-funded warrants described above, (iii) no exercise by the underwriters of their option to purchase additional shares of our common stock and (iv) no exercise of the pre-funded warrants offered and sold in this offering.</w:t>
      </w:r>
    </w:p>
    <w:p>
      <w:pPr>
        <w:spacing w:after="0" w:line="3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820"/>
          </w:cols>
          <w:pgMar w:left="320" w:top="455" w:right="7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decide to invest in our common stock, you should carefully consider the risks and uncertainties described below together with all other information contained in this prospectus supplement, the accompanying prospectus and in our filings with the SEC that we have incorporated by reference in this prospectus supplement and the accompanying prospectus. The risk factors included in this prospectus supplement update the corresponding risk factors incorporated by reference in this prospectus supplement from our 2025 Form 10-K and other documents incorporated by reference into this prospectus supplement and the accompanying prospectus. If any of the following risks or any of the risks incorporated herein by reference actually occurs, our business, prospects, operating results and financial condition could suffer materially. In such event, the trading price of our common stock could decline and you might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including as a result of this offering, may cause dilution to our stockholders, restrict our operations or require us to relinquish rights to our product candidates.</w:t>
      </w:r>
    </w:p>
    <w:p>
      <w:pPr>
        <w:spacing w:after="0" w:line="5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collaboration agreements. 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intellectual property, potential future revenue streams,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candidate development or future commercialization efforts or grant rights to third parties to develop and market product candidates that we would otherwise prefer to develop and market ourselves.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or pre-funded warrants in this offering, you will suffer immediate dilution of your investment.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price of our common stock in this offering is substantially higher than the net tangible book value per share of our common stock. Therefore, if you purchase shares of our common stock or pre-funded warrants in this offering, you will pay a price per share that substantially exceeds our net tangible book value per share after this offering. To the extent outstanding options or pre-funded warrants are exercised or restricted stock units are settled in shares of our common stock, you will incur further dilution. Based on a public offering price of $        per share and $        per pre-funded warrant, which equals the offering price per share of the common stock less the $0.001 per share exercise price of each such pre-funded warrant (and excluding shares of common stock issued or any resulting accounting associated with the pre-funded warrants), you will experience immediate dilution of $        per share, representing the difference between our as adjusted net tangible book value per share after giving effect to this offering and the public offering price. Furthermore, if the pre-funded warrants are exercised, you will incur further dilution. For additional information on the dilution that you will experience immediately after this offering, see the section titled “Dilution.”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and cash equivalents, including the net proceeds we receive in this offering, and may not use them effectively.</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and cash equivalents in a manner that does not produce income or that loses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warrants, or the perception that such sales may occur, could adversely affect the market price of our common stock.</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Jefferies LLC and Goldman Sachs &amp; Co. LLC may, in their sole discretion, release all or some portion of the shares subject to the lock-up agreements associated with this offering at any time and for any reason.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Nasdaq Global Select Market. Without an active market, the liquidity of the pre-funded warrants will be limited.</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the pre-funded warrants; however, any exercise would increase the number of shares eligible for future resale in the public market and result in dilution to our stockholders.</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 Even if a pre-funded warrant is exercised for cash, we will not receive any meaningful additional funds upon the exercise of the pre-funded warrants. To the extent such pre-funded warrants are exercised, additional shares of common stock will be issued for nominal or no additional consideration, which will result in dilution to the then existing holders of our common stock and will increase the number of shares eligible for resale in the public market.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pre-funded warrants purchased in this offering will have no rights as holders of our common stock with respect to the shares of common stock underlying such pre-funded warrants until such holders exercise their pre-funded warrants and acquire our common stock.</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Until holders of pre-funded warrants acquire shares of our common stock upon exercise of the pre-funded warrants, holders of pre-funded warrants will have no rights with respect to the shares of our common stock underlying such pre-funded warrants including with respect to dividends and voting rights. Upon exercise of the pre-funded warrants, the holders will be entitled to exercise the rights of a holder of our common stock with respect to the shares of common stock underlying such pre-funded warrants only as to matters for which the record date occurs after the exercise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(i) the aggregate number of shares of our common stock beneficially owned by the holder (together with its affiliates) to exceed 4.99% or 9.99%, as the case may be, of the number of shares of our common stock outstanding immediately prior to or after giving effect to the exercise, or</w:t>
      </w:r>
    </w:p>
    <w:p>
      <w:pPr>
        <w:spacing w:after="0" w:line="1" w:lineRule="exact"/>
        <w:rPr>
          <w:sz w:val="20"/>
          <w:szCs w:val="20"/>
          <w:color w:val="auto"/>
        </w:rPr>
      </w:pPr>
    </w:p>
    <w:p>
      <w:pPr>
        <w:ind w:left="120" w:hanging="4"/>
        <w:spacing w:after="0" w:line="252" w:lineRule="auto"/>
        <w:tabs>
          <w:tab w:leader="none" w:pos="3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voting power of our securities beneficially owned by the holder (together with its affiliates) to exceed 4.99% or 9.99%, as the case may be, of the combined voting power of all of our securities then outstanding immediately prior to or after giving effect to the exercise, as such percentage ownership is determined in accordance with the terms of the pre-funded warrants. Such percentage may be increased by the holder of the pre-funded warrant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we had cash and cash equivalents of $276.6 million. We estimate that the net proceeds to us from this offering will be approximately $        million, or approximately $        million if the underwriters exercise in full their option to purchase up to       </w:t>
      </w: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additional shares of common stock, based on the public offering price of $        per share and $        per pre-funded warrant, and after deducting underwriting discounts and commissions and estimated offering expenses payable by us. These estimates exclude the nominal proceeds, if any, from the exercise of the pre-funded warrants sold in this offering.</w:t>
      </w:r>
    </w:p>
    <w:p>
      <w:pPr>
        <w:spacing w:after="0" w:line="18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current cash and cash equivalents, to fund the regulatory and manufacturing development and anticipated commercial launch, if approved, of TSHA-102 in Rett syndrome and clinical and preclinical development of other pipeline candidates and general working capital purposes.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expect to invest the net proceeds in short-term, interest bearing obligations, certificates of deposit or direct or guaranteed obligations of the United States. The goal with respect to the investment of these net proceeds is capital preservation and liquidity so that such funds are readily available to fund our operations.</w:t>
      </w:r>
    </w:p>
    <w:p>
      <w:pPr>
        <w:spacing w:after="0" w:line="188"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Based on the planned use of proceeds described above, we believe that the net proceeds from this offering, together with our current cash and cash equivalents, will be sufficient to enable us to fund our operating expenses and capital expenditure requirements into         . We have based this estimate on assumptions that may prove to be incorrect, and we could use our available capital resources sooner than we currently expect.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or pre-funded warrants in this offering, your interest will be diluted immediately to the extent of the difference between the public offering price per share or pre-funded warrant you will pay in this offering and the as adjusted net tangible book value per share of our common stock after this offering. Our historical net tangible book value as of March 31, 2026 was $211.9 million, or $0.74 per share of common stock. Historical net tangible book value per share represents the amount of our total tangible assets less total liabilities, divided by the number of shares of our common stock outstanding on March 31, 2026.</w:t>
      </w:r>
    </w:p>
    <w:p>
      <w:pPr>
        <w:spacing w:after="0" w:line="183"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After giving effect to our issuance and sale of         shares of common stock in this offering at a public offering price of $        per share and pre-funded warrants to purchase up to         shares of our common stock at the public offering price of $        per pre-funded warrant (and</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excluding shares of common stock issued or any resulting accounting associated with the pre-funded warrants), and after deducting the underwriting discounts and commissions and estimated offering expenses payable by us and excluding proceeds, if any, from the exercise of the pre-funded warrants issued pursuant to this offering or any resulting accounting associated with the pre-funded warrants, our as adjusted net tangible book value as of March 31, 2026 would have been $        million, or $        per share. This represents an immediate increase in as adjusted net tangible book value per share of $        to existing stockholders and immediate dilution of $        in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securities in this offering without giving effect to the option to purchase additional shares granted to the underwriters: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(or pre-funded warrant in lieu thereof at the public</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1320" w:type="dxa"/>
            <w:vAlign w:val="bottom"/>
          </w:tcPr>
          <w:p>
            <w:pPr>
              <w:spacing w:after="0"/>
              <w:rPr>
                <w:sz w:val="20"/>
                <w:szCs w:val="20"/>
                <w:color w:val="auto"/>
              </w:rPr>
            </w:pPr>
          </w:p>
        </w:tc>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price less $0.001)</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20"/>
                <w:szCs w:val="20"/>
                <w:color w:val="auto"/>
              </w:rPr>
            </w:pPr>
          </w:p>
        </w:tc>
      </w:tr>
      <w:tr>
        <w:trPr>
          <w:trHeight w:val="216"/>
        </w:trPr>
        <w:tc>
          <w:tcPr>
            <w:tcW w:w="13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8"/>
        </w:trPr>
        <w:tc>
          <w:tcPr>
            <w:tcW w:w="1320" w:type="dxa"/>
            <w:vAlign w:val="bottom"/>
          </w:tcPr>
          <w:p>
            <w:pPr>
              <w:spacing w:after="0"/>
              <w:rPr>
                <w:sz w:val="17"/>
                <w:szCs w:val="17"/>
                <w:color w:val="auto"/>
              </w:rPr>
            </w:pPr>
          </w:p>
        </w:tc>
        <w:tc>
          <w:tcPr>
            <w:tcW w:w="64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per share attributable to sale of shares of common stock and pre-funded</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1320" w:type="dxa"/>
            <w:vAlign w:val="bottom"/>
          </w:tcPr>
          <w:p>
            <w:pPr>
              <w:spacing w:after="0"/>
              <w:rPr>
                <w:sz w:val="20"/>
                <w:szCs w:val="20"/>
                <w:color w:val="auto"/>
              </w:rPr>
            </w:pPr>
          </w:p>
        </w:tc>
        <w:tc>
          <w:tcPr>
            <w:tcW w:w="6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warrants in this offering</w:t>
            </w:r>
          </w:p>
        </w:tc>
        <w:tc>
          <w:tcPr>
            <w:tcW w:w="3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13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13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87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8"/>
        </w:trPr>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If the underwriters exercise their option to purchase            additional shares in full at the public offering price of $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 share, the as adjusted</w:t>
            </w:r>
          </w:p>
        </w:tc>
      </w:tr>
      <w:tr>
        <w:trPr>
          <w:trHeight w:val="216"/>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net tangible book value will increase to $            per share, representing an immediate increase to existing stockholders of $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      per share and an</w:t>
            </w:r>
          </w:p>
        </w:tc>
      </w:tr>
      <w:tr>
        <w:trPr>
          <w:trHeight w:val="23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immediate dilution of $            per share to new investors.</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discussion and table are based on 287,276,885 shares of our common stock outstanding as of March 31, 2026, and excludes: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28,320,761 shares of our common stock issuable upon the exercise of stock options outstanding as of March 31, 2026, at a weighted average exercise price of $2.99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16,643,333 shares of common stock issuable upon the vesting and settlement of restricted stock units outstanding as of March 31, 2026;</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79,466,785 shares of common stock issuable upon the exercise of outstanding pre-funded warrants to purchase shares of common stock outstanding as of March 31, 2026 with an exercise price of $0.001 per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1,962,369 shares of common stock reserved for future issuance under our 2020 Stock Incentive Plan as of March 31, 2026;</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3,113,882 shares of our common stock reserved for future issuance under our 2020 Employee Stock Purchase Plan as of March 31, 2026;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2,501,720 shares of our common stock reserved for future issuance under our 2023 Inducement Plan as of March 31, 2026.</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holders of the pre-funded warrants exercise the pre-funded warrants, the as adjusted net tangible book value per share after giving effect to this offering would be $        per share, representing an immediate increase to existing stockholders of $         per share, and immediate dilution to new investors in this offering of $        per share.</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To the extent that any options and pre-funded warrants are exercised, restricted stock units are settled in shares of our common stock, new stock awards are issued under our equity incentive plans or we otherwise issue additional shares of common stock in the future at a price less than the public offering price, there may be further dilution to new investors purchasing common stock in this offering.</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40"/>
          </w:cols>
          <w:pgMar w:left="320" w:top="455"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bylaws are summaries. References to our certificate of incorporation herein refer to our certificate of incorporation as amended to the date of this prospectus supplement. You should also refer to the certificate of incorporation (including the certificate of amendment thereto) and the bylaws, which are filed as exhibits to our most recent Annual Report on Form 10-K and are incorporated by reference herein.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700,000,000 shares of common stock, $0.00001 par value per share, and 10,000,000 shares of preferred stock, $0.00001 par value per share. Our board of directors may establish the rights and preferences of the preferred stock from time to time. As of March 31, 2026, we had outstanding 287,276,885 shares of common stock and no shares of preferred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The affirmative vote of holders of at least 66 2/3% of the voting power of all of the then-outstanding shares of capital stock, voting as a single class, is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forum.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Pursuant to our certificate of incorporation, our board of directors has the authority, without further action by our stockholders, from time to time, to designate and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Private Placement Registration Rights</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August 2023, we entered into a securities purchase agreement, or the 2023 Purchase Agreement, with certain institutional and other accredited investors, or the PIPE Investors. Under the terms of the 2023 Purchase Agreement, we agreed to prepare and file one or more registration statements to register for resale 122,412,376 shares of our common stock issued and sold to the PIPE Investors and 44,250,978 shares of our common stock issuable upon the exercise of outstanding pre-funded warrants to purchase shares of our common stock issued and sold to the PIPE Investors, collectively the PIPE Shares. We also agreed to use our best efforts to keep such registration statement effective until the earlier of (i) the third anniversary of the date the initial registration statement is declared effective, or (ii) the date all PIPE Shares (assuming cashless exercise of the pre-funded warrants) held by or issuable to a Holder (as defined in the 2023 Purchase Agreement), may be sold under Rule 144 without being subject to any volume, manner of sale or publicly available information requirements.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the event the registration statement is suspended, ceases to remain continuously effective or is unavailable for purchasers to sell registrable securities, subject to certain limited exceptions, we agreed to make pro rata payments to each purchaser as liquidated damages in an amount equal to 1.0% of the Purchaser’s Subscription Amount (as defined in the 2023 Purchase Agreement), per 20-day period or pro rata for any portion thereof for each such 20-day period during which such event continues, subject to certain caps set forth in the 2023 Purchase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Observer Rights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October 2022, we entered into a securities purchase agreement, or the Astellas SPA, with Audentes Therapeutics, Inc. (d/b/a Astellas Gene Therapy), or Astellas, pursuant to which Astellas has the right to designate one individual to attend all meetings of the board of directors in a non-voting observer capacity, or the Astellas Board Observer. The Astellas Board Observer is entitled to all notices, minutes, consents and other materials provided to our directors at the same time and in the same manner as provided to such directors. The Astellas Board Observer right terminates upon a Change of Control (as defined in the Astellas SPA) or when Astellas no longer holds shares of our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June 2023, our board of directors appointed Paul B. Manning as a non-voting board observer, and in such capacity, Mr. Manning may attend, in a non-voting capacity, all meetings of the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Pre-Funded Warrants to Purchase Shares of Common Stock</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On August 16, 2023, we issued pre-funded warrants, or the 2023 Pre-Funded Warrants, to purchase up to 44,250,978 shares of common stock. On June 27, 2024, we issued pre-funded warrants, or the 2024 Pre-Funded Warrants, to purchase up to 18,972,221 shares of common stock. On May 30, 2025, we issued pre-funded warrants, or the 2025 Pre-Funded Warrants, to purchase up to 25,858,586 shares of common stock (the 2023 Pre-Funded Warrants, 2024 Pre-Funded Warrants and 2025 Pre-Funded Warrants are referred to herein as the “Outstanding Pre-Funded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Outstanding Pre-Funded Warrants were issued as individual warrant agreements to certain investors. The form of 2023 Pre-Funded Warrant was filed as Exhibit 4.1 to our Current Report on Form 8-K filed with the SEC on August 14, 2023. The form of 2024 Pre-Funded Warrant was filed as Exhibit 4.1 to our Current Report on Form 8-K filed with the SEC on June 26, 2024. The form of 2025 Pre-Funded Warrant was filed as Exhibit 4.1 to our Current Report on Form 8-K filed with the SEC on May 29,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will be issued in connection with the exercise of the Outstanding Pre-Funded Warrants. In lieu of any fractional shares that would otherwise be issuable, we shall either pay a cash adjustment in respect of such final fraction in an amount equal to such fraction multiplied by the Exercise Price (as defined in the Outstanding Pre-Funded Warrants) or round up to the next whole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Outstanding Pre-Funded Warrants, we may not give effect to the exercise of any such Outstanding Pre-Funded Warrant, and a holder will not be entitled to exercise any portion of any such Outstanding Pre-Funded Warrant, if, upon giving effect to such exercise, the aggregate number of shares of our common stock beneficially owned by the holder (together with its affiliates, any other persons acting as a group together with the holder or any of the holder’s affiliates, and any other persons whose beneficial ownership of our common stock would or could be aggregated with the holder’s for purposes of Section 13(d) or Section 16 of the Securities Exchange Act of 1934, as amended, or the Exchange Act, would exceed 4.99% or 9.99% of the number of shares of our common stock outstanding immediately after giving effect to such exercise. By giving written notice to us, a holder may increase or decrease the maximum percentage to any other percentage specified not in excess of 19.99%;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increase will not be effective until the sixty-first day after such notice is delivered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Subject to applicable laws, the Outstanding Pre-Funded Warrants may be offered for sale, sold, transferred or assigned upon surrender and written assignment of the Outstanding Pre-Funded Warrant.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Outstanding Pre-Funded Warrants, and we do not expect a market to develop. We do not intend to apply for the listing of Outstanding Pre-Funded Warrants on the Nasdaq Stock Market, any other national securities exchange or any other nationally recognized trading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21"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an Outstanding Pre-Funded Warrant does not have the rights or privileges of a holder of our common stock, including any voting rights, until such holder exercises the Outstanding Pre-Funded Warrant.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of Shares Underlying Outstanding Pre-Funded Warrants</w:t>
      </w:r>
    </w:p>
    <w:p>
      <w:pPr>
        <w:spacing w:after="0" w:line="121"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The shares of our common stock underlying the 2023 Pre-Funded Warrants were registered on a Form S-3 registration statement, which was filed with the SEC on August 30, 2023 and declared effective on September 8, 2023.</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shares of our common stock underlying the 2024 Pre-Funded Warrants were registered on a Prospectus Supplement, which was filed with the SEC on June 26, 2024, to the Prospectus included in the Form S-3 registration statement, which was declared effective on October 14, 2021.</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shares of our common stock underlying the 2025 Pre-Funded Warrants were registered on a Prospectus Supplement, which was filed on May 29, 2025 to the Prospectus included in the Form S-3 registration statement, which was declared effective on December 20,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Each Pre-Funded Warrant has an exercise price of $0.001 per share. In lieu of making the cash payment otherwise contemplated to be made to us upon exercise of an Outstanding Pre-Funded Warrant in payment of the aggregate exercise price, the holder may elect instead to receive upon such exercise (either in whole or in part) the net number of common stock determined according to a formula set forth in the Outstanding Pre-Funded Warrants.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Outstanding Pre-Funded Warrant is exercisable immediately and is exercisable until the Outstanding Pre-Funded Warrant is exercised in full.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Outstanding Pre-Funded Warrants, and, among other things, including the sale, transfer or other disposition of all or substantially all of our properties or assets, our consolidation or merger with or into another person, the acquisition of more than 50% of our aggregate voting power, or any reorganization, recapitalization or reclassification of shares of our common stock), the holders of the Outstanding Pre-Funded Warrants will be entitled to receive, upon exercise of the Outstanding Pre-Funded Warrant, the same amount and kind of securities, cash or property as the holder would have been entitled to receive upon the occurrence of such fundamental transaction if the holder had been, immediately prior to such fundamental transaction, the holder of the number of shares of our common stock underlying the Outstanding Pre-Funded Warrant then issuable upon exercise in full of the Outstanding Pre-Funded Warrant without regard to any limitations on exercise contained herein.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1" w:lineRule="exact"/>
        <w:rPr>
          <w:sz w:val="20"/>
          <w:szCs w:val="20"/>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20"/>
          </w:cols>
          <w:pgMar w:left="320" w:top="455"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certificate of incorporation and bylaws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also provide that all stockholder actions must be effected at a duly called meeting of stockholders and will eliminate the right of stockholders to act by written consent without a meeting. The bylaws provide that only the Chairman of the board, Chief Executive Officer or the board of directors pursuant to a resolution adopted by a majority of the total number of authorized directors may call a special meeting of stockholders. The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stockholders cannot amend many of the provisions described above except by a vote of 66 2/3% or more of our outstanding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gives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certificate of incorporation or our bylaws;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amended and restated bylaws;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provision does not apply to suits brought to enforce a duty or liability created by the Exchange Act or to claims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(f/k/a American Stock Transfer &amp; Trust Company, LLC), with offices at 55 Challenger Road, Ridgefield Park, NJ 07660.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“TSHA.”</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0920"/>
          </w:cols>
          <w:pgMar w:left="320" w:top="455" w:right="6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PRE-FUNDED WARRANTS</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us.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each individual purchaser of a pre-funded warrant. The form of pre-funded warrant will be filed as an exhibit to a Current Report on Form 8-K that we will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of the exercise price in immediately available funds, the holder may elect to exercise the pre-funded warrant through a cashless exercise, in which case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fractional shares, we will, at our election, either pay the holder an amount in cash equal to such fraction multiplied by the exercise price or round up to the next whole share.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will not be entitled to exercise any portion of any pre-funded warrant, which, upon giving effect to such exercise, would cause (i) the aggregate number of shares of our common stock beneficially owned by the holder (together with its affiliates) to exceed 4.99% or 9.99%, as the case may be, of the number of shares of our common stock outstanding immediately prior to or after giving effect to the exercise, or (ii) the combined voting power of our securities beneficially owned by the holder (together with its affiliates) to exceed 4.99% or 9.99%, as the case may be, of the combined voting power of all of our securities then outstanding immediately prior to or after giving effect to the exercise, as such percentage ownership is determined in accordance with the terms of the pre-funded warrants, subject to such holder’s rights under the pre-funded warrant to increase or decrease such percentage to another percentage not in excess of 19.99% upon at least 61 days’ prior notice from such holder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issuable upon the exercise of the pre-funded warrants is $0.001 per share of our common stock.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Select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Subsequent Rights Offerings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at any time we grant, issue or sell any specified common stock equivalents or rights to purchase stock, warrants, securities or other property to the record holders of any class of shares of common stock, or the Purchase Rights, then the holder of a pre-funded warrant will be entitled to acquire, upon the terms applicable to such Purchase Rights, the aggregate Purchase Rights which the holder could have acquired if the holder had held the number of shares of common stock acquirable upon complete exercise of the holder’s pre-funded warrant, without regard to any limitations on exercise, including without limitation, such holder’s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holder’s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holder’s beneficial ownership limitation).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Rata Distributions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During such time as a holder’s pre-funded warrant is outstanding, if we declare or make any dividend or other distribution of our assets (or rights to acquire its assets) to holders of shares of our common stock, by way of return of capital or otherwise (including, without limitation, any distribution of cash, stock or other securities, property or options by way of a dividend, spin off, reclassification, corporate rearrangement, scheme of arrangement or other similar transaction), or a Distribution, at any time after the issuance of the pre-funded warrants, then, in each such case, the holder of a pre-funded warrant shall be entitled to participate in such Distribution to the same extent that the holder would have participated therein if the holder had held the number of shares of common stock acquirable upon complete exercise of the pre-funded warrant (without regard to any limitations on exercise, including without limitation, the holder’s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holder’s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such holder exceeding its beneficial ownership limitation).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and any additional consideration receivable as a result of such fundamental transaction.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of the purchase, ownership and disposition of shares of our common stock issued pursuant to this offering, or the shares, and the purchase, ownership and disposition of pre-funded warrants. The shares and</w:t>
      </w: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the pre-funded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18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discussion is based on current provisions of the U.S. Internal Revenue Code of 1986, as amended, which we refer to as the Code, existing U.S. Treasury Regulations promulgated thereunder, published administrative pronouncements and rulings of the U.S. Internal Revenue Service, or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from the IRS with respect to the U.S. federal income tax consequences to a holder of the purchase, ownership or disposition of our securities.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alternative minimum, Medicare contribution, estate or gift tax consequences, any aspects of state, local or non-U.S. taxes or any other U.S. federal tax laws, or the special tax accounting rules in Section 451(b) of the Code.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w:t>
      </w:r>
    </w:p>
    <w:p>
      <w:pPr>
        <w:spacing w:after="0" w:line="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tax, tax-exempt organizations, governmental organizations, banks, financial institutions, investment funds, insurance companies, brokers, dealers or traders in securities, commodities or currencies, regulated investment companies or real estate investment trusts, U.S. holders (as defined below) that have a “functional currency” other than the U.S. dollar, tax-qualified retirement plans, holders who hold or receive our securities pursuant to the exercise of employee stock options or otherwise as compensation, holders holding our securities as part of a hedge, straddle, synthetic security, or other risk reduction strategy, conversion transaction or other integrated investment, holders deemed to sell our securities under the constructive sale provisions of the Code, controlled foreign corporations, passive foreign investment companies, U.S. expatriates and certain former U.S. citizens or long-term residents.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or disregarded entities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the activities of the partnership and certain determinations made at the partner level. Such partners and partnerships should consult their tax advisors regarding the tax consequences of the purchase, ownership and disposition of our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121" w:lineRule="exact"/>
        <w:rPr>
          <w:sz w:val="20"/>
          <w:szCs w:val="20"/>
          <w:color w:val="auto"/>
        </w:rPr>
      </w:pPr>
    </w:p>
    <w:p>
      <w:pPr>
        <w:jc w:val="both"/>
        <w:ind w:left="120" w:right="420"/>
        <w:spacing w:after="0" w:line="261" w:lineRule="auto"/>
        <w:rPr>
          <w:sz w:val="20"/>
          <w:szCs w:val="20"/>
          <w:color w:val="auto"/>
        </w:rPr>
      </w:pPr>
      <w:r>
        <w:rPr>
          <w:rFonts w:ascii="Times New Roman" w:cs="Times New Roman" w:eastAsia="Times New Roman" w:hAnsi="Times New Roman"/>
          <w:sz w:val="18"/>
          <w:szCs w:val="18"/>
          <w:color w:val="auto"/>
        </w:rPr>
        <w:t>Although it is not entirely free from doubt, we believe a pre-funded warrant should be treated as a share for U.S. federal income tax purposes and a holder of pre-funded warrants should generally be taxed in the same manner as a holder of shares, as described below. Accordingly, no gain or loss generally should be recognized upon the exercise of a pre-funded warrant and, upon exercise, the holding period of a pre-funded warrant generally should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carry over to the share received. Similarly, the tax basis of the pre-funded warrant generally should carry over to the share received upon exercise, increased by the exercise price. However, our characterization is not binding on the IRS, and the IRS may treat the pre-funded warrants as warrants to acquire our shares. If so, the amount and character of a holder’s gain or loss with respect to an investment in our pre-funded warrants could change. Accordingly, each holder should consult such holder’s own tax advisor regarding the risks associated with the acquisition of pre-funded warrants pursuant to this offering (including potential alternative characterizations). Except where specifically noted below, the balance of this discussion generally assumes that the characterization described above is respected for U.S. federal income tax purposes. However, some portions of the below discussion make reference to potential consequences associated with the acquisition, ownership and disposition of the pre-funded warrants independent of their potential characterization as shares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of U.S. Holder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a “U.S. holder” means a beneficial owner of our securities (other than a partnership or an entity or arrangement treated as a partnership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that is,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(within the meaning of Section 7701(a)(30) of the Code) have the authority to control all of the trust’s substantial decisions or (b) the trust has a valid election in effect under applicable U.S. Treasury Regulations to be treated as a U.S.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the Shares and Pre-Funded Warrants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we make distributions on our securities, such distributions will constitute dividends to the extent paid from our current or accumulated earnings and profits, as determined under U.S. federal income tax principles, and will be includible in a U.S. holder’s income as ordinary income when received. Dividends received by a corporation may be eligible for a dividends received deduction, subject to applicable limitations.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up to such U.S. holder’s adjusted tax basis in our securities. Any remaining excess will be treated as capital gain from the sale or exchange of such securities, subject to the tax treatment described below in “—Sale or Other Taxable Disposition of the Shares or Pre-Funded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Shares or Pre-Funded Warrants</w:t>
      </w:r>
    </w:p>
    <w:p>
      <w:pPr>
        <w:spacing w:after="0" w:line="12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Upon the sale, exchange or other taxable disposition of our securities, a U.S. holder generally will recognize capital gain or loss equal to the difference between the amount of cash and the fair market value of any property received upon the sale, exchange or other taxable disposition and such U.S. holder’s adjusted tax basis in our securities. This capital gain or loss will be long-term capital gain or loss if the U.S. holder’s holding period in such securities is more than one year at the time of the sale, exchange or other taxable disposition. Long-term capital gains recognized by</w:t>
      </w:r>
    </w:p>
    <w:p>
      <w:pPr>
        <w:spacing w:after="0" w:line="3"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certain non-corporate U.S. holders, including individuals, generally will be subject to reduced rates of U.S. federal income tax. The deductibility of capital losses is subject to certain limitations.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Constructive Distributions on Pre-Funded Warrants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 U.S. holder of a pre-funded warrant may, in some circumstances, be deemed to have received a distribution subject to U.S. federal income tax as a result of an adjustment or the non-occurrence of an adjustment to the exercise price or number of shares of common stock issuable upon exercise of the pre-funded warrant. U.S. holders should consult their tax advisors regarding the proper treatment of any adjustments (or the non-occurrence of any adjustments) to the pre-funded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(currently at a 24% rate) when such holder receives payments on our securities (including constructive distributions) or receives proceeds from the sale or other taxable disposition of our securities. Certain U.S. holders are exempt from backup withholding, including C corporations and certain tax-exempt organizations. A U.S. holder will be subject to backup withholding if such holder is not otherwise exempt and such holder:</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furnish the holder’s taxpayer identification number, which for an individual is ordinarily such individual’s social security number;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an incorrect taxpayer identification number;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the holder previously failed to properly report payments of interest or dividends;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of Non-U.S. Holder</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the Shares and Pre-Funded Warrants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If we make distributions on our securities,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non-U.S. holder’s adjusted tax basis in our securities. Any remaining excess will be treated as capital gain from the sale or exchange of such securities, subject to the tax treatment described below in “—Gain on Sale, Exchange or Other Taxable Disposition of Our Shares or Pre-Funded Warrants.”</w:t>
      </w:r>
    </w:p>
    <w:p>
      <w:pPr>
        <w:spacing w:after="0" w:line="183"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Dividends paid to a non-U.S. holder will generally be subject to withholding of U.S. federal income tax at a 30% rate of the gross amount of the dividend or such lower rate as may be specified by an applicable income tax treaty between the United States and such non-U.S. holder’s country of residence for purposes of such treaty.</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establishment or a fixed base maintained by the non-U.S. holder within the United States, are generally exempt from the 30% withholding tax if</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non-U.S. holder satisfies applicable certification and disclosure requirements. However, such U.S. effectively connected income, net of specified deductions and credits, is taxed at the same U.S. federal income tax rates applicable to U.S. persons.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non-U.S. holder’s country of residence for purposes of such treaty.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claim a reduction or exemption from withholding, a non-U.S. holder generally will be required to provide (a) a properly executed IRS</w:t>
      </w:r>
    </w:p>
    <w:p>
      <w:pPr>
        <w:spacing w:after="0" w:line="27" w:lineRule="exact"/>
        <w:rPr>
          <w:sz w:val="20"/>
          <w:szCs w:val="20"/>
          <w:color w:val="auto"/>
        </w:rPr>
      </w:pPr>
    </w:p>
    <w:p>
      <w:pPr>
        <w:ind w:left="120" w:right="560"/>
        <w:spacing w:after="0" w:line="250" w:lineRule="auto"/>
        <w:rPr>
          <w:sz w:val="20"/>
          <w:szCs w:val="20"/>
          <w:color w:val="auto"/>
        </w:rPr>
      </w:pPr>
      <w:r>
        <w:rPr>
          <w:rFonts w:ascii="Times New Roman" w:cs="Times New Roman" w:eastAsia="Times New Roman" w:hAnsi="Times New Roman"/>
          <w:sz w:val="18"/>
          <w:szCs w:val="18"/>
          <w:color w:val="auto"/>
        </w:rPr>
        <w:t>Form W-8BEN or IRS Form W-8BEN-E (or successor form) and satisfy applicable certification and other requirements to claim the benefit of an applicable income tax treaty between the United States and such non-U.S. holder’s country of residence, or (b) a properly executed IRS</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Form W-8ECI stating that the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an appropriate claim for refund with the IRS.</w:t>
      </w:r>
    </w:p>
    <w:p>
      <w:pPr>
        <w:spacing w:after="0" w:line="18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Distributions will also be subject to the discussion below under the headings “—Backup Withholding and Information Reporting” and “—Foreign Accounts.”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Our Shares or Pre-Funded Warrants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discussion below under the headings “—Backup Withholding and Information Reporting” and “—Foreign Accounts,” in general,</w:t>
      </w:r>
    </w:p>
    <w:p>
      <w:pPr>
        <w:spacing w:after="0" w:line="9"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a non-U.S. holder will not be subject to any U.S. federal income tax on any gain realized upon such non-U.S. holder’s sale, exchange or other taxable disposition of our securities unless:</w:t>
      </w:r>
    </w:p>
    <w:p>
      <w:pPr>
        <w:spacing w:after="0" w:line="87" w:lineRule="exact"/>
        <w:rPr>
          <w:sz w:val="20"/>
          <w:szCs w:val="20"/>
          <w:color w:val="auto"/>
        </w:rPr>
      </w:pPr>
    </w:p>
    <w:p>
      <w:pPr>
        <w:ind w:left="1080" w:right="6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w:t>
      </w:r>
    </w:p>
    <w:p>
      <w:pPr>
        <w:jc w:val="both"/>
        <w:ind w:left="108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generally will be taxed at the U.S. federal income tax rates applicable to U.S. persons and, if the non-U.S. holder is a foreign corporation, the branch profits tax described above in “—Distributions on the Shares and Pre-Funded Warrants” also may apply;</w:t>
      </w:r>
    </w:p>
    <w:p>
      <w:pPr>
        <w:spacing w:after="0" w:line="86"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or</w:t>
      </w:r>
    </w:p>
    <w:p>
      <w:pPr>
        <w:spacing w:after="0" w:line="69" w:lineRule="exact"/>
        <w:rPr>
          <w:rFonts w:ascii="Times New Roman" w:cs="Times New Roman" w:eastAsia="Times New Roman" w:hAnsi="Times New Roman"/>
          <w:sz w:val="17"/>
          <w:szCs w:val="17"/>
          <w:color w:val="auto"/>
        </w:rPr>
      </w:pPr>
    </w:p>
    <w:p>
      <w:pPr>
        <w:ind w:left="108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holding period, if shorter) a “U.S. real property holding corporation” in which case such non-U.S. holder generally will be taxed on its net gain derived from the disposition as effectively connected income taxable at the U.S. federal income tax rates applicable to U.S. persons; however, the branch profits tax described above will not apply to a U.S. holder that is a foreign corporation.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common stock is regularly traded, as defined by applicable U.S. Treasury Regulations, on an established securities market, our securities generally will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80"/>
        <w:spacing w:after="0" w:line="258" w:lineRule="auto"/>
        <w:rPr>
          <w:sz w:val="20"/>
          <w:szCs w:val="20"/>
          <w:color w:val="auto"/>
        </w:rPr>
      </w:pPr>
      <w:r>
        <w:rPr>
          <w:rFonts w:ascii="Times New Roman" w:cs="Times New Roman" w:eastAsia="Times New Roman" w:hAnsi="Times New Roman"/>
          <w:sz w:val="18"/>
          <w:szCs w:val="18"/>
          <w:color w:val="auto"/>
        </w:rPr>
        <w:t>be treated as a U.S. real property interest only with respect to a non-U.S. holder that holds more than 5% of our securities (as determined under U.S. federal income tax principles), directly or indirectly, actually or constructively, during the shorter of the 5-year period ending on the date of the disposition or the period that the non-U.S. holder held our securities. Special rules may apply to non-U.S. holders of pre-funded warrants, who should consult their tax advisors. There can be no assurance that our common stock will qualify as regularly traded on an established securities market.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Constructive Distributions on Pre-Funded Warrants</w:t>
      </w:r>
    </w:p>
    <w:p>
      <w:pPr>
        <w:spacing w:after="0" w:line="121" w:lineRule="exact"/>
        <w:rPr>
          <w:sz w:val="20"/>
          <w:szCs w:val="20"/>
          <w:color w:val="auto"/>
        </w:rPr>
      </w:pPr>
    </w:p>
    <w:p>
      <w:pPr>
        <w:jc w:val="both"/>
        <w:ind w:left="120" w:right="200"/>
        <w:spacing w:after="0" w:line="257" w:lineRule="auto"/>
        <w:rPr>
          <w:sz w:val="20"/>
          <w:szCs w:val="20"/>
          <w:color w:val="auto"/>
        </w:rPr>
      </w:pPr>
      <w:r>
        <w:rPr>
          <w:rFonts w:ascii="Times New Roman" w:cs="Times New Roman" w:eastAsia="Times New Roman" w:hAnsi="Times New Roman"/>
          <w:sz w:val="18"/>
          <w:szCs w:val="18"/>
          <w:color w:val="auto"/>
        </w:rPr>
        <w:t>A non-U.S. holder of pre-funded warrants can be treated as receiving deemed payment of a taxable dividend under certain circumstances as a result of an adjustment or the non-occurrence of an adjustment to the exercise price or number of shares issuable upon exercise of the pre-funded warrant. Any resulting withholding tax attributable to deemed dividends may be collected from other amounts payable or distributable to</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the non-U.S. holder. Non-U.S. holders should consult their tax advisors regarding the proper treatment of any adjustments (or the non-occurrence of any adjustments) to the pre-funded warrants.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(including constructive distributions) on our securities paid to such non-U.S. holder and the tax withheld, if any, with respect to such distributions. Non-U.S. holders will have to comply with specific certification procedures to establish that the holder is not a U.S. person in order to avoid backup withholding at the applicable rate with respect to any dividends on our securities. A non-U.S. holder generally will not be subject to U.S. backup withholding with respect to payments of distributions on our securities if it certifies its non-U.S. status by providing a valid IRS Form W-8BEN or IRS Form W-8BEN-E (or successor form) or</w:t>
      </w:r>
    </w:p>
    <w:p>
      <w:pPr>
        <w:spacing w:after="0" w:line="3"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IRS Form W-8ECI, or otherwise establishes an exemption; provided that we do not have actual knowledge or reason to know such non-U.S. holder is a U.S. person. Distributions paid to non-U.S. holders subject to the U.S. withholding tax, as described above in “—Distributions on the Shares and Pre-Funded Warrants,” generally will be exempt from U.S. backup withholding.</w:t>
      </w:r>
    </w:p>
    <w:p>
      <w:pPr>
        <w:spacing w:after="0" w:line="18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securities by a non-U.S. holder effected by or through the U.S. office of any broker, U.S. or foreign, unless the holder certifies its status as a non-U.S. holder and satisfies certain other requirements, or otherwise establishes an exemption.</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established under the provisions of a specific treaty or agreement.</w:t>
      </w:r>
    </w:p>
    <w:p>
      <w:pPr>
        <w:spacing w:after="0" w:line="16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“FATCA”) generally impose a U.S. federal withholding tax of 30% on dividends and, subject to the discussion below regarding proposed regulations issued by the U.S. Treasury Department, the gross proceeds of a disposition of our securities paid to a “foreign financial institution” (as defined in the Code), unless such institution enters into an agreement with the U.S. government to, among other things, withhold on certain payments and to collect and provide to the U.S. tax authorities substantial information regarding accounts held by certain “specific United States persons” or “United States owned foreign entities” (each as defined in the Code), or otherwise qualifies for an exemption from these rules.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U.S. federal withholding tax of 30% also applies to dividends and, subject to the discussion below regarding proposed regulations issued by the U.S. Treasury Department, will apply to the gross proceeds of a disposition of our securities paid to a “non-financial foreign entity” (as defined in the Code), unless such entity provides the withholding agent with either a certification that it does not have any “substantial United States owners” (as defined in the Code), provides information regarding each substantial United States owners of the entity, or otherwise qualifies for an exemption from these rules.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withholding provisions described above currently apply to dividends paid on our securities. The U.S. Treasury Department released proposed regulations which, if finalized in their present form, would eliminate the U.S. federal withholding tax of 30% applicable to the gross proceeds of a sale or other disposition of our securities. In its preamble to such proposed regulations, the U.S. Treasury Department stated that taxpayers may generally rely on the proposed regulations until final regulations are issued.</w:t>
      </w:r>
    </w:p>
    <w:p>
      <w:pPr>
        <w:spacing w:after="0" w:line="28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TAX ADVISOR REGARDING THE PARTICULAR U.S. FEDERAL, STATE AND LOCAL AND NON-U.S. TAX CONSEQUENCES OF PURCHASING, HOLDING AND DISPOSING OF OUR SECURITIES, INCLUDING THE CONSEQUENCES OF ANY PROPOSED CHANGE IN APPLICABLE LAWS.</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040"/>
          </w:cols>
          <w:pgMar w:left="320" w:top="455"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 2026, among us, Jefferies LLC and Goldman Sachs &amp; Co.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and pre-funded warrants shown opposite its name below:</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Shares</w:t>
            </w:r>
          </w:p>
        </w:tc>
        <w:tc>
          <w:tcPr>
            <w:tcW w:w="980" w:type="dxa"/>
            <w:vAlign w:val="bottom"/>
          </w:tcPr>
          <w:p>
            <w:pPr>
              <w:spacing w:after="0"/>
              <w:rPr>
                <w:sz w:val="13"/>
                <w:szCs w:val="13"/>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Pre-Funded Warrants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0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060" w:type="dxa"/>
            <w:vAlign w:val="bottom"/>
            <w:tcBorders>
              <w:bottom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shares of common stock and pre-funded warrants, that you will be able to sell any of the shares of common stock and pre-funded warrants held by you at a particular time or that the prices that you receive when you sell will be favorable.</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shares of common stock and pre-funded warrants to the public at the public offering price set forth on the cover page of this prospectus supplement and to certain dealers, which may include the underwriters, at that price less a concession not in excess of $        per share of common stock or pre-funded warrant. After the offering, the public offering price and concession to dealers may be reduced by the representatives. No such reduction will change the amount of proceeds to be received by us as set forth on the cover page of this prospectus supplement.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of common stock.</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Per</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3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 of</w:t>
            </w:r>
          </w:p>
        </w:tc>
        <w:tc>
          <w:tcPr>
            <w:tcW w:w="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3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Pre-Funded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3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w:t>
            </w:r>
          </w:p>
        </w:tc>
        <w:tc>
          <w:tcPr>
            <w:tcW w:w="3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Warrant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3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“TSHA”.</w:t>
      </w:r>
    </w:p>
    <w:p>
      <w:pPr>
        <w:spacing w:after="0" w:line="225"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any national securities exchange or nationally recognized trading system.</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from time to time, in whole or in part, up to an aggregate of         shares of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our executive officers and our directors have agreed with the underwriters, subject to certain exceptions, not to dispose of or hedge any of their common stock or securities convertible into or exchangeable for shares of common stock during the period from the date of this prospectus supplement continuing through the date 60 days after the date of this prospectus supplement, except with the prior written consent of the representatives and subject to certain exceptions.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shares of common stock at a level above that which might otherwise prevail in the open market. Establishing short sales positions may involve either “covered” short sales or “naked” short sales.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of common stock to close out the covered short position, the underwriters will consider, among other things, the price of shares of common stock available for purchase in the open market as compared to the price at which they may purchase shares of common stock through the option to purchase additional shares of common stock.</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underwriters must close out any naked short position by purchasing shares of common stock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underwriters for the purpose of fixing or maintaining the price of the shares of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9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shares of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and pre-funded warrants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Goldman Sachs &amp; Co. LLC is a sales agent under the sales agreement, dated October 5, 2021, as amended by that certain Amendment No. 1, dated March 30, 2022, with Goldman Sachs &amp; Co. LLC, Wells Fargo Securities, LLC and Leerink Partners LLC and as further amended by that certain Amendment No. 2, dated November 4, 2025, by and between us and Leerink Partners LLC, and Amendment No. 3, dated November 4, 2025, by and among us, Goldman Sachs &amp; Co. LLC and Wells Fargo Securities, LLC, or the Sales Agents, and the sales agreement so amended, the Sales Agreement. Under the Sales Agreement, we may offer and sell, from time to time, shares of our common stock through the Sales Agents by any method that is deemed to be an “at the market offering” as defined in Rule 415(a)(4) promulgated under the Securities Act. In addition, Goldman Sachs Group Inc. beneficially owned 22,369,645 shares of our common stock as of March 31, 2026 (as reported on the Form 13F most recently filed with the SEC by Goldman Sachs Group Inc.) and has since that date engaged, and may from time to time hereafter engage, in transactions in our common stock. Such investment and trading activities may impact the market or trading prices of our common stock and other securities.</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shares of common stock offered hereby. Any such short positions could adversely affect future trading prices of the shares of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or pre-funded warrants have been offered or will be offered pursuant to the offering to the public in that Relevant State prior to the publication of a prospectus in relation to the shares of common stock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or pre-funded warrants may be made to the public in that Relevant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common stock or pre-funded warrants shall require us or any underwriter to publish a prospectus pursuant to Article 3 of the Prospectus Regulation or supplement a prospectus pursuant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Article 23 of the Prospectus Regulation and each person who initially acquires any shares of common stock or pre-funded warrants or to whom any offer is made will be deemed to have represented, acknowledged and agreed to and with each of the underwriters and us that it is a “qualified investor” within the meaning of Article 2(e) of the Prospectus Regulation.</w:t>
      </w:r>
    </w:p>
    <w:p>
      <w:pPr>
        <w:spacing w:after="0" w:line="176"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the case of any shares of common stock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of common stock or pre-funded warrants to the public other than their offer or resale in a Relevant State to qualified investors as so defined or in circumstances in which the prior consent of the underwriters has been obtained to each such proposed offer or resale.</w:t>
      </w:r>
    </w:p>
    <w:p>
      <w:pPr>
        <w:spacing w:after="0" w:line="187"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any Relevant State means the communication in any form and by any means of sufficient information on the terms of the offer and any shares of common stock or pre-funded warrants to be offered so as to enable an investor to decide to purchase or subscribe for any shares of common stock or pre-funded warrants, and the expression “Prospectus Regulation” means Regulation (EU) 2017/1129.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No shares of common stock or pre-funded warrants have been offered or will be offered pursuant to the offering to the public in the United Kingdom prior to the publication of a prospectus in relation to the shares of common stock or pre-funded warrants which has been approved by the Financial Conduct Authority, except that the shares of common stock or pre-funded warrants may be offered to the public in the United Kingdom at any time:</w:t>
      </w:r>
    </w:p>
    <w:p>
      <w:pPr>
        <w:spacing w:after="0" w:line="63"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common stock or pre-funded warrants shall require us or any underwriter to publish a prospectus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85 of the FSMA or supplement a prospectus pursuant to Article 23 of the U.K. Prospectus Regulation. For the purposes of this provision, the expression an “offer to the public” in relation to the shares of common stock or pre-funded warrants in the United Kingdom means the communication in any form and by any means of sufficient information on the terms of the offer and any shares of common stock or pre-funded warrants to be offered so as to enable an investor to decide to purchase or subscribe for any shares of common stock or pre-funded warrants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common stock or pre-funded warrants in the United Kingdom within the meaning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FSMA.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shares of common stock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or pre-funded warrants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shares of common stock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or pre-funded warrants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representatives have acknowledged that this prospectus supplement and the accompanying prospectus have not been registered as a prospectus with the Monetary Authority of Singapore. Accordingly, the representatives have represented and agreed that it has not offered or sold any shares of common stock or pre-funded warrants or caused the shares of common stock or pre-funded warrants to be made the subject of an invitation for subscription or purchase and will not offer or sell any shares of common stock or pre-funded warrants or cause the shares of common stock or pre-funded warrants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of common stock or pre-funded warrants, whether directly or indirectly, to any person in Singapore other than:</w:t>
      </w:r>
    </w:p>
    <w:p>
      <w:pPr>
        <w:spacing w:after="0" w:line="94" w:lineRule="exact"/>
        <w:rPr>
          <w:sz w:val="20"/>
          <w:szCs w:val="20"/>
          <w:color w:val="auto"/>
        </w:rPr>
      </w:pPr>
    </w:p>
    <w:p>
      <w:pPr>
        <w:ind w:left="1080" w:right="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900" w:hanging="532"/>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of common stock or pre-funded warrants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or pre-funded warrants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shares of common stock or pre-funded warrants have not been and will not be registered pursuant to Article 4, Paragraph 1 of the Financial Instruments and Exchange Act. Accordingly, none of the shares of common stock,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Chapter 6D.2 of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securities to which this prospectus supplement relates may be illiquid and/or subject to restrictions on their resale. Prospective purchasers of the securities should conduct their own due diligence on the securities. If you do not understand the contents of this prospectus supplement, you should consult an authorized financial advisor.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(FSRA) or the Dubai Financial Services Authority.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Brazil</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validity of the shares of common stock and pre-funded warrants offered hereby will be passed upon for us by Cooley LLP, New York, New York. Certain legal matters in connection with this offering will be passed upon for the underwriters by Goodwin Procter LLP, New York, New York. As of the date of this prospectus supplement, GC&amp;H Investments, LLC, an entity consisting of current and former partners and associates of Cooley LLP, beneficially holds an aggregate of 91,396 shares of our common stock.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financial statements of Taysha Gene Therapies, Inc. (the “Company”) as of December 31, 2025 and 2024, and for each of the two years in the period ended December 31, 2025, incorporated by reference in this prospectus supplement by reference to the Company’s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www.tayshagtx.com. Our website is not a part of this prospectus supplement and is not incorporated by reference in this prospectus supplement.</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 at the address listed above or from the SEC’s internet site.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any document previously incorporated by reference have been modified or superseded. This prospectus supplement and the accompanying prospectus incorporate by reference the documents listed below (File</w:t>
      </w:r>
    </w:p>
    <w:p>
      <w:pPr>
        <w:ind w:left="120" w:right="340"/>
        <w:spacing w:after="0" w:line="255" w:lineRule="auto"/>
        <w:rPr>
          <w:sz w:val="20"/>
          <w:szCs w:val="20"/>
          <w:color w:val="auto"/>
        </w:rPr>
      </w:pPr>
      <w:r>
        <w:rPr>
          <w:rFonts w:ascii="Times New Roman" w:cs="Times New Roman" w:eastAsia="Times New Roman" w:hAnsi="Times New Roman"/>
          <w:sz w:val="18"/>
          <w:szCs w:val="18"/>
          <w:color w:val="auto"/>
        </w:rPr>
        <w:t>No. 001-39536) and any future filings we make with the SEC under Sections 13(a), 13(c), 14 or 15(d) of the Exchange Act (in each case, other than those documents or the portions of those documents not deemed to be filed) until the offering of the securities under the registration statement is terminated or completed:</w:t>
      </w:r>
    </w:p>
    <w:p>
      <w:pPr>
        <w:spacing w:after="0" w:line="9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w:t>
      </w:r>
      <w:hyperlink r:id="rId73">
        <w:r>
          <w:rPr>
            <w:rFonts w:ascii="Times New Roman" w:cs="Times New Roman" w:eastAsia="Times New Roman" w:hAnsi="Times New Roman"/>
            <w:sz w:val="18"/>
            <w:szCs w:val="18"/>
            <w:u w:val="single" w:color="auto"/>
            <w:color w:val="0000EE"/>
          </w:rPr>
          <w:t>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19, 2026;</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2025 Form 10-K from our definitive proxy statement on </w:t>
      </w:r>
      <w:hyperlink r:id="rId7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(other than information furnished rather than filed), filed with the SEC on April 22, 2026;</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May 6, 2026;</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6">
        <w:r>
          <w:rPr>
            <w:rFonts w:ascii="Times New Roman" w:cs="Times New Roman" w:eastAsia="Times New Roman" w:hAnsi="Times New Roman"/>
            <w:sz w:val="18"/>
            <w:szCs w:val="18"/>
            <w:u w:val="single" w:color="auto"/>
            <w:color w:val="0000EE"/>
          </w:rPr>
          <w:t>June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7">
        <w:r>
          <w:rPr>
            <w:rFonts w:ascii="Times New Roman" w:cs="Times New Roman" w:eastAsia="Times New Roman" w:hAnsi="Times New Roman"/>
            <w:sz w:val="18"/>
            <w:szCs w:val="18"/>
            <w:u w:val="single" w:color="auto"/>
            <w:color w:val="0000EE"/>
          </w:rPr>
          <w:t>June 22, 2026</w:t>
        </w:r>
      </w:hyperlink>
      <w:r>
        <w:rPr>
          <w:rFonts w:ascii="Times New Roman" w:cs="Times New Roman" w:eastAsia="Times New Roman" w:hAnsi="Times New Roman"/>
          <w:sz w:val="18"/>
          <w:szCs w:val="18"/>
          <w:color w:val="auto"/>
        </w:rPr>
        <w:t>, to the extent the information in such reports is filed and not furnished;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7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2025 Form 10-K, and any amendment or report filed with the SEC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that are specifically incorporated by reference into such documents. You should direct any requests for documents to Taysha Gene Therapies, Inc., Attn: Corporate Secretary, 3000 Pegasus Park Drive, Suite 1430, Dallas, Texas 75247, and our telephone number is (214) 612-0000.</w:t>
      </w:r>
    </w:p>
    <w:p>
      <w:pPr>
        <w:spacing w:after="0" w:line="183"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w:t>
      </w:r>
    </w:p>
    <w:p>
      <w:pPr>
        <w:spacing w:after="0" w:line="225" w:lineRule="exact"/>
        <w:rPr>
          <w:rFonts w:ascii="Times New Roman" w:cs="Times New Roman" w:eastAsia="Times New Roman" w:hAnsi="Times New Roman"/>
          <w:sz w:val="18"/>
          <w:szCs w:val="18"/>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540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7830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6"/>
          <w:szCs w:val="16"/>
          <w:color w:val="auto"/>
        </w:rPr>
        <w:t>From time to time, we may offer and sell any combination of shares of our common stock, shares of our preferred stock, debt securities and warrants described in this prospectus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spacing w:after="0" w:line="177" w:lineRule="exact"/>
        <w:rPr>
          <w:sz w:val="20"/>
          <w:szCs w:val="20"/>
          <w:color w:val="auto"/>
        </w:rPr>
      </w:pPr>
    </w:p>
    <w:p>
      <w:pPr>
        <w:jc w:val="both"/>
        <w:ind w:left="120" w:right="480" w:firstLine="440"/>
        <w:spacing w:after="0" w:line="281"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w:t>
      </w:r>
    </w:p>
    <w:p>
      <w:pPr>
        <w:spacing w:after="0" w:line="177"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6"/>
          <w:szCs w:val="16"/>
          <w:color w:val="auto"/>
        </w:rPr>
        <w:t>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7" w:lineRule="exact"/>
        <w:rPr>
          <w:sz w:val="20"/>
          <w:szCs w:val="20"/>
          <w:color w:val="auto"/>
        </w:rPr>
      </w:pPr>
    </w:p>
    <w:p>
      <w:pPr>
        <w:ind w:left="120" w:right="260" w:firstLine="440"/>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and “smaller reporting company” under the federal securities laws and, as such, are subject to reduced public company reporting requirements. See “Prospectus Summary— Implications of Being an Emerging Growth Company and Smaller Reporting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any securities unless accompanied by a prospectus supplement.</w:t>
      </w:r>
    </w:p>
    <w:p>
      <w:pPr>
        <w:spacing w:after="0" w:line="23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“TSHA.” On November 3, 2025, the last reported sale price of our common stock was $4.46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177"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6"/>
          <w:szCs w:val="16"/>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0" w:right="100" w:firstLine="44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on page 8 of this prospectus and in any applicable prospectus supplement and related free writing prospectus, and under similar headings in the other documents that are incorporated by reference into this prospectus.</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4, 2025.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a part of an automatic registration statement on Form S-3 that we filed with the U.S. Securities and Exchange Commission, or the SEC, utilizing a “shelf” registration process as a “well-known seasoned issuer,” as defined in Rule 405 under the Securities Act of 1933, as amended, or the Securities Act. Under this shelf registration process, we may offer and sell, either individually or in combination, from time to time in one or more offerings, any combination of the securities described in this prospectus. No limit exists on the aggregate number or amount of securities we may sell pursuant to the registration statement of which this prospectus is a part.</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72"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640" w:firstLine="4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3" w:lineRule="exact"/>
        <w:rPr>
          <w:sz w:val="20"/>
          <w:szCs w:val="20"/>
          <w:color w:val="auto"/>
        </w:rPr>
      </w:pPr>
    </w:p>
    <w:p>
      <w:pPr>
        <w:ind w:left="120" w:right="300" w:firstLine="440"/>
        <w:spacing w:after="0" w:line="236" w:lineRule="auto"/>
        <w:rPr>
          <w:sz w:val="20"/>
          <w:szCs w:val="20"/>
          <w:color w:val="auto"/>
        </w:rPr>
      </w:pPr>
      <w:r>
        <w:rPr>
          <w:rFonts w:ascii="Times New Roman" w:cs="Times New Roman" w:eastAsia="Times New Roman" w:hAnsi="Times New Roman"/>
          <w:sz w:val="18"/>
          <w:szCs w:val="18"/>
          <w:color w:val="auto"/>
        </w:rPr>
        <w:t xml:space="preserve">As used in this prospectus, unless the context otherwise requires, references to “we,” “us,” “our,” “the company,” “Taysha” and “Taysha Gene Therapies” refer to Taysha Gene Therapies, Inc., together with its consolidated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361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r>
        <w:rPr>
          <w:rFonts w:ascii="Times New Roman" w:cs="Times New Roman" w:eastAsia="Times New Roman" w:hAnsi="Times New Roman"/>
          <w:sz w:val="18"/>
          <w:szCs w:val="18"/>
          <w:b w:val="1"/>
          <w:bCs w:val="1"/>
          <w:i w:val="1"/>
          <w:iCs w:val="1"/>
          <w:color w:val="auto"/>
        </w:rPr>
        <w: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73"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w:t>
      </w:r>
    </w:p>
    <w:p>
      <w:pPr>
        <w:spacing w:after="0" w:line="194"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 Dosing of the first patient in our REVEAL pivotal clinical trial has been scheduled for the fourth quarter of 2025.</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8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0" w:firstLine="426"/>
        <w:spacing w:after="0" w:line="276" w:lineRule="auto"/>
        <w:rPr>
          <w:sz w:val="20"/>
          <w:szCs w:val="20"/>
          <w:color w:val="auto"/>
        </w:rPr>
      </w:pPr>
      <w:r>
        <w:rPr>
          <w:rFonts w:ascii="Times New Roman" w:cs="Times New Roman" w:eastAsia="Times New Roman" w:hAnsi="Times New Roman"/>
          <w:sz w:val="17"/>
          <w:szCs w:val="17"/>
          <w:color w:val="auto"/>
        </w:rPr>
        <w:t>We were incorporated under the laws of the State of Texas in September 2019. In February 2020, we converted to a Delaware corporation. Our principal executive offices are located at 3000 Pegasus Park Drive, Suite 1430, Dallas, Texas 75247 and our telephone number is (214)</w:t>
      </w:r>
    </w:p>
    <w:p>
      <w:pPr>
        <w:spacing w:after="0" w:line="1" w:lineRule="exact"/>
        <w:rPr>
          <w:sz w:val="20"/>
          <w:szCs w:val="20"/>
          <w:color w:val="auto"/>
        </w:rPr>
      </w:pPr>
    </w:p>
    <w:p>
      <w:pPr>
        <w:ind w:left="300" w:right="660"/>
        <w:spacing w:after="0" w:line="260" w:lineRule="auto"/>
        <w:rPr>
          <w:sz w:val="20"/>
          <w:szCs w:val="20"/>
          <w:color w:val="auto"/>
        </w:rPr>
      </w:pPr>
      <w:r>
        <w:rPr>
          <w:rFonts w:ascii="Times New Roman" w:cs="Times New Roman" w:eastAsia="Times New Roman" w:hAnsi="Times New Roman"/>
          <w:sz w:val="18"/>
          <w:szCs w:val="18"/>
          <w:color w:val="auto"/>
        </w:rPr>
        <w:t xml:space="preserve">612-0000. Our website address is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 The information contained on, or accessible through, our website is not a part of or incorporated by reference into this prospectus. We have included our website in this prospectus solely as an inactive textual reference.</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81" w:lineRule="exact"/>
        <w:rPr>
          <w:sz w:val="20"/>
          <w:szCs w:val="20"/>
          <w:color w:val="auto"/>
        </w:rPr>
      </w:pPr>
    </w:p>
    <w:p>
      <w:pPr>
        <w:ind w:left="1240" w:right="100" w:hanging="415"/>
        <w:spacing w:after="0" w:line="266"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 Oxley Act of 2002, as amended;</w:t>
      </w:r>
    </w:p>
    <w:p>
      <w:pPr>
        <w:spacing w:after="0" w:line="67" w:lineRule="exact"/>
        <w:rPr>
          <w:rFonts w:ascii="Times New Roman" w:cs="Times New Roman" w:eastAsia="Times New Roman" w:hAnsi="Times New Roman"/>
          <w:sz w:val="18"/>
          <w:szCs w:val="18"/>
          <w:color w:val="auto"/>
        </w:rPr>
      </w:pPr>
    </w:p>
    <w:p>
      <w:pPr>
        <w:ind w:left="1240" w:right="660" w:hanging="415"/>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67" w:lineRule="exact"/>
        <w:rPr>
          <w:rFonts w:ascii="Times New Roman" w:cs="Times New Roman" w:eastAsia="Times New Roman" w:hAnsi="Times New Roman"/>
          <w:sz w:val="18"/>
          <w:szCs w:val="18"/>
          <w:color w:val="auto"/>
        </w:rPr>
      </w:pPr>
    </w:p>
    <w:p>
      <w:pPr>
        <w:ind w:left="1240" w:right="900" w:hanging="415"/>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67"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27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40" w:firstLine="426"/>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8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and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U.S. federal income tax considerations.</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21" w:lineRule="exact"/>
        <w:rPr>
          <w:sz w:val="20"/>
          <w:szCs w:val="20"/>
          <w:color w:val="auto"/>
        </w:rPr>
      </w:pPr>
    </w:p>
    <w:p>
      <w:pPr>
        <w:ind w:left="300" w:right="4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We may issue shares of our common stock from time to time. Holders of our common stock are entitled to one vote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held on all matters submitted to a vote of stockholders and do not have cumulative voting rights. Holders of common stock are entitled to receive ratably any dividends as may be declared by our board of directors, subject to any preferential dividend rights of any series of preferred stock that we may designate and issue in the future.</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9" w:lineRule="exact"/>
        <w:rPr>
          <w:sz w:val="20"/>
          <w:szCs w:val="20"/>
          <w:color w:val="auto"/>
        </w:rPr>
      </w:pPr>
    </w:p>
    <w:p>
      <w:pPr>
        <w:ind w:left="300" w:right="10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We may issue shares of our preferred stock from time to time, in one or more series. Under our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has the authority, without further action by the stockholders, to issue up to 10,000,000 shares of preferred stock, par value $0.00001 per share. You should refer to our certificate of incorporation, as amended, and our bylaws, both of which are included as exhibits to documents incorporated by reference in the registration statement of which this prospectus is a part.</w:t>
      </w:r>
    </w:p>
    <w:p>
      <w:pPr>
        <w:spacing w:after="0" w:line="180"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24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9" w:lineRule="exact"/>
        <w:rPr>
          <w:sz w:val="20"/>
          <w:szCs w:val="20"/>
          <w:color w:val="auto"/>
        </w:rPr>
      </w:pPr>
    </w:p>
    <w:p>
      <w:pPr>
        <w:ind w:left="300" w:right="2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We may issue debt securities from time to time, in one or more series, as either senior or subordinated debt or as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5" w:lineRule="exact"/>
        <w:rPr>
          <w:sz w:val="20"/>
          <w:szCs w:val="20"/>
          <w:color w:val="auto"/>
        </w:rPr>
      </w:pPr>
    </w:p>
    <w:p>
      <w:pPr>
        <w:ind w:left="300" w:right="120" w:firstLine="42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issue warrants for the purchase of common stock, preferred stock and/or debt securities in one or more series. We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issue warrants independently or together with common stock, preferred stock and/ 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76"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Please also read carefully the section below titled “Special Note Regarding Forward-Looking Statements.”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each applicable prospectus supplement and the information incorporated by reference herein and therein contain forward-looking statements within the meaning of Section 27A of the Securities Act and Section 21E of the Exchange Act, that involve substantial risks and uncertainties.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statements, other than statements of historical fact, contained in this prospectus, the applicable prospectus supplement, and the information incorporated by reference herein and therein, including statements regarding our strategy, future operations, future financial position, future revenue, projected costs, prospects, plans and objectives of management, are forward-looking statements. The words “anticipate,” “believe,” “estimate,” “expect,” “intend,” “may,” “plan,” “predict,” “project,” “target,” “potential,” “will,” “would,” “could,” “should,” “continue,” and similar expressions are intended to identify forward-looking statements, although not all forward-looking statements contain these identifying words.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the accompanying prospectus supplement and the information incorporated by reference herein and therein include, among other things, statements about:</w:t>
      </w:r>
    </w:p>
    <w:p>
      <w:pPr>
        <w:spacing w:after="0" w:line="67" w:lineRule="exact"/>
        <w:rPr>
          <w:sz w:val="20"/>
          <w:szCs w:val="20"/>
          <w:color w:val="auto"/>
        </w:rPr>
      </w:pPr>
    </w:p>
    <w:p>
      <w:pPr>
        <w:jc w:val="both"/>
        <w:ind w:left="1080" w:right="2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and Clinical Trial Agreement submissions, initiation of clinical trials and timing of expected clinical results for TSHA-102 for Rett syndrome and any other current and future product candidates that we advance;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 and strategy, including the scalability and commercial viability of our manufacturing methods and processes;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TSHA-102 or any other current or future product candidate that we advance;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including our next-generation technologies, to identify and develop future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litigation and our expectations regarding the outcome of lawsuits and other claims against us and any regulatory or legal proceedings;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term loan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cash runway, future revenue, expenses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proceeds from any offering under this prospectus, if any.</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due to various factors, including, but not limited to, those set forth under the heading “Risk Factors” in this prospectus, any applicable prospectus supplement, the documents incorporated by reference therein or any free writing prospectus that we may authorize. In addition, our forward-looking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required by law, we undertake no obligation to update or revise any forward-looking statements to reflect new information or future events or developments.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in any prospectus supplement or in any related free writing prospectus that we may authorize to be provided to you in connection with a specific offering, we currently intend to use the net proceeds from the sale of securities under this prospectus for general corporate purposes, including but not limited to,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if any, from the sale of securities under this prospectus. Accordingly, we will retain broad discretion over the use of such proceeds. We will set forth in the applicable prospectus supplement or free writing prospectus our intended use of the net proceeds received from the sale of any securities sold pursuant to the prospectus supplement or free writing prospectus. Pending the use of the net proceeds as described above, we intend to invest the net proceeds in investment-grade, interest-bearing instruments.</w:t>
      </w:r>
    </w:p>
    <w:p>
      <w:pPr>
        <w:spacing w:after="0" w:line="1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0"/>
          </w:cols>
          <w:pgMar w:left="320" w:top="455" w:right="7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bylaws are summaries. References to our certificate of incorporation herein refer to our certificate of incorporation as amended to the date of this prospectus. You should also refer to the certificate of incorporation (including the certificate of amendment thereto) and the bylaws, which are filed as exhibits to our most recent Annual Report on Form 10-K and are incorporated by reference herein.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700,000,000 shares of common stock, $0.00001 par value per share, and 10,000,000 shares of preferred stock, $0.00001 par value per share. Our board of directors may establish the rights and preferences of the preferred stock from time to time. As of September 30, 2025, we had outstanding 273,915,373 shares of common stock and no shares of preferred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The affirmative vote of holders of at least 66-2/3% of the voting power of all of the then-outstanding shares of capital stock, voting as a single class, is required to amend certain provisions of our certificate of incorporation, including provisions relating to amending the Company’s bylaws, the classified board, the size of the Company’s board, removal of directors, director liability, vacancies on the Company’s board, special meetings, stockholder notices, actions by written consent and exclusive forum.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our stockholders, from time to time, to designate and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Astellas Registration Rights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October 2022, we entered into a registration rights agreement, or the Astellas Registration Rights Agreement, with Astellas Gene Therapies, Inc. (f/k/a Audentes Therapeutics, Inc. (d/b/a Astellas Gene Therapy)), or Astellas, pursuant to which we agreed to register the resale of 7,266,342 shares of our common stock issued and sold to Astellas in a private placement, or the Astellas Shares. We agreed to use reasonable best efforts to keep such registration statement continuously effective until the earlier of (i) the date the Astellas Shares covered by such registration statement have been sold or may be resold pursuant to Rule 144 without restriction, or (ii) October 24, 2025.</w:t>
      </w:r>
    </w:p>
    <w:p>
      <w:pPr>
        <w:spacing w:after="0" w:line="183" w:lineRule="exact"/>
        <w:rPr>
          <w:sz w:val="20"/>
          <w:szCs w:val="20"/>
          <w:color w:val="auto"/>
        </w:rPr>
      </w:pPr>
    </w:p>
    <w:p>
      <w:pPr>
        <w:jc w:val="both"/>
        <w:ind w:left="120" w:right="640" w:firstLine="440"/>
        <w:spacing w:after="0" w:line="261" w:lineRule="auto"/>
        <w:rPr>
          <w:sz w:val="20"/>
          <w:szCs w:val="20"/>
          <w:color w:val="auto"/>
        </w:rPr>
      </w:pPr>
      <w:r>
        <w:rPr>
          <w:rFonts w:ascii="Times New Roman" w:cs="Times New Roman" w:eastAsia="Times New Roman" w:hAnsi="Times New Roman"/>
          <w:sz w:val="18"/>
          <w:szCs w:val="18"/>
          <w:color w:val="auto"/>
        </w:rPr>
        <w:t>In the event sales cannot be made pursuant to the registration statement, subject to certain limited exceptions, we agreed to make pro rata payments to each purchaser as liquidated damages in an amount equal to 1.0% of the aggregate amount paid by the purchaser for the registrable securities then held by the purchaser, per 30-day period or pro rata for any portion thereof for each such 30-day period during which such event continues, subject to certain caps set forth in the Astellas Registration Rights Agreement.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propose to register shares of our common stock for our own account or for the account of other stockholders, the holders of Astellas Shares are entitled to notice of the registration and are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SSI Registration Rights</w:t>
      </w:r>
    </w:p>
    <w:p>
      <w:pPr>
        <w:spacing w:after="0" w:line="119"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 April 2023, we entered into a securities purchase agreement, or the SSI Securities Purchase Agreement, with two affiliates of SSI Strategy Holdings LLC, or SSI, named therein, or the SSI Investors. Under the terms of the SSI Securities Purchase Agreement, we agreed to file a registration statement covering the resale of 705,218 shares of our common stock issued and sold to the SSI Investors, or the SSI Shares, and 525,000 shares of</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 issuable upon the exercise of outstanding warrants to purchase shares of our common stock, or SSI Warrant Shares, issued and sold to the SSI Investors in a private placement. We agreed to use reasonable best efforts to keep such registration statement continuously effective until the earlier of (i) the date the SSI Shares and SSI Warrant Shares covered by such registration statement have been sold or may be resold pursuant to Rule 144 without restriction, or (ii) April 5, 2026.</w:t>
      </w:r>
    </w:p>
    <w:p>
      <w:pPr>
        <w:spacing w:after="0" w:line="180" w:lineRule="exact"/>
        <w:rPr>
          <w:sz w:val="20"/>
          <w:szCs w:val="20"/>
          <w:color w:val="auto"/>
        </w:rPr>
      </w:pPr>
    </w:p>
    <w:p>
      <w:pPr>
        <w:jc w:val="both"/>
        <w:ind w:left="120" w:right="660" w:firstLine="440"/>
        <w:spacing w:after="0" w:line="261" w:lineRule="auto"/>
        <w:rPr>
          <w:sz w:val="20"/>
          <w:szCs w:val="20"/>
          <w:color w:val="auto"/>
        </w:rPr>
      </w:pPr>
      <w:r>
        <w:rPr>
          <w:rFonts w:ascii="Times New Roman" w:cs="Times New Roman" w:eastAsia="Times New Roman" w:hAnsi="Times New Roman"/>
          <w:sz w:val="18"/>
          <w:szCs w:val="18"/>
          <w:color w:val="auto"/>
        </w:rPr>
        <w:t>In the event sales cannot be made pursuant to the registration statement, subject to certain limited exceptions, we agreed to make pro rata payments to each purchaser as liquidated damages in an amount equal to 1.0% of the aggregate amount paid by the purchaser for the registrable securities then held by the purchaser, per 30-day period or pro rata for any portion thereof for each such 30-day period during which such event continues, subject to certain caps set forth in the SSI Securities Purchase Agreement.</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propose to register shares of our common stock for our own account or for the account of other stockholders, the holders of SSI Shares and SSI Warrant Shares are entitled to notice of the registration and are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Private Placement Registration Rights</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August 2023, we entered into a securities purchase agreement, or the 2023 Purchase Agreement, with certain institutional and other accredited investors, or the PIPE Investors. Under the terms of the 2023 Purchase Agreement, we agreed to prepare and file one or more registration statements to register for resale 122,412,376 shares of our common stock issued and sold to the PIPE Investors and 44,250,978 shares of our common stock issuable upon the exercise of outstanding pre-funded warrants to purchase shares of our common stock issued and sold to the PIPE Investors, collectively the PIPE Shares. We also agreed to use our best efforts to keep such registration statement effective until the earlier of (i) the third anniversary of the date the initial registration statement is declared effective, or (ii) the date all PIPE Shares (assuming cashless exercise of the pre-funded warrants) held by or issuable to a Holder (as defined in the 2023 Purchase Agreement), may be sold under Rule 144 without being subject to any volume, manner of sale or publicly available information requirements.</w:t>
      </w:r>
    </w:p>
    <w:p>
      <w:pPr>
        <w:spacing w:after="0" w:line="192"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the event the registration statement is suspended, ceases to remain continuously effective or is unavailable for purchasers to sell registrable securities, subject to certain limited exceptions, we agreed to make pro rata payments to each purchaser as liquidated damages in an amount equal to 1.0% of the Purchaser’s Subscription Amount (as defined in the 2023 Purchase Agreement), per 20-day period or pro rata for any portion thereof for each such 20-day period during which such event continues, subject to certain caps set forth in the 2023 Purchase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Observer Rights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2022, we entered into a securities purchase agreement with Astellas, or the Astellas SPA, pursuant to which Astellas has the right to designate one individual to attend all meetings of the board of directors in a non-voting observer capacity, or the Astellas Board Observer. The Astellas Board Observer is entitled to all notices, minutes, consents and other materials provided to our directors at the same time and in the same manner as provided to such directors. The Astellas Board Observer right terminates upon a Change of Control (as defined in the Astellas SPA) or when Astellas no longer holds shares of our common stock.</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June 2023, our board of directors appointed Paul B. Manning as a non-voting board observer, and in such capacity, Mr. Manning may attend, in a non-voting capacity, all meetings of the Board.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1" w:lineRule="exact"/>
        <w:rPr>
          <w:sz w:val="20"/>
          <w:szCs w:val="20"/>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certificate of incorporation and bylaws provide that directors may be removed by the stockholders only for cause upon the vote of 66-2/3%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also provide that all stockholder actions must be effected at a duly called meeting of stockholders and will eliminate the right of stockholders to act by written consent without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meeting. The bylaws provide that only the Chairman of the board, Chief Executive Officer or the board of directors pursuant to a resolution adopted by a majority of the total number of authorized directors may call a special meeting of stockholders. The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stockholders cannot amend many of the provisions described above except by a vote of 66-2/3% or more of our outstanding common stock.</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gives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our certificate of incorporation or our bylaws;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amended and restated bylaws;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provision does not apply to suits brought to enforce a duty or liability created by the Exchange Act or to claims for which the federal courts have exclusive jurisdiction. Furthermore, Section 22 of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(f/k/a American Stock Transfer &amp; Trust Company, LLC), with offices at 55 Challenger Road, Ridgefield Park, NJ 07660.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“TSHA.”</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320" w:top="455" w:right="5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20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22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 to the extent applicable:</w:t>
      </w:r>
    </w:p>
    <w:p>
      <w:pPr>
        <w:spacing w:after="0" w:line="6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Global Select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price.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92"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Any underwriters or agents who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 As of the date of this prospectus, GC&amp;H Investments, LLC, an entity consisting of current and former partners and associates of Cooley LLP, beneficially holds an aggregate of 91,396 shares of our common stock.</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Taysha Gene Therapies, Inc. and subsidiaries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than the information contained in or incorporated by reference in this prospectus.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ind w:left="120" w:right="40" w:firstLine="440"/>
        <w:spacing w:after="0" w:line="315"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that contains reports, proxy and information statements, and other information regarding issuers, such as us, that file electronically with the SEC.</w:t>
      </w:r>
    </w:p>
    <w:p>
      <w:pPr>
        <w:spacing w:after="0" w:line="13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Copies of certain information filed by us with the SEC are also available on our website at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 Information contained in or accessible through our website does not constitute a part of this prospectus and is not incorporated by reference in this prospectus. We have included our website address as an inactive textual reference only.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001-39536. The documents incorporated by reference into this prospectus contain important information that you should read about 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26, 2025;</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from our Definitive Proxy Statement on </w:t>
      </w:r>
      <w:hyperlink r:id="rId12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21, 2025;</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127">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9">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15, 2025, August 12, 2025, and November 4, 2025 respectively;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30">
        <w:r>
          <w:rPr>
            <w:rFonts w:ascii="Times New Roman" w:cs="Times New Roman" w:eastAsia="Times New Roman" w:hAnsi="Times New Roman"/>
            <w:sz w:val="18"/>
            <w:szCs w:val="18"/>
            <w:u w:val="single" w:color="auto"/>
            <w:color w:val="0000EE"/>
          </w:rPr>
          <w:t>May 28, 2025</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EE"/>
          </w:rPr>
          <w:t>May 29, 2025</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EE"/>
          </w:rPr>
          <w:t>October 2, 2025</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EE"/>
          </w:rPr>
          <w:t>October 9, 2025</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0000EE"/>
          </w:rPr>
          <w:t>October 16,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36">
        <w:r>
          <w:rPr>
            <w:rFonts w:ascii="Times New Roman" w:cs="Times New Roman" w:eastAsia="Times New Roman" w:hAnsi="Times New Roman"/>
            <w:sz w:val="18"/>
            <w:szCs w:val="18"/>
            <w:u w:val="single" w:color="auto"/>
            <w:color w:val="0000EE"/>
          </w:rPr>
          <w:t xml:space="preserve">November 4,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Current Report on 8-K/A filed with the SEC on</w:t>
      </w:r>
      <w:r>
        <w:rPr>
          <w:rFonts w:ascii="Times New Roman" w:cs="Times New Roman" w:eastAsia="Times New Roman" w:hAnsi="Times New Roman"/>
          <w:sz w:val="18"/>
          <w:szCs w:val="18"/>
          <w:color w:val="0000EE"/>
        </w:rPr>
        <w:t xml:space="preserve"> </w:t>
      </w:r>
      <w:hyperlink r:id="rId137">
        <w:r>
          <w:rPr>
            <w:rFonts w:ascii="Times New Roman" w:cs="Times New Roman" w:eastAsia="Times New Roman" w:hAnsi="Times New Roman"/>
            <w:sz w:val="18"/>
            <w:szCs w:val="18"/>
            <w:u w:val="single" w:color="auto"/>
            <w:color w:val="0000EE"/>
          </w:rPr>
          <w:t>May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in such reports is filed and not furnished; and</w:t>
      </w:r>
    </w:p>
    <w:p>
      <w:pPr>
        <w:spacing w:after="0" w:line="81" w:lineRule="exact"/>
        <w:rPr>
          <w:rFonts w:ascii="Times New Roman" w:cs="Times New Roman" w:eastAsia="Times New Roman" w:hAnsi="Times New Roman"/>
          <w:sz w:val="18"/>
          <w:szCs w:val="18"/>
          <w:color w:val="0000EE"/>
        </w:rPr>
      </w:pPr>
    </w:p>
    <w:p>
      <w:pPr>
        <w:ind w:left="1080" w:right="1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13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Quarterly Report on </w:t>
      </w:r>
      <w:hyperlink r:id="rId1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on August 12, 2024, and any amendment or report filed with the SEC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Taysha Gene Therapies, Inc., Attn: Corporate Secretary, 3000 Pegasus Park Drive, Suite 1430, Dallas, Texas 75247, and our telephone number is (214) 612-0000.</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344170</wp:posOffset>
            </wp:positionV>
            <wp:extent cx="1714500" cy="4972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17145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118" w:lineRule="exact"/>
        <w:rPr>
          <w:sz w:val="20"/>
          <w:szCs w:val="20"/>
          <w:color w:val="auto"/>
        </w:rPr>
      </w:pPr>
    </w:p>
    <w:p>
      <w:pPr>
        <w:ind w:left="2520"/>
        <w:spacing w:after="0"/>
        <w:tabs>
          <w:tab w:leader="none" w:pos="7700" w:val="left"/>
        </w:tabs>
        <w:rPr>
          <w:sz w:val="20"/>
          <w:szCs w:val="20"/>
          <w:color w:val="auto"/>
        </w:rPr>
      </w:pPr>
      <w:r>
        <w:rPr>
          <w:rFonts w:ascii="Times New Roman" w:cs="Times New Roman" w:eastAsia="Times New Roman" w:hAnsi="Times New Roman"/>
          <w:sz w:val="25"/>
          <w:szCs w:val="25"/>
          <w:b w:val="1"/>
          <w:bCs w:val="1"/>
          <w:color w:val="auto"/>
        </w:rPr>
        <w:t xml:space="preserve">Pre-Funded Warrants to Purchase up to        </w:t>
        <w:tab/>
        <w:t>Shares of</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07" w:lineRule="exact"/>
        <w:rPr>
          <w:sz w:val="20"/>
          <w:szCs w:val="20"/>
          <w:color w:val="auto"/>
        </w:rPr>
      </w:pPr>
    </w:p>
    <w:p>
      <w:pPr>
        <w:ind w:left="120"/>
        <w:spacing w:after="0"/>
        <w:tabs>
          <w:tab w:leader="none" w:pos="2500" w:val="left"/>
          <w:tab w:leader="none" w:pos="7420" w:val="left"/>
          <w:tab w:leader="none" w:pos="10240" w:val="left"/>
        </w:tabs>
        <w:rPr>
          <w:sz w:val="20"/>
          <w:szCs w:val="20"/>
          <w:color w:val="auto"/>
        </w:rPr>
      </w:pPr>
      <w:r>
        <w:rPr>
          <w:rFonts w:ascii="Times New Roman" w:cs="Times New Roman" w:eastAsia="Times New Roman" w:hAnsi="Times New Roman"/>
          <w:sz w:val="29"/>
          <w:szCs w:val="29"/>
          <w:b w:val="1"/>
          <w:bCs w:val="1"/>
          <w:color w:val="auto"/>
        </w:rPr>
        <w:t>Jefferies</w:t>
      </w:r>
      <w:r>
        <w:rPr>
          <w:sz w:val="20"/>
          <w:szCs w:val="20"/>
          <w:color w:val="auto"/>
        </w:rPr>
        <w:tab/>
      </w: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9"/>
          <w:szCs w:val="29"/>
          <w:b w:val="1"/>
          <w:bCs w:val="1"/>
          <w:color w:val="auto"/>
        </w:rPr>
        <w:t>Piper Sandler</w:t>
      </w:r>
      <w:r>
        <w:rPr>
          <w:sz w:val="20"/>
          <w:szCs w:val="20"/>
          <w:color w:val="auto"/>
        </w:rPr>
        <w:tab/>
      </w:r>
      <w:r>
        <w:rPr>
          <w:rFonts w:ascii="Times New Roman" w:cs="Times New Roman" w:eastAsia="Times New Roman" w:hAnsi="Times New Roman"/>
          <w:sz w:val="28"/>
          <w:szCs w:val="28"/>
          <w:b w:val="1"/>
          <w:bCs w:val="1"/>
          <w:color w:val="auto"/>
        </w:rPr>
        <w:t>Cantor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Lead Manager</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Baird</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dated 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bullet"/>
      <w:start w:val="1"/>
    </w:lvl>
  </w:abstractNum>
  <w:abstractNum w:abstractNumId="4">
    <w:nsid w:val="22221A70"/>
    <w:multiLevelType w:val="hybridMultilevel"/>
    <w:lvl w:ilvl="0">
      <w:lvlJc w:val="left"/>
      <w:lvlText w:val="2"/>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Roman"/>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lowerRoman"/>
      <w:start w:val="2"/>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2"/>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jpe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jpeg"/><Relationship Id="rId144" Type="http://schemas.openxmlformats.org/officeDocument/2006/relationships/image" Target="media/image116.png"/><Relationship Id="rId73" Type="http://schemas.openxmlformats.org/officeDocument/2006/relationships/hyperlink" Target="http://www.sec.gov/ix?doc=/Archives/edgar/data/1806310/000119312526115202/tsha-20251231.htm" TargetMode="External"/><Relationship Id="rId74" Type="http://schemas.openxmlformats.org/officeDocument/2006/relationships/hyperlink" Target="http://www.sec.gov/ix?doc=/Archives/edgar/data/1806310/000119312526168525/d94391ddef14a.htm" TargetMode="External"/><Relationship Id="rId75" Type="http://schemas.openxmlformats.org/officeDocument/2006/relationships/hyperlink" Target="http://www.sec.gov/ix?doc=/Archives/edgar/data/1806310/000119312526207666/tsha-20260331.htm" TargetMode="External"/><Relationship Id="rId76" Type="http://schemas.openxmlformats.org/officeDocument/2006/relationships/hyperlink" Target="http://www.sec.gov/ix?doc=/Archives/edgar/data/1806310/000119312526253478/d159199d8k.htm" TargetMode="External"/><Relationship Id="rId77" Type="http://schemas.openxmlformats.org/officeDocument/2006/relationships/hyperlink" Target="http://www.sec.gov/ix?doc=/Archives/edgar/data/1806310/000119312526276738/d20817d8k.htm" TargetMode="External"/><Relationship Id="rId78" Type="http://schemas.openxmlformats.org/officeDocument/2006/relationships/hyperlink" Target="http://www.sec.gov/Archives/edgar/data/1806310/000119312526115202/tsha-ex4_2.htm" TargetMode="External"/><Relationship Id="rId125" Type="http://schemas.openxmlformats.org/officeDocument/2006/relationships/hyperlink" Target="http://www.sec.gov/ix?doc=/Archives/edgar/data/1806310/000095017025027348/tsha-20241231.htm" TargetMode="External"/><Relationship Id="rId126" Type="http://schemas.openxmlformats.org/officeDocument/2006/relationships/hyperlink" Target="http://www.sec.gov/ix?doc=/Archives/edgar/data/1806310/000119312525087214/d805582ddef14a.htm" TargetMode="External"/><Relationship Id="rId127" Type="http://schemas.openxmlformats.org/officeDocument/2006/relationships/hyperlink" Target="http://www.sec.gov/ix?doc=/Archives/edgar/data/1806310/000095017025072036/tsha-20250331.htm" TargetMode="External"/><Relationship Id="rId128" Type="http://schemas.openxmlformats.org/officeDocument/2006/relationships/hyperlink" Target="http://www.sec.gov/ix?doc=/Archives/edgar/data/1806310/000095017025107010/tsha-20250630.htm" TargetMode="External"/><Relationship Id="rId129" Type="http://schemas.openxmlformats.org/officeDocument/2006/relationships/hyperlink" Target="http://www.sec.gov/ix?doc=/Archives/edgar/data/1806310/000119312525263506/tsha-20250930.htm" TargetMode="External"/><Relationship Id="rId130" Type="http://schemas.openxmlformats.org/officeDocument/2006/relationships/hyperlink" Target="http://www.sec.gov/ix?doc=/Archives/edgar/data/1806310/000119312525129494/d904503d8k.htm" TargetMode="External"/><Relationship Id="rId131" Type="http://schemas.openxmlformats.org/officeDocument/2006/relationships/hyperlink" Target="http://www.sec.gov/ix?doc=/Archives/edgar/data/1806310/000119312525130709/d948981d8k.htm" TargetMode="External"/><Relationship Id="rId132" Type="http://schemas.openxmlformats.org/officeDocument/2006/relationships/hyperlink" Target="http://www.sec.gov/ix?doc=/Archives/edgar/data/1806310/000119312525133745/d843671d8k.htm" TargetMode="External"/><Relationship Id="rId133" Type="http://schemas.openxmlformats.org/officeDocument/2006/relationships/hyperlink" Target="http://www.sec.gov/ix?doc=/Archives/edgar/data/1806310/000119312525227505/d61846d8k.htm" TargetMode="External"/><Relationship Id="rId134" Type="http://schemas.openxmlformats.org/officeDocument/2006/relationships/hyperlink" Target="http://www.sec.gov/ix?doc=/Archives/edgar/data/1806310/000119312525235212/d949053d8k.htm" TargetMode="External"/><Relationship Id="rId135" Type="http://schemas.openxmlformats.org/officeDocument/2006/relationships/hyperlink" Target="http://www.sec.gov/ix?doc=/Archives/edgar/data/1806310/000119312525241415/d35488d8k.htm" TargetMode="External"/><Relationship Id="rId136" Type="http://schemas.openxmlformats.org/officeDocument/2006/relationships/hyperlink" Target="http://www.sec.gov/ix?doc=/Archives/edgar/data/1806310/000119312525263543/d17004d8k.htm" TargetMode="External"/><Relationship Id="rId137" Type="http://schemas.openxmlformats.org/officeDocument/2006/relationships/hyperlink" Target="http://www.sec.gov/ix?doc=/Archives/edgar/data/1806310/000119312525129849/d907074d8ka.htm" TargetMode="External"/><Relationship Id="rId138" Type="http://schemas.openxmlformats.org/officeDocument/2006/relationships/hyperlink" Target="http://www.sec.gov/Archives/edgar/data/1806310/000095017024095082/tsha-ex4_1.htm" TargetMode="External"/><Relationship Id="rId139" Type="http://schemas.openxmlformats.org/officeDocument/2006/relationships/hyperlink" Target="http://www.sec.gov/ix?doc=/Archives/edgar/data/1806310/000095017024095082/tsha-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2026-06-24T17:09:49Z</dcterms:created>
  <dcterms:modified xsi:type="dcterms:W3CDTF">2026-06-24T17:09:49Z</dcterms:modified>
</cp:coreProperties>
</file>