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8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001-39536</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color w:val="auto"/>
        </w:rPr>
        <w:t>Taysha Gene Therapies,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tbl>
      <w:tblPr>
        <w:tblLayout w:type="fixed"/>
        <w:tblInd w:w="1680" w:type="dxa"/>
        <w:tblCellMar>
          <w:top w:w="0" w:type="dxa"/>
          <w:left w:w="0" w:type="dxa"/>
          <w:bottom w:w="0" w:type="dxa"/>
          <w:right w:w="0" w:type="dxa"/>
        </w:tblCellMar>
      </w:tblPr>
      <w:tr>
        <w:trPr>
          <w:trHeight w:val="194"/>
        </w:trPr>
        <w:tc>
          <w:tcPr>
            <w:tcW w:w="4240" w:type="dxa"/>
            <w:vAlign w:val="bottom"/>
          </w:tcPr>
          <w:p>
            <w:pPr>
              <w:jc w:val="center"/>
              <w:ind w:right="1904"/>
              <w:spacing w:after="0"/>
              <w:rPr>
                <w:sz w:val="20"/>
                <w:szCs w:val="20"/>
                <w:color w:val="auto"/>
              </w:rPr>
            </w:pPr>
            <w:r>
              <w:rPr>
                <w:rFonts w:ascii="Times New Roman" w:cs="Times New Roman" w:eastAsia="Times New Roman" w:hAnsi="Times New Roman"/>
                <w:sz w:val="16"/>
                <w:szCs w:val="16"/>
                <w:color w:val="auto"/>
              </w:rPr>
              <w:t>Delaware</w:t>
            </w:r>
          </w:p>
        </w:tc>
        <w:tc>
          <w:tcPr>
            <w:tcW w:w="30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84-3199512</w:t>
            </w:r>
          </w:p>
        </w:tc>
      </w:tr>
      <w:tr>
        <w:trPr>
          <w:trHeight w:val="148"/>
        </w:trPr>
        <w:tc>
          <w:tcPr>
            <w:tcW w:w="4240" w:type="dxa"/>
            <w:vAlign w:val="bottom"/>
          </w:tcPr>
          <w:p>
            <w:pPr>
              <w:jc w:val="center"/>
              <w:ind w:right="1904"/>
              <w:spacing w:after="0" w:line="149" w:lineRule="exact"/>
              <w:rPr>
                <w:sz w:val="20"/>
                <w:szCs w:val="20"/>
                <w:color w:val="auto"/>
              </w:rPr>
            </w:pPr>
            <w:r>
              <w:rPr>
                <w:rFonts w:ascii="Times New Roman" w:cs="Times New Roman" w:eastAsia="Times New Roman" w:hAnsi="Times New Roman"/>
                <w:sz w:val="14"/>
                <w:szCs w:val="14"/>
                <w:color w:val="auto"/>
              </w:rPr>
              <w:t>( State or other jurisdiction of</w:t>
            </w:r>
          </w:p>
        </w:tc>
        <w:tc>
          <w:tcPr>
            <w:tcW w:w="3040" w:type="dxa"/>
            <w:vAlign w:val="bottom"/>
          </w:tcPr>
          <w:p>
            <w:pPr>
              <w:jc w:val="center"/>
              <w:ind w:left="190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240" w:type="dxa"/>
            <w:vAlign w:val="bottom"/>
          </w:tcPr>
          <w:p>
            <w:pPr>
              <w:jc w:val="center"/>
              <w:ind w:right="1884"/>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39"/>
        </w:trPr>
        <w:tc>
          <w:tcPr>
            <w:tcW w:w="4240" w:type="dxa"/>
            <w:vAlign w:val="bottom"/>
          </w:tcPr>
          <w:p>
            <w:pPr>
              <w:jc w:val="center"/>
              <w:ind w:right="1884"/>
              <w:spacing w:after="0"/>
              <w:rPr>
                <w:sz w:val="20"/>
                <w:szCs w:val="20"/>
                <w:color w:val="auto"/>
              </w:rPr>
            </w:pPr>
            <w:r>
              <w:rPr>
                <w:rFonts w:ascii="Times New Roman" w:cs="Times New Roman" w:eastAsia="Times New Roman" w:hAnsi="Times New Roman"/>
                <w:sz w:val="16"/>
                <w:szCs w:val="16"/>
                <w:color w:val="auto"/>
              </w:rPr>
              <w:t>2280 Inwood Road</w:t>
            </w:r>
          </w:p>
        </w:tc>
        <w:tc>
          <w:tcPr>
            <w:tcW w:w="3040" w:type="dxa"/>
            <w:vAlign w:val="bottom"/>
          </w:tcPr>
          <w:p>
            <w:pPr>
              <w:spacing w:after="0"/>
              <w:rPr>
                <w:sz w:val="20"/>
                <w:szCs w:val="20"/>
                <w:color w:val="auto"/>
              </w:rPr>
            </w:pPr>
          </w:p>
        </w:tc>
      </w:tr>
      <w:tr>
        <w:trPr>
          <w:trHeight w:val="194"/>
        </w:trPr>
        <w:tc>
          <w:tcPr>
            <w:tcW w:w="4240" w:type="dxa"/>
            <w:vAlign w:val="bottom"/>
          </w:tcPr>
          <w:p>
            <w:pPr>
              <w:jc w:val="center"/>
              <w:ind w:right="1884"/>
              <w:spacing w:after="0"/>
              <w:rPr>
                <w:sz w:val="20"/>
                <w:szCs w:val="20"/>
                <w:color w:val="auto"/>
              </w:rPr>
            </w:pPr>
            <w:r>
              <w:rPr>
                <w:rFonts w:ascii="Times New Roman" w:cs="Times New Roman" w:eastAsia="Times New Roman" w:hAnsi="Times New Roman"/>
                <w:sz w:val="16"/>
                <w:szCs w:val="16"/>
                <w:color w:val="auto"/>
              </w:rPr>
              <w:t>Dallas, Texas</w:t>
            </w:r>
          </w:p>
        </w:tc>
        <w:tc>
          <w:tcPr>
            <w:tcW w:w="304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75235</w:t>
            </w:r>
          </w:p>
        </w:tc>
      </w:tr>
      <w:tr>
        <w:trPr>
          <w:trHeight w:val="188"/>
        </w:trPr>
        <w:tc>
          <w:tcPr>
            <w:tcW w:w="4240" w:type="dxa"/>
            <w:vAlign w:val="bottom"/>
          </w:tcPr>
          <w:p>
            <w:pPr>
              <w:jc w:val="center"/>
              <w:ind w:right="188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(214) 612-0000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99"/>
              </w:rPr>
              <w:t>Trading</w:t>
            </w:r>
          </w:p>
        </w:tc>
        <w:tc>
          <w:tcPr>
            <w:tcW w:w="920" w:type="dxa"/>
            <w:vAlign w:val="bottom"/>
            <w:gridSpan w:val="2"/>
            <w:vMerge w:val="restart"/>
          </w:tcPr>
          <w:p>
            <w:pPr>
              <w:spacing w:after="0"/>
              <w:rPr>
                <w:sz w:val="18"/>
                <w:szCs w:val="18"/>
                <w:color w:val="auto"/>
              </w:rPr>
            </w:pPr>
          </w:p>
        </w:tc>
        <w:tc>
          <w:tcPr>
            <w:tcW w:w="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580" w:type="dxa"/>
            <w:vAlign w:val="bottom"/>
            <w:gridSpan w:val="2"/>
            <w:vMerge w:val="restart"/>
          </w:tcPr>
          <w:p>
            <w:pPr>
              <w:jc w:val="center"/>
              <w:ind w:right="8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color w:val="auto"/>
              </w:rPr>
              <w:t>Symbol(s)</w:t>
            </w:r>
          </w:p>
        </w:tc>
        <w:tc>
          <w:tcPr>
            <w:tcW w:w="3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gridSpan w:val="2"/>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gridSpan w:val="2"/>
          </w:tcPr>
          <w:p>
            <w:pPr>
              <w:jc w:val="center"/>
              <w:ind w:right="828"/>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53"/>
        </w:trPr>
        <w:tc>
          <w:tcPr>
            <w:tcW w:w="766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0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8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0"/>
        </w:trPr>
        <w:tc>
          <w:tcPr>
            <w:tcW w:w="766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0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8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340" w:firstLine="74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74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the definitions of “large accelerated filer,” “accelerated filer,” “smaller reporting company,” and </w:t>
      </w:r>
      <w:r>
        <w:rPr>
          <w:rFonts w:ascii="Times New Roman" w:cs="Times New Roman" w:eastAsia="Times New Roman" w:hAnsi="Times New Roman"/>
          <w:sz w:val="16"/>
          <w:szCs w:val="16"/>
          <w:color w:val="auto"/>
        </w:rPr>
        <w:t>“emerging growth company” in Rule 12b-2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3" w:lineRule="exact"/>
        <w:rPr>
          <w:sz w:val="24"/>
          <w:szCs w:val="24"/>
          <w:color w:val="auto"/>
        </w:rPr>
      </w:pPr>
    </w:p>
    <w:p>
      <w:pPr>
        <w:ind w:right="480" w:firstLine="74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140" w:firstLine="74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760"/>
        <w:spacing w:after="0" w:line="161" w:lineRule="exact"/>
        <w:tabs>
          <w:tab w:leader="none" w:pos="7440" w:val="left"/>
          <w:tab w:leader="none" w:pos="80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right="100" w:firstLine="749"/>
        <w:spacing w:after="0" w:line="261" w:lineRule="auto"/>
        <w:rPr>
          <w:sz w:val="20"/>
          <w:szCs w:val="20"/>
          <w:color w:val="auto"/>
        </w:rPr>
      </w:pPr>
      <w:r>
        <w:rPr>
          <w:rFonts w:ascii="Times New Roman" w:cs="Times New Roman" w:eastAsia="Times New Roman" w:hAnsi="Times New Roman"/>
          <w:sz w:val="14"/>
          <w:szCs w:val="14"/>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March 3, 2021, the registrant had 37,761,435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60" w:type="dxa"/>
            <w:vAlign w:val="bottom"/>
            <w:vMerge w:val="restart"/>
          </w:tcPr>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PART I</w:t>
              </w:r>
            </w:hyperlink>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8"/>
        </w:trPr>
        <w:tc>
          <w:tcPr>
            <w:tcW w:w="960" w:type="dxa"/>
            <w:vAlign w:val="bottom"/>
            <w:vMerge w:val="continue"/>
          </w:tcPr>
          <w:p>
            <w:pPr>
              <w:spacing w:after="0"/>
              <w:rPr>
                <w:sz w:val="18"/>
                <w:szCs w:val="18"/>
                <w:color w:val="auto"/>
              </w:rPr>
            </w:pPr>
          </w:p>
        </w:tc>
        <w:tc>
          <w:tcPr>
            <w:tcW w:w="9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Business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3"/>
        </w:trPr>
        <w:tc>
          <w:tcPr>
            <w:tcW w:w="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95">
              <w:r>
                <w:rPr>
                  <w:rFonts w:ascii="Times New Roman" w:cs="Times New Roman" w:eastAsia="Times New Roman" w:hAnsi="Times New Roman"/>
                  <w:sz w:val="18"/>
                  <w:szCs w:val="18"/>
                  <w:b w:val="1"/>
                  <w:bCs w:val="1"/>
                  <w:u w:val="single" w:color="auto"/>
                  <w:color w:val="0000EE"/>
                </w:rPr>
                <w:t>PART II</w:t>
              </w:r>
            </w:hyperlink>
          </w:p>
        </w:tc>
        <w:tc>
          <w:tcPr>
            <w:tcW w:w="9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Management’s Discussion and Analysis of Financial Condition and Results of Operation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3"/>
        </w:trPr>
        <w:tc>
          <w:tcPr>
            <w:tcW w:w="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29">
              <w:r>
                <w:rPr>
                  <w:rFonts w:ascii="Times New Roman" w:cs="Times New Roman" w:eastAsia="Times New Roman" w:hAnsi="Times New Roman"/>
                  <w:sz w:val="18"/>
                  <w:szCs w:val="18"/>
                  <w:b w:val="1"/>
                  <w:bCs w:val="1"/>
                  <w:u w:val="single" w:color="auto"/>
                  <w:color w:val="0000EE"/>
                </w:rPr>
                <w:t>PART III</w:t>
              </w:r>
            </w:hyperlink>
          </w:p>
        </w:tc>
        <w:tc>
          <w:tcPr>
            <w:tcW w:w="9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4"/>
        </w:trPr>
        <w:tc>
          <w:tcPr>
            <w:tcW w:w="96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42">
              <w:r>
                <w:rPr>
                  <w:rFonts w:ascii="Times New Roman" w:cs="Times New Roman" w:eastAsia="Times New Roman" w:hAnsi="Times New Roman"/>
                  <w:sz w:val="18"/>
                  <w:szCs w:val="18"/>
                  <w:b w:val="1"/>
                  <w:bCs w:val="1"/>
                  <w:u w:val="single" w:color="auto"/>
                  <w:color w:val="0000EE"/>
                </w:rPr>
                <w:t>PART IV</w:t>
              </w:r>
            </w:hyperlink>
          </w:p>
        </w:tc>
        <w:tc>
          <w:tcPr>
            <w:tcW w:w="9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2">
              <w:r>
                <w:rPr>
                  <w:rFonts w:ascii="Times New Roman" w:cs="Times New Roman" w:eastAsia="Times New Roman" w:hAnsi="Times New Roman"/>
                  <w:sz w:val="18"/>
                  <w:szCs w:val="18"/>
                  <w:u w:val="single" w:color="auto"/>
                  <w:color w:val="0000EE"/>
                </w:rPr>
                <w:t>Exhibits and Financial Statement Schedules</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500" w:type="dxa"/>
            <w:vAlign w:val="bottom"/>
          </w:tcPr>
          <w:p>
            <w:pPr>
              <w:ind w:left="200"/>
              <w:spacing w:after="0"/>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4"/>
        </w:trPr>
        <w:tc>
          <w:tcPr>
            <w:tcW w:w="960" w:type="dxa"/>
            <w:vAlign w:val="bottom"/>
          </w:tcPr>
          <w:p>
            <w:pPr>
              <w:spacing w:after="0"/>
              <w:rPr>
                <w:rFonts w:ascii="Times New Roman" w:cs="Times New Roman" w:eastAsia="Times New Roman" w:hAnsi="Times New Roman"/>
                <w:sz w:val="18"/>
                <w:szCs w:val="18"/>
                <w:u w:val="single" w:color="auto"/>
                <w:color w:val="0000EE"/>
              </w:rPr>
            </w:pPr>
            <w:hyperlink w:anchor="page144">
              <w:r>
                <w:rPr>
                  <w:rFonts w:ascii="Times New Roman" w:cs="Times New Roman" w:eastAsia="Times New Roman" w:hAnsi="Times New Roman"/>
                  <w:sz w:val="18"/>
                  <w:szCs w:val="18"/>
                  <w:u w:val="single" w:color="auto"/>
                  <w:color w:val="0000EE"/>
                </w:rPr>
                <w:t>Signatures</w:t>
              </w:r>
            </w:hyperlink>
          </w:p>
        </w:tc>
        <w:tc>
          <w:tcPr>
            <w:tcW w:w="9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ind w:right="260" w:firstLine="749"/>
        <w:spacing w:after="0" w:line="257" w:lineRule="auto"/>
        <w:rPr>
          <w:sz w:val="20"/>
          <w:szCs w:val="20"/>
          <w:color w:val="auto"/>
        </w:rPr>
      </w:pPr>
      <w:r>
        <w:rPr>
          <w:rFonts w:ascii="Times New Roman" w:cs="Times New Roman" w:eastAsia="Times New Roman" w:hAnsi="Times New Roman"/>
          <w:sz w:val="18"/>
          <w:szCs w:val="18"/>
          <w:color w:val="auto"/>
        </w:rPr>
        <w:t>This Annual Report on Form 10-K, or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86" w:lineRule="exact"/>
        <w:rPr>
          <w:sz w:val="20"/>
          <w:szCs w:val="20"/>
          <w:color w:val="auto"/>
        </w:rPr>
      </w:pPr>
    </w:p>
    <w:p>
      <w:pPr>
        <w:jc w:val="both"/>
        <w:ind w:left="1120" w:right="280" w:hanging="370"/>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120" w:right="40" w:hanging="370"/>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Investigational New Drug and Clinical Trial Agreement submissions, initiation of clinical trials and timing of expected clinical results for TSHA-101, TSHA-118, TSHA-102 and TSHA-104 and any other current and future product candidates that we advance;</w:t>
      </w:r>
    </w:p>
    <w:p>
      <w:pPr>
        <w:spacing w:after="0" w:line="67" w:lineRule="exact"/>
        <w:rPr>
          <w:rFonts w:ascii="Times New Roman" w:cs="Times New Roman" w:eastAsia="Times New Roman" w:hAnsi="Times New Roman"/>
          <w:sz w:val="18"/>
          <w:szCs w:val="18"/>
          <w:color w:val="auto"/>
        </w:rPr>
      </w:pPr>
    </w:p>
    <w:p>
      <w:pPr>
        <w:ind w:left="1120" w:right="50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53" w:lineRule="exact"/>
        <w:rPr>
          <w:rFonts w:ascii="Times New Roman" w:cs="Times New Roman" w:eastAsia="Times New Roman" w:hAnsi="Times New Roman"/>
          <w:sz w:val="18"/>
          <w:szCs w:val="18"/>
          <w:color w:val="auto"/>
        </w:rPr>
      </w:pPr>
    </w:p>
    <w:p>
      <w:pPr>
        <w:ind w:left="1120" w:right="26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the novel strain of coronavirus disease, COVID-19, which could adversely impact our business, including our preclinical studies, clinical supply and clinical trials;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17" w:lineRule="exact"/>
        <w:rPr>
          <w:rFonts w:ascii="Times New Roman" w:cs="Times New Roman" w:eastAsia="Times New Roman" w:hAnsi="Times New Roman"/>
          <w:sz w:val="18"/>
          <w:szCs w:val="18"/>
          <w:color w:val="auto"/>
        </w:rPr>
      </w:pPr>
    </w:p>
    <w:p>
      <w:pPr>
        <w:ind w:left="1120" w:right="4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capabilities and strategy, including the scalability and commercial viability of our manufacturing methods and processes;</w:t>
      </w:r>
    </w:p>
    <w:p>
      <w:pPr>
        <w:spacing w:after="0" w:line="128" w:lineRule="exact"/>
        <w:rPr>
          <w:rFonts w:ascii="Times New Roman" w:cs="Times New Roman" w:eastAsia="Times New Roman" w:hAnsi="Times New Roman"/>
          <w:sz w:val="17"/>
          <w:szCs w:val="17"/>
          <w:color w:val="auto"/>
        </w:rPr>
      </w:pPr>
    </w:p>
    <w:p>
      <w:pPr>
        <w:ind w:left="1120" w:right="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TSHA-101, TSHA-118, TSHA-102 and TSHA-104 or any other current or future product candidate that we advance;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platform, including our next-generation technologies,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120" w:right="1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and needs for additional financing;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33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spacing w:after="0" w:line="254" w:lineRule="auto"/>
        <w:rPr>
          <w:sz w:val="20"/>
          <w:szCs w:val="20"/>
          <w:color w:val="auto"/>
        </w:rPr>
      </w:pPr>
      <w:r>
        <w:rPr>
          <w:rFonts w:ascii="Times New Roman" w:cs="Times New Roman" w:eastAsia="Times New Roman" w:hAnsi="Times New Roman"/>
          <w:sz w:val="18"/>
          <w:szCs w:val="18"/>
          <w:color w:val="auto"/>
        </w:rPr>
        <w:t>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300"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spacing w:after="0" w:line="270"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All brand names or trademarks appearing in this Annual Report are the property of their respective owners. Solely for convenience, the trademarks and trade names in this Annual Report are referred to without the symbols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284"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report to “Taysha,” the “Company,” “we,” “us,” and “our” refer to Taysha Gene Therapies, Inc. together with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722"/>
        <w:spacing w:after="0" w:line="252" w:lineRule="auto"/>
        <w:rPr>
          <w:sz w:val="20"/>
          <w:szCs w:val="20"/>
          <w:color w:val="auto"/>
        </w:rPr>
      </w:pPr>
      <w:r>
        <w:rPr>
          <w:rFonts w:ascii="Times New Roman" w:cs="Times New Roman" w:eastAsia="Times New Roman" w:hAnsi="Times New Roman"/>
          <w:sz w:val="18"/>
          <w:szCs w:val="18"/>
          <w:color w:val="auto"/>
        </w:rPr>
        <w:t>We are a patient-centric gene therapy company focused on developing and commercializing AAV-based gene therapies for the treatment of monogenic diseases of the central nervous system, or CNS,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25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A Phase 1/2 clinical trial of TSHA-101 for the treatment of infantile GM2 gangliosidosis was initiated by Queen’s University under an accepted Clinical Trial Application, or CTA, in Canada and Queen’s University expects to report preliminary safety and biomarker data in the second half of 2021 and preliminary clinical data by the end of 2021. We also plan to submit an investigational new drug application, or IND, for TSHA-101 for the treatment of GM2 gangliosidosis to the U.S. Food and Drug Administration, or the FDA, and initiate a Phase 1/2 clinical trial in the United States, each in the second half of 2021. In addition, we plan to submit INDs / CTAs for each of TSHA-102 (Rett syndrome) and TSHA-104 (SURF1-associated Leigh syndrome) in the second half of 2021 and one of the following programs in 2021: TSHA-103 (SLC6A1 haploinsufficiency disorder), TSHA-105 (SLC13A5 deficiency), TSHA-111-LAFORIN (Lafora disease), TSHA-111-MALIN (Lafora disease), TSHA-112 (APBD) or TSHA-119 (GM2 AB variant). We are also developing TSHA-118 for the treatment of CLN1 disease (one of the forms of Batten disease) and intend to initiate a Phase 1/2 clinical trial of TSHA-118 in the second half of 2021 under a currently open IND. Further, we are working to advance four new undisclosed programs focused on neurodevelopmental disorders, genetic epilepsies and neurodegenerative diseases into preclinical development in 2021. In addition to our product pipeline candidates, we are building a platform of next-generation technologies to optimize key components of our AAV-based gene therapies, including redosing, transgene regulation and capsid development.</w:t>
      </w:r>
    </w:p>
    <w:p>
      <w:pPr>
        <w:spacing w:after="0" w:line="300" w:lineRule="exact"/>
        <w:rPr>
          <w:sz w:val="20"/>
          <w:szCs w:val="20"/>
          <w:color w:val="auto"/>
        </w:rPr>
      </w:pPr>
    </w:p>
    <w:p>
      <w:pPr>
        <w:ind w:right="140" w:firstLine="722"/>
        <w:spacing w:after="0" w:line="261" w:lineRule="auto"/>
        <w:rPr>
          <w:sz w:val="20"/>
          <w:szCs w:val="20"/>
          <w:color w:val="auto"/>
        </w:rPr>
      </w:pPr>
      <w:r>
        <w:rPr>
          <w:rFonts w:ascii="Times New Roman" w:cs="Times New Roman" w:eastAsia="Times New Roman" w:hAnsi="Times New Roman"/>
          <w:sz w:val="18"/>
          <w:szCs w:val="18"/>
          <w:color w:val="auto"/>
        </w:rPr>
        <w:t>Our pipeline consists of AAV9-based gene therapies intended to be delivered using the intrathecal route of administration. Our manufacturing process utilizes suspension HEK293 cell culture that is highly scalable from the preclinical stages of development through commercialization. We believe this combination of AAV9, intrathecal delivery and suspension cell culture will accelerate our product development timelines while enhancing our probability of successfully developing and commercializing safe, efficacious therapies for patients.</w:t>
      </w:r>
    </w:p>
    <w:p>
      <w:pPr>
        <w:spacing w:after="0" w:line="288"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We use an adeno-associated virus serotype 9, or AAV9, capsid, to deliver therapeutic genes engineered to replace a mutated gene, enhance the expression of a silenced gene or decrease the expression of a gene, depending on the underlying biology of the specific disease. In preclinical studies, the AAV9 capsid has been observed to have significantly higher transduction efficiency in cells of the CNS in comparison to AAV serotypes used in other gene therapy programs. In third-party clinical trials, AAV9 has been shown to be well tolerated, and in 2019, Zolgensma was approved as the first systemic gene therapy utilizing AAV9 for the treatment of spinal muscular atrophy, or SMA, Type 1, a severe neurodegenerative disease.</w:t>
      </w:r>
    </w:p>
    <w:p>
      <w:pPr>
        <w:spacing w:after="0" w:line="291" w:lineRule="exact"/>
        <w:rPr>
          <w:sz w:val="20"/>
          <w:szCs w:val="20"/>
          <w:color w:val="auto"/>
        </w:rPr>
      </w:pPr>
    </w:p>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We use intrathecal administration, which involves direct delivery of our gene therapies to the cerebrospinal fluid, or CSF, to facilitate optimal biodistribution and cell transduction within the CNS. Because the CNS is immune-privileged, intrathecal gene therapy may be administered even in the presence of pre-existing antibodies to AAV. We believe that intrathecal delivery of AAV9-based gene therapies provides the highest likelihood of achieving transformative efficacy for patients suffering from severe, life-threatening neurological diseases.</w:t>
      </w:r>
    </w:p>
    <w:p>
      <w:pPr>
        <w:spacing w:after="0" w:line="288" w:lineRule="exact"/>
        <w:rPr>
          <w:sz w:val="20"/>
          <w:szCs w:val="20"/>
          <w:color w:val="auto"/>
        </w:rPr>
      </w:pPr>
    </w:p>
    <w:p>
      <w:pPr>
        <w:ind w:right="80" w:firstLine="722"/>
        <w:spacing w:after="0" w:line="258" w:lineRule="auto"/>
        <w:rPr>
          <w:sz w:val="20"/>
          <w:szCs w:val="20"/>
          <w:color w:val="auto"/>
        </w:rPr>
      </w:pPr>
      <w:r>
        <w:rPr>
          <w:rFonts w:ascii="Times New Roman" w:cs="Times New Roman" w:eastAsia="Times New Roman" w:hAnsi="Times New Roman"/>
          <w:sz w:val="18"/>
          <w:szCs w:val="18"/>
          <w:color w:val="auto"/>
        </w:rPr>
        <w:t>Our flexible manufacturing processes allow us to produce our gene therapy product candidates efficiently at scale. Through our partnership with UT Southwestern, we have access to a Good Manufacturing Practice-, or GMP-, compliant manufacturing suite that utilizes a suspension HEK293 process to produce AAV9. We believe this capacity will be sufficient to meet the clinical demand for our full pipeline of product candidates. We also are establishing our own commercial-scale, GMP-compliant manufacturing facility in Durham, North Carolina to meet demand in the event that our product candidates receive marketing approval. We expect to initiate construction on this facility in 2021.</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ind w:right="20" w:firstLine="722"/>
        <w:spacing w:after="0" w:line="252" w:lineRule="auto"/>
        <w:rPr>
          <w:sz w:val="20"/>
          <w:szCs w:val="20"/>
          <w:color w:val="auto"/>
        </w:rPr>
      </w:pPr>
      <w:r>
        <w:rPr>
          <w:rFonts w:ascii="Times New Roman" w:cs="Times New Roman" w:eastAsia="Times New Roman" w:hAnsi="Times New Roman"/>
          <w:sz w:val="18"/>
          <w:szCs w:val="18"/>
          <w:color w:val="auto"/>
        </w:rPr>
        <w:t>Our portfolio of gene therapy candidates targets broad neurological indications across three distinct therapeutic categories, which together have the potential to address over 500,000 patients in the United States and the European Union: neurodegenerative diseases, neurodevelopmental disorders and genetic epilepsies. Neurodegenerative diseases refer to conditions characterized by the progressive degeneration of the structures and functions of the CNS. Our neurodegenerative product candidates include TSHA-101 for the treatment of GM2 gangliosidosis, a family of severe neurodegenerative diseases that includes Tay-Sachs disease and Sandhoff disease, TSHA-118 for the treatment of CLN1, a progressive, fatal neurodegenerative disease with early childhood onset, and TSHA-104 for the treatment of SURF1-associated Leigh syndrome, a fatal, early-onset neurodegenerative disease. Neurodevelopmental disorders are a group of conditions with onset during the time when the brain is developing and are a reflection of disabilities associated primarily with the functioning of the neurological system and brain. One of our neurodevelopmental product candidates, TSHA-102, is in development for the treatment of Rett syndrome, which is one of the most common genetic causes of severe intellectual disability. Genetic epilepsies refer to disorders with recurrent seizures associated with abnormal development of the brain. One of our genetic epilepsy product candidates, TSHA-103, is in development for the treatment of SLC6A1 haploinsufficiency disorder, which is one of the most common monogenic causes of epilepsy. A Phase 1/2 clinical trial of TSHA-101 was initiated by Queen’s University under a CTA in Canada and Queen’s University expects to report preliminary safety and biomarker data in the second half of 2021 and preliminary clinical data by the end of 2021. We plan to submit an IND for TSHA-101 for the treatment of GM2 gangliosidosis to the FDA and initiate a Phase 1/2 clinical trial in the United States, each in the second half of 2021. In addition, we plan to submit an IND / CTA for each of TSHA-102 in Rett syndrome and TSHA-104 in SURF1-associated Leigh syndrome in the second half of 2021 and one of the following programs in 2021: TSHA-103 in SLC6A1 haploinsufficiency disorder, TSHA-105 in SLC13A5 deficiency, TSHA-111-LAFORIN in Lafora disease, TSHA-111-MALIN in Lafora disease, TSHA-112 in APBD or TSHA-119 in GM2 AB variant. We also plan to initiate a Phase 1/2 clinical trial of TSHA-118 in CLN1 in the second half of 2021 under a currently open IND. Further, we are working to advance four new undisclosed new programs focused on neurodevelopmental disorders, genetic epilepsies and neurodegenerative diseases into preclinical development in 2021.</w:t>
      </w:r>
    </w:p>
    <w:p>
      <w:pPr>
        <w:spacing w:after="0" w:line="299" w:lineRule="exact"/>
        <w:rPr>
          <w:sz w:val="20"/>
          <w:szCs w:val="20"/>
          <w:color w:val="auto"/>
        </w:rPr>
      </w:pPr>
    </w:p>
    <w:p>
      <w:pPr>
        <w:ind w:right="60" w:firstLine="722"/>
        <w:spacing w:after="0" w:line="253" w:lineRule="auto"/>
        <w:rPr>
          <w:sz w:val="20"/>
          <w:szCs w:val="20"/>
          <w:color w:val="auto"/>
        </w:rPr>
      </w:pPr>
      <w:r>
        <w:rPr>
          <w:rFonts w:ascii="Times New Roman" w:cs="Times New Roman" w:eastAsia="Times New Roman" w:hAnsi="Times New Roman"/>
          <w:sz w:val="18"/>
          <w:szCs w:val="18"/>
          <w:color w:val="auto"/>
        </w:rPr>
        <w:t>We have established an exclusive, differentiated partnership with UT Southwestern, one of the premier academic medical centers in the United States. We hold an exclusive, worldwide royalty-free license from UT Southwestern to discover, develop and commercialize gene therapies for our pipeline. Within the framework of our partnership, UT Southwestern will conduct discovery and preclinical research, lead IND-enabling studies, manufacture GMP vectors for use in preclinical studies and clinical trials and execute natural history studies to support the development of our product candidates. We are responsible for all clinical development, regulatory filings, strategy, commercial manufacturing and commercialization of approved product candidates. UT Southwestern has developed a state-of-the-art GMP viral vector manufacturing facility with the capacity to support the development of our product candidates from the discovery stage through early clinical development. We believe these factors differentiate our partnership with UT Southwestern from traditional collaborations between industry and academia and will enable us to advance our development programs with speed and scale. Our collaboration with UT Southwestern is led by Dr. Steven Gray, an expert in the development of AAV-based gene therapies for CNS disorders, and Dr. Berge Minassian, an expert in the diagnosis, management and treatment of rare pediatric neurological disorders. Drs. Gray and Minassian are also our scientific founders and currently serve as our Chief Scientific Advisor and Chief Medical Advisor, respectively.</w:t>
      </w:r>
    </w:p>
    <w:p>
      <w:pPr>
        <w:spacing w:after="0" w:line="300" w:lineRule="exact"/>
        <w:rPr>
          <w:sz w:val="20"/>
          <w:szCs w:val="20"/>
          <w:color w:val="auto"/>
        </w:rPr>
      </w:pPr>
    </w:p>
    <w:p>
      <w:pPr>
        <w:ind w:right="280" w:firstLine="722"/>
        <w:spacing w:after="0" w:line="255" w:lineRule="auto"/>
        <w:rPr>
          <w:sz w:val="20"/>
          <w:szCs w:val="20"/>
          <w:color w:val="auto"/>
        </w:rPr>
      </w:pPr>
      <w:r>
        <w:rPr>
          <w:rFonts w:ascii="Times New Roman" w:cs="Times New Roman" w:eastAsia="Times New Roman" w:hAnsi="Times New Roman"/>
          <w:sz w:val="18"/>
          <w:szCs w:val="18"/>
          <w:color w:val="auto"/>
        </w:rPr>
        <w:t>We believe that we have established a unique position in advancing the development of gene therapies. Our scientific founders, Drs. Gray and Minassian, have extensive experience in developing gene therapies and conducting clinical trials for complex CNS diseases. Our management team has significant experience in discovering, developing, manufacturing and commercializing gene therapies. The members of our leadership team have specialized expertise developed at companies including Audentes Therapeutics, AveXis, BioMarin, PTC Therapeutics, Rocket Pharmaceuticals,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and Sanofi-Genzyme. Our board of directors played an integral role in the formation of our company and is comprised of Sean Nolan, the chairman of our board of directors and former Chief Executive Officer of AveXis, Phillip B. Donenberg, the former Chief Financial Officer of AveXis, Paul B. Manning of PBM Capital, Sukumar Nagendran, M.D., the former Chief Medical Officer of AveXis, Kathleen Reape, M.D., the former Chief Medical Officer of Spark Therapeutics, Laura Sepp-Lorenzino, Ph.D., Chief Scientific Officer of Intellia Therapeutics, and RA Session II, our President, Chief Executive Officer and Founder.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We are advancing a deep and sustainable product portfolio of 25 gene therapy product candidates for monogenic diseases of the CNS in both rare and large patient populations, with exclusive options to acquire four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262890</wp:posOffset>
            </wp:positionV>
            <wp:extent cx="5983605" cy="3034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0" w:firstLine="722"/>
        <w:spacing w:after="0" w:line="255" w:lineRule="auto"/>
        <w:rPr>
          <w:sz w:val="20"/>
          <w:szCs w:val="20"/>
          <w:color w:val="auto"/>
        </w:rPr>
      </w:pPr>
      <w:r>
        <w:rPr>
          <w:rFonts w:ascii="Times New Roman" w:cs="Times New Roman" w:eastAsia="Times New Roman" w:hAnsi="Times New Roman"/>
          <w:sz w:val="18"/>
          <w:szCs w:val="18"/>
          <w:color w:val="auto"/>
        </w:rPr>
        <w:t xml:space="preserve">TSHA-101, a neurodegenerative disease product candidate, is being developed for the treatment of GM2 gangliosidosis, including Tay-Sachs disease and Sandhoff disease. GM2 gangliosidosis refers to a group of lysosomal storage disorders resulting from a deficiency in the ß-hexosaminidase A, or Hex A, enzyme, leading to an accumulation of GM2 ganglioside in lysosomes and ultimately neuronal cell death and neurodegeneration. We are developing TSHA-101 as a bicistronic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P2A-</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transgene packaged into an AAV9 vector under the control of a CAG promoter. A Phase 1/2 clinical trial of TSHA-101 was initiated by Queen’s University under a CTA in Canada and Queen’s University expects to report preliminary safety and biomarker data in the second half of 2021 and preliminary clinical data by the end of 2021. We plan to submit an IND and initiate a clinical trial in the United States, each in the second half of 2021.</w:t>
      </w:r>
    </w:p>
    <w:p>
      <w:pPr>
        <w:spacing w:after="0" w:line="297" w:lineRule="exact"/>
        <w:rPr>
          <w:sz w:val="20"/>
          <w:szCs w:val="20"/>
          <w:color w:val="auto"/>
        </w:rPr>
      </w:pPr>
    </w:p>
    <w:p>
      <w:pPr>
        <w:ind w:right="40" w:firstLine="722"/>
        <w:spacing w:after="0" w:line="258" w:lineRule="auto"/>
        <w:rPr>
          <w:sz w:val="20"/>
          <w:szCs w:val="20"/>
          <w:color w:val="auto"/>
        </w:rPr>
      </w:pPr>
      <w:r>
        <w:rPr>
          <w:rFonts w:ascii="Times New Roman" w:cs="Times New Roman" w:eastAsia="Times New Roman" w:hAnsi="Times New Roman"/>
          <w:sz w:val="18"/>
          <w:szCs w:val="18"/>
          <w:color w:val="auto"/>
        </w:rPr>
        <w:t xml:space="preserve">TSHA-118, a neurodegenerative disease product candidate, is being developed for the treatment of CLN1 disease (one of the forms of Batten disease), a lysosomal storage disorder that is a progressive, fatal disease with early childhood onset. TSHA-118 is a self-complementary AAV9 viral vector that expresses human codon-optimized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complementary deoxyribonucleic acid under control of the chicken ß-actin hybrid promoter. Preclinical studies evaluating safety and biodistribution have been conducted, and we plan to initiate a Phase 1/2 clinical trial of TSHA-118 in the second half of 2021 under a currently open IND.</w:t>
      </w:r>
    </w:p>
    <w:p>
      <w:pPr>
        <w:spacing w:after="0" w:line="291" w:lineRule="exact"/>
        <w:rPr>
          <w:sz w:val="20"/>
          <w:szCs w:val="20"/>
          <w:color w:val="auto"/>
        </w:rPr>
      </w:pPr>
    </w:p>
    <w:p>
      <w:pPr>
        <w:ind w:right="60" w:firstLine="722"/>
        <w:spacing w:after="0" w:line="253" w:lineRule="auto"/>
        <w:rPr>
          <w:sz w:val="20"/>
          <w:szCs w:val="20"/>
          <w:color w:val="auto"/>
        </w:rPr>
      </w:pPr>
      <w:r>
        <w:rPr>
          <w:rFonts w:ascii="Times New Roman" w:cs="Times New Roman" w:eastAsia="Times New Roman" w:hAnsi="Times New Roman"/>
          <w:sz w:val="18"/>
          <w:szCs w:val="18"/>
          <w:color w:val="auto"/>
        </w:rPr>
        <w:t xml:space="preserve">TSHA-102, a neurodevelopmental disorder product candidate, is being developed for the treatment of Rett syndrome, one of the most common genetic causes of severe intellectual disability, characterized by rapid developmental regression and in many cases caused by heterozygous loss of function mutations in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a gene essential for neuronal and synaptic function in the brain. We designed TSHA-102 to prevent gene overexpression-related toxicity by inserting microRNA, or miRNA target binding sites into the 3’ untranslated region of viral genomes. This overexpression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is seen in the clinic in patients with a condition known as MECP2 duplication syndrome, where elevated levels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result in a clinical phenotype similar to Rett syndrome both in terms of symptoms and severity. TSHA-102 is constructed from a neuronal specific promoter, MeP426, coupled with</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transgene, a truncated version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and miRNA-Responsive Auto-Regulatory Element, or miRARE, our novel miRNA target panel, packaged in self-complementary AAV9. We plan to submit an IND / CTA for TSHA-102 in the second half of 2021 and initiate a clinical trial by the end of 2021.</w:t>
      </w:r>
    </w:p>
    <w:p>
      <w:pPr>
        <w:spacing w:after="0" w:line="294" w:lineRule="exact"/>
        <w:rPr>
          <w:sz w:val="20"/>
          <w:szCs w:val="20"/>
          <w:color w:val="auto"/>
        </w:rPr>
      </w:pPr>
    </w:p>
    <w:p>
      <w:pPr>
        <w:jc w:val="both"/>
        <w:ind w:right="180" w:firstLine="722"/>
        <w:spacing w:after="0" w:line="261" w:lineRule="auto"/>
        <w:rPr>
          <w:sz w:val="20"/>
          <w:szCs w:val="20"/>
          <w:color w:val="auto"/>
        </w:rPr>
      </w:pPr>
      <w:r>
        <w:rPr>
          <w:rFonts w:ascii="Times New Roman" w:cs="Times New Roman" w:eastAsia="Times New Roman" w:hAnsi="Times New Roman"/>
          <w:sz w:val="18"/>
          <w:szCs w:val="18"/>
          <w:color w:val="auto"/>
        </w:rPr>
        <w:t xml:space="preserve">TSHA-104, a neurodegenerative disease product candidate, is being developed for the treatment of Surfeit locus 1, or SURF1-associated Leigh syndrome, a fatal, early-onset neurodegenerative disease. TSHA-104 is constructed from a codon-optimized version of the human </w:t>
      </w:r>
      <w:r>
        <w:rPr>
          <w:rFonts w:ascii="Times New Roman" w:cs="Times New Roman" w:eastAsia="Times New Roman" w:hAnsi="Times New Roman"/>
          <w:sz w:val="18"/>
          <w:szCs w:val="18"/>
          <w:i w:val="1"/>
          <w:iCs w:val="1"/>
          <w:color w:val="auto"/>
        </w:rPr>
        <w:t>SURF1</w:t>
      </w:r>
      <w:r>
        <w:rPr>
          <w:rFonts w:ascii="Times New Roman" w:cs="Times New Roman" w:eastAsia="Times New Roman" w:hAnsi="Times New Roman"/>
          <w:sz w:val="18"/>
          <w:szCs w:val="18"/>
          <w:color w:val="auto"/>
        </w:rPr>
        <w:t xml:space="preserve"> gene packaged within a self-complementary AAV9 viral vector under the control of a modified version of the chicken ß-actin, or CBA, promoter CBA hybrid intron, or CBh. We plan to submit an IND / CTA for TSHA-104 in the second half of 2021 and initiate a Phase 1/2 clinical trial by the end of 2021.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 w:name="page8"/>
    <w:bookmarkEnd w:id="7"/>
    <w:p>
      <w:pPr>
        <w:ind w:right="200" w:firstLine="722"/>
        <w:spacing w:after="0" w:line="266" w:lineRule="auto"/>
        <w:rPr>
          <w:sz w:val="20"/>
          <w:szCs w:val="20"/>
          <w:color w:val="auto"/>
        </w:rPr>
      </w:pPr>
      <w:r>
        <w:rPr>
          <w:rFonts w:ascii="Times New Roman" w:cs="Times New Roman" w:eastAsia="Times New Roman" w:hAnsi="Times New Roman"/>
          <w:sz w:val="18"/>
          <w:szCs w:val="18"/>
          <w:color w:val="auto"/>
        </w:rPr>
        <w:t>We plan to submit an IND / CTA in 2021 for one of the following programs: TSHA-103 in SLC6A1 haploinsufficiency disorder, TSHA-105 in SLC13A5 deficiency, TSHA-111-LAFORIN in Lafora disease, TSHA-111-MALIN in Lafora disease, TSHA-112 in APBD or TSHA-119 in GM2 AB variant.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Partnership with The University of Texas Southwestern Medical Center</w:t>
      </w:r>
    </w:p>
    <w:p>
      <w:pPr>
        <w:spacing w:after="0" w:line="121" w:lineRule="exact"/>
        <w:rPr>
          <w:sz w:val="20"/>
          <w:szCs w:val="20"/>
          <w:color w:val="auto"/>
        </w:rPr>
      </w:pPr>
    </w:p>
    <w:p>
      <w:pPr>
        <w:ind w:right="60" w:firstLine="722"/>
        <w:spacing w:after="0" w:line="261" w:lineRule="auto"/>
        <w:rPr>
          <w:sz w:val="20"/>
          <w:szCs w:val="20"/>
          <w:color w:val="auto"/>
        </w:rPr>
      </w:pPr>
      <w:r>
        <w:rPr>
          <w:rFonts w:ascii="Times New Roman" w:cs="Times New Roman" w:eastAsia="Times New Roman" w:hAnsi="Times New Roman"/>
          <w:sz w:val="18"/>
          <w:szCs w:val="18"/>
          <w:color w:val="auto"/>
        </w:rPr>
        <w:t>We have established a differentiated partnership with UT Southwestern, one of the premier academic medical centers in the United States with a focus on integrating pioneering biomedical research with exceptional clinical care and education. The UT Southwestern Gene Therapy Program is led by Steven Gray, Ph.D., Director of the Viral Vector Core and Associate Professor in the Department of Pediatrics, and Berge Minassian, M.D., Division Chief of Child Neurology.</w:t>
      </w:r>
    </w:p>
    <w:p>
      <w:pPr>
        <w:spacing w:after="0" w:line="288" w:lineRule="exact"/>
        <w:rPr>
          <w:sz w:val="20"/>
          <w:szCs w:val="20"/>
          <w:color w:val="auto"/>
        </w:rPr>
      </w:pPr>
    </w:p>
    <w:p>
      <w:pPr>
        <w:ind w:right="40" w:firstLine="722"/>
        <w:spacing w:after="0" w:line="253" w:lineRule="auto"/>
        <w:rPr>
          <w:sz w:val="20"/>
          <w:szCs w:val="20"/>
          <w:color w:val="auto"/>
        </w:rPr>
      </w:pPr>
      <w:r>
        <w:rPr>
          <w:rFonts w:ascii="Times New Roman" w:cs="Times New Roman" w:eastAsia="Times New Roman" w:hAnsi="Times New Roman"/>
          <w:sz w:val="18"/>
          <w:szCs w:val="18"/>
          <w:color w:val="auto"/>
        </w:rPr>
        <w:t>Dr. Gray serves as our Chief Scientific Advisor. His core expertise is in AAV-based gene therapy vector engineering and optimizing approaches to deliver therapeutic transgene to the CNS. His research also includes the design and execution of preclinical studies to apply these approaches toward the development of treatments for neurological diseases including giant axonal neuropathy, or GAN, Krabbe disease, Batten disease, Tay-Sachs disease, Sandhoff disease and Rett syndrome. He is the lead investigator on the GAN gene therapy project, which was the first clinical development program to deliver AAV9 through intrathecal administration. Dr. Gray has published over 50 peer-reviewed papers in journals such as New England Journal of Medicine, Molecular Therapy, Nature Biotechnology, Gene Therapy and The Proceedings of the National Academy of Sciences. His research has been funded by the National Institute for Neurological Disorders and Stroke, as well as numerous large and small research foundations and patient advocacy organizations. In 2019, Dr. Gray was the recipient of the American Society for Gene and Cell Therapy Outstanding New Investigator Award. He earned his Ph.D. in molecular biology from Vanderbilt University and a B.S. with honors from Auburn University. He performed his postdoctoral fellowship focusing on gene therapy in the laboratory of world-renowned gene therapy expert Jude Samulski at the University of North Carolina, Chapel Hill.</w:t>
      </w:r>
    </w:p>
    <w:p>
      <w:pPr>
        <w:spacing w:after="0" w:line="302" w:lineRule="exact"/>
        <w:rPr>
          <w:sz w:val="20"/>
          <w:szCs w:val="20"/>
          <w:color w:val="auto"/>
        </w:rPr>
      </w:pPr>
    </w:p>
    <w:p>
      <w:pPr>
        <w:ind w:right="20" w:firstLine="722"/>
        <w:spacing w:after="0" w:line="254" w:lineRule="auto"/>
        <w:rPr>
          <w:sz w:val="20"/>
          <w:szCs w:val="20"/>
          <w:color w:val="auto"/>
        </w:rPr>
      </w:pPr>
      <w:r>
        <w:rPr>
          <w:rFonts w:ascii="Times New Roman" w:cs="Times New Roman" w:eastAsia="Times New Roman" w:hAnsi="Times New Roman"/>
          <w:sz w:val="18"/>
          <w:szCs w:val="18"/>
          <w:color w:val="auto"/>
        </w:rPr>
        <w:t xml:space="preserve">Dr. Minassian serves as our Chief Medical Advisor. He is a Professor in the Departments of Pediatrics, Neurology and Neurotherapeutics and Neuroscience at UT Southwestern. He is the Division Chief of Child Neurology and serves on the faculty of the Children’s Medical Center Research Institute at UT Southwestern. Dr. Minassian is a pediatric neurologist whose clinical specialties are epilepsy, neurodegenerative diseases and neurodevelopmental conditions. In 2004, Dr. Minassian described a new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isoform, </w:t>
      </w:r>
      <w:r>
        <w:rPr>
          <w:rFonts w:ascii="Times New Roman" w:cs="Times New Roman" w:eastAsia="Times New Roman" w:hAnsi="Times New Roman"/>
          <w:sz w:val="18"/>
          <w:szCs w:val="18"/>
          <w:i w:val="1"/>
          <w:iCs w:val="1"/>
          <w:color w:val="auto"/>
        </w:rPr>
        <w:t>MECP2B</w:t>
      </w:r>
      <w:r>
        <w:rPr>
          <w:rFonts w:ascii="Times New Roman" w:cs="Times New Roman" w:eastAsia="Times New Roman" w:hAnsi="Times New Roman"/>
          <w:sz w:val="18"/>
          <w:szCs w:val="18"/>
          <w:color w:val="auto"/>
        </w:rPr>
        <w:t xml:space="preserve"> and its encoded protein MECP2B. Dr. Minassian is also credited with discovering the </w:t>
      </w:r>
      <w:r>
        <w:rPr>
          <w:rFonts w:ascii="Times New Roman" w:cs="Times New Roman" w:eastAsia="Times New Roman" w:hAnsi="Times New Roman"/>
          <w:sz w:val="18"/>
          <w:szCs w:val="18"/>
          <w:i w:val="1"/>
          <w:iCs w:val="1"/>
          <w:color w:val="auto"/>
        </w:rPr>
        <w:t>EPM2A and EPM2B</w:t>
      </w:r>
      <w:r>
        <w:rPr>
          <w:rFonts w:ascii="Times New Roman" w:cs="Times New Roman" w:eastAsia="Times New Roman" w:hAnsi="Times New Roman"/>
          <w:sz w:val="18"/>
          <w:szCs w:val="18"/>
          <w:color w:val="auto"/>
        </w:rPr>
        <w:t xml:space="preserve"> genes that cause Lafora disease. He has published more than 120 scholarly articles and authored or contributed to 10 books, and his many professional honors include the Jacob’s Ladder 2014 Norman Saunders International Research Prize for Outstanding Scientist, the American Academy of Neurology 2007 Dreifuss-Penry Epilepsy Award, the Canadian Pediatric Society 2008 Sanofi Pasteur Research Award and the American Epilepsy Society 1996 Young Investigator Award. Dr. Minassian is a Fellow (Neurology) of the Royal College of Physicians and Surgeons of Canada.</w:t>
      </w:r>
    </w:p>
    <w:p>
      <w:pPr>
        <w:spacing w:after="0" w:line="296" w:lineRule="exact"/>
        <w:rPr>
          <w:sz w:val="20"/>
          <w:szCs w:val="20"/>
          <w:color w:val="auto"/>
        </w:rPr>
      </w:pPr>
    </w:p>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Our partnership with UT Southwestern is differentiated from traditional collaborations between industry and academia due to our access to UT Southwestern’s faculty, manufacturing facility and integrated research and clinical care approach, which, together, we believe will enable us to advance our development programs with speed and scale. Under the terms of our collaboration and license agreement with UT Southwestern, we have received an exclusive, worldwide royalty-free license to discover, develop and commercialize gene therapies for our pipeline.</w:t>
      </w:r>
    </w:p>
    <w:p>
      <w:pPr>
        <w:spacing w:after="0" w:line="288" w:lineRule="exact"/>
        <w:rPr>
          <w:sz w:val="20"/>
          <w:szCs w:val="20"/>
          <w:color w:val="auto"/>
        </w:rPr>
      </w:pPr>
    </w:p>
    <w:p>
      <w:pPr>
        <w:ind w:right="100" w:firstLine="722"/>
        <w:spacing w:after="0" w:line="261" w:lineRule="auto"/>
        <w:rPr>
          <w:sz w:val="20"/>
          <w:szCs w:val="20"/>
          <w:color w:val="auto"/>
        </w:rPr>
      </w:pPr>
      <w:r>
        <w:rPr>
          <w:rFonts w:ascii="Times New Roman" w:cs="Times New Roman" w:eastAsia="Times New Roman" w:hAnsi="Times New Roman"/>
          <w:sz w:val="18"/>
          <w:szCs w:val="18"/>
          <w:color w:val="auto"/>
        </w:rPr>
        <w:t>Through our partnership, we are able to leverage the collective expertise of UT Southwestern researchers, clinicians and investigators with decades of experience in conducting cutting-edge research and providing clinical care, including in the neurodegenerative disease, neurodevelopmental disorder and genetic epilepsy therapeutic categories. Drs. Gray and Minassian expect significant growth in the number of researchers, clinicians, scientists and experts in gene therapy process development and manufacturing affiliated with the Gene Therapy Program over the next five years.</w:t>
      </w:r>
    </w:p>
    <w:p>
      <w:pPr>
        <w:spacing w:after="0" w:line="288" w:lineRule="exact"/>
        <w:rPr>
          <w:sz w:val="20"/>
          <w:szCs w:val="20"/>
          <w:color w:val="auto"/>
        </w:rPr>
      </w:pPr>
    </w:p>
    <w:p>
      <w:pPr>
        <w:ind w:right="40" w:firstLine="722"/>
        <w:spacing w:after="0" w:line="282" w:lineRule="auto"/>
        <w:rPr>
          <w:sz w:val="20"/>
          <w:szCs w:val="20"/>
          <w:color w:val="auto"/>
        </w:rPr>
      </w:pPr>
      <w:r>
        <w:rPr>
          <w:rFonts w:ascii="Times New Roman" w:cs="Times New Roman" w:eastAsia="Times New Roman" w:hAnsi="Times New Roman"/>
          <w:sz w:val="18"/>
          <w:szCs w:val="18"/>
          <w:color w:val="auto"/>
        </w:rPr>
        <w:t>UT Southwestern’s state-of-the art, GMP viral vector manufacturing facility consists of a full process development laboratory and 500-liter GMP suite with the capacity to support multiple preclinical and early clinical development efforts in parallel.</w:t>
      </w:r>
    </w:p>
    <w:p>
      <w:pPr>
        <w:spacing w:after="0" w:line="270"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UT Southwestern is home to a major pediatric neurology residency program. Dr. Minassian has spent more than two decades diagnosing patients with rare, often fatal disorders of the CNS. Dr. Minassian is focused on transforming the practice of clinical neurology through a commitment to integrating patient care and teaching, with the goal of fostering the development of new disease-modifying therapies. This unique integration of research and clinical care provides us with key insights into our patients’ disease and its progression, symptoms and impact on quality of life. We plan to use these insights to design and refine our preclinical studies and clinical trials, understand incidence, prevalence and molecular epidemiology of the diseases and disorders we intend to treat, select the appropriate clinical endpoints for our efficacy studies and identify and characterize serum and imaging biomarkers. We also expect that UT Southwestern will serve as a source of enrollment for our clinical trials, which is critically important for the less prevalent diseases in our pipeline. We collaborate with UT Southwestern to foster relationships with patient advocacy organizations and research foundations, including the National Tay-Sachs &amp; Allied Diseases Association, Cure and Action for Tay-Sachs, SLC6A1 Connect, TESS Research Foundation, Cure Surf1 Foundation, Rett Syndrome Research Trust and FOXG1 Research Foundation.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 w:name="page9"/>
    <w:bookmarkEnd w:id="8"/>
    <w:p>
      <w:pPr>
        <w:ind w:right="100" w:firstLine="722"/>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a Sponsored Research Agreement with UT Southwestern to fund the discovery and development of novel gene therapy candidates and next-generation technologies for monogenic diseases of the CNS. This expanded partnership will support UT Southwestern’s discovery efforts. We will pay the actual costs incurred by and reasonable overhead of UT Southwestern in conducting the research under the Sponsored Research Agreement, and we will have an exclusive option on new programs new programs and intellectual property associated with, and arising from, such research.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building a patient-centric business with the goal of developing AAV-based gene therapies for the treatment of monogenic diseases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CNS in both rare and large patient populations. We are focused on executing the following elements of our strategy:</w:t>
      </w:r>
    </w:p>
    <w:p>
      <w:pPr>
        <w:spacing w:after="0" w:line="95" w:lineRule="exact"/>
        <w:rPr>
          <w:sz w:val="20"/>
          <w:szCs w:val="20"/>
          <w:color w:val="auto"/>
        </w:rPr>
      </w:pPr>
    </w:p>
    <w:p>
      <w:pPr>
        <w:jc w:val="both"/>
        <w:ind w:left="1080" w:right="60" w:hanging="357"/>
        <w:spacing w:after="0" w:line="291" w:lineRule="auto"/>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Build a sustainable gene therapy company. </w:t>
      </w:r>
      <w:r>
        <w:rPr>
          <w:rFonts w:ascii="Times New Roman" w:cs="Times New Roman" w:eastAsia="Times New Roman" w:hAnsi="Times New Roman"/>
          <w:sz w:val="17"/>
          <w:szCs w:val="17"/>
          <w:color w:val="auto"/>
        </w:rPr>
        <w:t>Our goal is to build a gene therapy company with a sustainable pipeline of product candidates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 consistent stream of new commercial product launches. To that end, we are focused on advancing our current pipeline of AAV9-based gene therapies while actively developing our next-generation platforms to discover and develop additional product candidates.</w:t>
      </w:r>
    </w:p>
    <w:p>
      <w:pPr>
        <w:spacing w:after="0" w:line="44" w:lineRule="exact"/>
        <w:rPr>
          <w:rFonts w:ascii="Times New Roman" w:cs="Times New Roman" w:eastAsia="Times New Roman" w:hAnsi="Times New Roman"/>
          <w:sz w:val="17"/>
          <w:szCs w:val="17"/>
          <w:color w:val="auto"/>
        </w:rPr>
      </w:pPr>
    </w:p>
    <w:p>
      <w:pPr>
        <w:ind w:left="1080" w:hanging="357"/>
        <w:spacing w:after="0" w:line="253"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product candidates through clinical trials to commercialization. </w:t>
      </w:r>
      <w:r>
        <w:rPr>
          <w:rFonts w:ascii="Times New Roman" w:cs="Times New Roman" w:eastAsia="Times New Roman" w:hAnsi="Times New Roman"/>
          <w:sz w:val="18"/>
          <w:szCs w:val="18"/>
          <w:color w:val="auto"/>
        </w:rPr>
        <w:t>Our product portfolio currently consists of 25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product candidates targeting a diverse set of rare and prevalent CNS indications, with exclusive options to acquire four additional development programs from UT Southwestern at no cost. We intend to develop, seek regulatory approval and commercialize each product candidate in our portfolio. A Phase 1/2 clinical trial of TSHA-101 was initiated by Queen’s University under a CTA in Canada and Queen’s University expects to report preliminary safety and biomarker data in the second half of 2021 and preliminary clinical data by the end of 2021. We plan to submit an IND for TSHA-101 for the treatment of GM2 gangliosidosis to the FDA and initiate a Phase 1/2 clinical trial in the United States, each in the second half of 2021. In addition, we plan to submit an IND / CTA for each of TSHA-102 in Rett syndrome and TSHA-104 in SURF1-associated Leigh syndrome in the second half of 2021 and one of the following programs in 2021: TSHA-103 in SLC6A1 haploinsufficiency disorder, TSHA-105 in SLC13A5 deficiency, TSHA-111-LAFORIN in Lafora disease, TSHA-111-MALIN in Lafora disease, TSHA-112 in APBD or TSHA-119 in GM2 AB variant. We intend to initiate a Phase 1/2 clinical trial of TSHA-118 in CLN1 disease in 2021 under a currently open IND. If our clinical trials are successful, we plan to discuss expedited regulatory approval strategies with regulatory authorities. Further, we intend to advance four undisclosed programs into preclinical development in 2021.</w:t>
      </w:r>
    </w:p>
    <w:p>
      <w:pPr>
        <w:spacing w:after="0" w:line="81" w:lineRule="exact"/>
        <w:rPr>
          <w:rFonts w:ascii="Times New Roman" w:cs="Times New Roman" w:eastAsia="Times New Roman" w:hAnsi="Times New Roman"/>
          <w:sz w:val="18"/>
          <w:szCs w:val="18"/>
          <w:color w:val="auto"/>
        </w:rPr>
      </w:pPr>
    </w:p>
    <w:p>
      <w:pPr>
        <w:ind w:left="1080" w:right="80" w:hanging="357"/>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our relationship with UT Southwestern. </w:t>
      </w:r>
      <w:r>
        <w:rPr>
          <w:rFonts w:ascii="Times New Roman" w:cs="Times New Roman" w:eastAsia="Times New Roman" w:hAnsi="Times New Roman"/>
          <w:sz w:val="18"/>
          <w:szCs w:val="18"/>
          <w:color w:val="auto"/>
        </w:rPr>
        <w:t>We are anchored by a differentiated strategic partnership with UT Southwestern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allows us to access a highly experienced team of researchers and clinicians with deep experience in the underlying biology and treatment of monogenic CNS disorders and the patient populations that they treat. We believe that our partnership with UT Southwestern provides us with a significant advantage to discover, develop and commercialize novel gene therapies.</w:t>
      </w:r>
    </w:p>
    <w:p>
      <w:pPr>
        <w:spacing w:after="0" w:line="68" w:lineRule="exact"/>
        <w:rPr>
          <w:rFonts w:ascii="Times New Roman" w:cs="Times New Roman" w:eastAsia="Times New Roman" w:hAnsi="Times New Roman"/>
          <w:sz w:val="18"/>
          <w:szCs w:val="18"/>
          <w:color w:val="auto"/>
        </w:rPr>
      </w:pPr>
    </w:p>
    <w:p>
      <w:pPr>
        <w:ind w:left="1080" w:right="20" w:hanging="357"/>
        <w:spacing w:after="0" w:line="25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Utilize scalable manufacturing technologies. </w:t>
      </w:r>
      <w:r>
        <w:rPr>
          <w:rFonts w:ascii="Times New Roman" w:cs="Times New Roman" w:eastAsia="Times New Roman" w:hAnsi="Times New Roman"/>
          <w:sz w:val="18"/>
          <w:szCs w:val="18"/>
          <w:color w:val="auto"/>
        </w:rPr>
        <w:t>A critical component of the development of any complex biological therapy, including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therapies, is the ability to manufacture the therapy efficiently at scale. Through our partnerships with UT Southwestern and Catalent, we have access to GMP manufacturing suites designed for a suspension HEK293 process to produce AAV9, which we believe will enable us to produce material suitable for clinical trials in a cost and time-efficient manner. We believe the capacity offered though our partnerships with Catalent and UT Southwestern will be sufficient to meet the clinical demand for our current pipeline of product candidates. Because we currently utilize the AAV9 capsid across our product portfolio, our product candidates differ primarily by their therapeutic transgene, and we believe that minimal changes to our optimized upstream and downstream processes are expected to be required to manufacture each product candidate. Finally, we have entered into a lease agreement to occupy and configure an approximately 187,000-square-foot commercial-scale cGMP manufacturing facility in Durham, North Carolina, which we expect will meet clinical and commercial demand if our product candidates receive marketing approval. We expect to initiate construction on this facility in 2021.</w:t>
      </w:r>
    </w:p>
    <w:p>
      <w:pPr>
        <w:spacing w:after="0" w:line="77" w:lineRule="exact"/>
        <w:rPr>
          <w:rFonts w:ascii="Times New Roman" w:cs="Times New Roman" w:eastAsia="Times New Roman" w:hAnsi="Times New Roman"/>
          <w:sz w:val="18"/>
          <w:szCs w:val="18"/>
          <w:color w:val="auto"/>
        </w:rPr>
      </w:pPr>
    </w:p>
    <w:p>
      <w:pPr>
        <w:ind w:left="1080" w:right="20" w:hanging="357"/>
        <w:spacing w:after="0" w:line="26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our next-generation platform technologies. </w:t>
      </w:r>
      <w:r>
        <w:rPr>
          <w:rFonts w:ascii="Times New Roman" w:cs="Times New Roman" w:eastAsia="Times New Roman" w:hAnsi="Times New Roman"/>
          <w:sz w:val="18"/>
          <w:szCs w:val="18"/>
          <w:color w:val="auto"/>
        </w:rPr>
        <w:t>In addition to our pipeline of AAV9-based gene therapies, we are actively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distinct platform technologies to enable the discovery, development, and rapid translation of new gene therapies: a proprietary technology to allow redosing of AAV-based gene therapies, transgene regulation (miRARE) and novel capsid development.</w:t>
      </w:r>
    </w:p>
    <w:p>
      <w:pPr>
        <w:spacing w:after="0" w:line="62" w:lineRule="exact"/>
        <w:rPr>
          <w:rFonts w:ascii="Times New Roman" w:cs="Times New Roman" w:eastAsia="Times New Roman" w:hAnsi="Times New Roman"/>
          <w:sz w:val="18"/>
          <w:szCs w:val="18"/>
          <w:color w:val="auto"/>
        </w:rPr>
      </w:pPr>
    </w:p>
    <w:p>
      <w:pPr>
        <w:ind w:left="1080" w:right="20" w:hanging="357"/>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opportunities to accelerate development timelines and maximize the value of our product candidate pipeline.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 to evaluate opportunities to maximize the value of our product candidate pipeline. We believe these structures may provide us with the opportunity to leverage the financial and other resources of partners to advance the development of our product candidate pipeline in key geographies.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21" w:lineRule="exact"/>
        <w:rPr>
          <w:sz w:val="20"/>
          <w:szCs w:val="20"/>
          <w:color w:val="auto"/>
        </w:rPr>
      </w:pPr>
    </w:p>
    <w:p>
      <w:pPr>
        <w:ind w:right="100" w:firstLine="722"/>
        <w:spacing w:after="0" w:line="266" w:lineRule="auto"/>
        <w:rPr>
          <w:sz w:val="20"/>
          <w:szCs w:val="20"/>
          <w:color w:val="auto"/>
        </w:rPr>
      </w:pPr>
      <w:r>
        <w:rPr>
          <w:rFonts w:ascii="Times New Roman" w:cs="Times New Roman" w:eastAsia="Times New Roman" w:hAnsi="Times New Roman"/>
          <w:sz w:val="18"/>
          <w:szCs w:val="18"/>
          <w:color w:val="auto"/>
        </w:rPr>
        <w:t>Our approach to developing and commercializing gene therapies centers on the use of AAV9 delivered directly to the CSF using intrathecal administration. We manufacture our therapies using a scalable, HEK293 suspension-based process. We believe the combination of AAV9 manufactured in suspension and delivered intrathecally will allow us to advance the development candidates in our product pipeline.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on AAV9, Intrathecal Administration and Manufacturing</w:t>
      </w:r>
    </w:p>
    <w:p>
      <w:pPr>
        <w:spacing w:after="0" w:line="121" w:lineRule="exact"/>
        <w:rPr>
          <w:sz w:val="20"/>
          <w:szCs w:val="20"/>
          <w:color w:val="auto"/>
        </w:rPr>
      </w:pPr>
    </w:p>
    <w:p>
      <w:pPr>
        <w:ind w:right="100" w:firstLine="722"/>
        <w:spacing w:after="0" w:line="258" w:lineRule="auto"/>
        <w:rPr>
          <w:sz w:val="20"/>
          <w:szCs w:val="20"/>
          <w:color w:val="auto"/>
        </w:rPr>
      </w:pPr>
      <w:r>
        <w:rPr>
          <w:rFonts w:ascii="Times New Roman" w:cs="Times New Roman" w:eastAsia="Times New Roman" w:hAnsi="Times New Roman"/>
          <w:sz w:val="18"/>
          <w:szCs w:val="18"/>
          <w:color w:val="auto"/>
        </w:rPr>
        <w:t>Since its discovery more than 50 years ago, AAV has been one of the most well studied vectors for the delivery of gene therapies, having been studied in over 250 clinical trials. We utilize AAV9, an AAV serotype with a unique ability to cross the blood-brain barrier and transduce cells of the CNS. AAV9 has been widely characterized across numerous preclinical studies and more than 15 ongoing or completed clinical trials and has a well-characterized biodistribution, safety, tolerability and efficacy profile. In 2019, the FDA approved Zolgensma, the first systemic gene therapy that utilizes AAV9, for the treatment of SMA Type 1 in infants.</w:t>
      </w:r>
    </w:p>
    <w:p>
      <w:pPr>
        <w:spacing w:after="0" w:line="291" w:lineRule="exact"/>
        <w:rPr>
          <w:sz w:val="20"/>
          <w:szCs w:val="20"/>
          <w:color w:val="auto"/>
        </w:rPr>
      </w:pPr>
    </w:p>
    <w:p>
      <w:pPr>
        <w:ind w:right="20" w:firstLine="722"/>
        <w:spacing w:after="0" w:line="254" w:lineRule="auto"/>
        <w:rPr>
          <w:sz w:val="20"/>
          <w:szCs w:val="20"/>
          <w:color w:val="auto"/>
        </w:rPr>
      </w:pPr>
      <w:r>
        <w:rPr>
          <w:rFonts w:ascii="Times New Roman" w:cs="Times New Roman" w:eastAsia="Times New Roman" w:hAnsi="Times New Roman"/>
          <w:sz w:val="18"/>
          <w:szCs w:val="18"/>
          <w:color w:val="auto"/>
        </w:rPr>
        <w:t>Intrathecal administration refers to the injection of a therapy directly into the CSF. The procedure is routinely performed in an outpatient setting and is generally well tolerated. We intend to administer our product candidates intrathecally, as we believe that intrathecal administration confers several advantages for the delivery of gene therapies to the CNS. In comparison to intravenous administration, intrathecal administration allows for a lower dose of the therapy, as the vector is confined to the CNS with limited uptake into off-target tissues. Because the CNS is immune-privileged, intrathecal gene therapy may be administered even in the presence of pre-existing antibodies to AAV. Finally, intrathecally delivered gene therapies have limited exposure to peripheral organs, which enables a higher concentration of vector to be delivered to the diseased tissue of interest. A growing body of literature supports the safety and relevance of lumbar intrathecal injection to deliver AAV9 to the CNS and achieve favorable biodistribution and transgene expression profiles. In comparison to other AAV serotypes, AAV9 administration through lumbar intrathecal injection has been shown to result in superior transduction of multiple cells within the CNS.</w:t>
      </w:r>
    </w:p>
    <w:p>
      <w:pPr>
        <w:spacing w:after="0" w:line="296" w:lineRule="exact"/>
        <w:rPr>
          <w:sz w:val="20"/>
          <w:szCs w:val="20"/>
          <w:color w:val="auto"/>
        </w:rPr>
      </w:pPr>
    </w:p>
    <w:p>
      <w:pPr>
        <w:ind w:right="100" w:firstLine="722"/>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intrathecally delivered AAV9-based gene therapies are more likely to achieve clinical and regulatory success than alternative delivery approaches. A third party is conducting a clinical trial of 32 patients to evaluate the efficacy, safety and tolerability of a one-time intrathecal administration of AAV9 delivering a copy of the </w:t>
      </w:r>
      <w:r>
        <w:rPr>
          <w:rFonts w:ascii="Times New Roman" w:cs="Times New Roman" w:eastAsia="Times New Roman" w:hAnsi="Times New Roman"/>
          <w:sz w:val="18"/>
          <w:szCs w:val="18"/>
          <w:i w:val="1"/>
          <w:iCs w:val="1"/>
          <w:color w:val="auto"/>
        </w:rPr>
        <w:t>SMN1</w:t>
      </w:r>
      <w:r>
        <w:rPr>
          <w:rFonts w:ascii="Times New Roman" w:cs="Times New Roman" w:eastAsia="Times New Roman" w:hAnsi="Times New Roman"/>
          <w:sz w:val="18"/>
          <w:szCs w:val="18"/>
          <w:color w:val="auto"/>
        </w:rPr>
        <w:t xml:space="preserve"> gene for the treatment of SMA Type 2. As of December 2019, a similar tolerability and adverse event profile had been observed in the patients receiving intrathecal delivery as compared to patients receiving intravenous delivery. The same third party has dosed over 600 patients intrathecally or intravenously with this AAV9 therapy and has observed that it has been well tolerated, with durability of up to five years post-dosing. In a third-party clinical trial of patients with CLN6 Batten disease, 12 infant and pediatric patients were dosed with AAV9 delivering </w:t>
      </w:r>
      <w:r>
        <w:rPr>
          <w:rFonts w:ascii="Times New Roman" w:cs="Times New Roman" w:eastAsia="Times New Roman" w:hAnsi="Times New Roman"/>
          <w:sz w:val="18"/>
          <w:szCs w:val="18"/>
          <w:i w:val="1"/>
          <w:iCs w:val="1"/>
          <w:color w:val="auto"/>
        </w:rPr>
        <w:t>CLN6</w:t>
      </w:r>
      <w:r>
        <w:rPr>
          <w:rFonts w:ascii="Times New Roman" w:cs="Times New Roman" w:eastAsia="Times New Roman" w:hAnsi="Times New Roman"/>
          <w:sz w:val="18"/>
          <w:szCs w:val="18"/>
          <w:color w:val="auto"/>
        </w:rPr>
        <w:t xml:space="preserve"> via intrathecal administration. In this trial, the AAV9 product candidate was well tolerated, with no drug-related adverse events observed. The same third party is currently conducting a clinical trial of an AAV9 product candidate delivering </w:t>
      </w:r>
      <w:r>
        <w:rPr>
          <w:rFonts w:ascii="Times New Roman" w:cs="Times New Roman" w:eastAsia="Times New Roman" w:hAnsi="Times New Roman"/>
          <w:sz w:val="18"/>
          <w:szCs w:val="18"/>
          <w:i w:val="1"/>
          <w:iCs w:val="1"/>
          <w:color w:val="auto"/>
        </w:rPr>
        <w:t>CLN3</w:t>
      </w:r>
      <w:r>
        <w:rPr>
          <w:rFonts w:ascii="Times New Roman" w:cs="Times New Roman" w:eastAsia="Times New Roman" w:hAnsi="Times New Roman"/>
          <w:sz w:val="18"/>
          <w:szCs w:val="18"/>
          <w:color w:val="auto"/>
        </w:rPr>
        <w:t xml:space="preserve"> via intrathecal administration. Four patients have been dosed to date, with no serious adverse events observed.</w:t>
      </w:r>
    </w:p>
    <w:p>
      <w:pPr>
        <w:spacing w:after="0" w:line="296" w:lineRule="exact"/>
        <w:rPr>
          <w:sz w:val="20"/>
          <w:szCs w:val="20"/>
          <w:color w:val="auto"/>
        </w:rPr>
      </w:pPr>
    </w:p>
    <w:p>
      <w:pPr>
        <w:ind w:right="100" w:firstLine="722"/>
        <w:spacing w:after="0" w:line="258" w:lineRule="auto"/>
        <w:rPr>
          <w:sz w:val="20"/>
          <w:szCs w:val="20"/>
          <w:color w:val="auto"/>
        </w:rPr>
      </w:pPr>
      <w:r>
        <w:rPr>
          <w:rFonts w:ascii="Times New Roman" w:cs="Times New Roman" w:eastAsia="Times New Roman" w:hAnsi="Times New Roman"/>
          <w:sz w:val="18"/>
          <w:szCs w:val="18"/>
          <w:color w:val="auto"/>
        </w:rPr>
        <w:t>We use a scalable production process for our product candidates using a suspension cell culture process in which mammalian HEK293 cells are transiently transfected with plasmid DNA. Our production process, including all process development, product characterization, analytical capabilities and purification techniques, is designed to efficiently scale to support our clinical and commercial development needs. The utilization of the AAV9 capsid across our product portfolio allows us to manufacture each product with minimal changes expected to be required to our optimized upstream and downstream process, since each of our product candidates differ primarily by their therapeutic transgene.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Therapeutic Strategy</w:t>
      </w:r>
    </w:p>
    <w:p>
      <w:pPr>
        <w:spacing w:after="0" w:line="121" w:lineRule="exact"/>
        <w:rPr>
          <w:sz w:val="20"/>
          <w:szCs w:val="20"/>
          <w:color w:val="auto"/>
        </w:rPr>
      </w:pPr>
    </w:p>
    <w:p>
      <w:pPr>
        <w:ind w:right="500" w:firstLine="722"/>
        <w:spacing w:after="0" w:line="282" w:lineRule="auto"/>
        <w:rPr>
          <w:sz w:val="20"/>
          <w:szCs w:val="20"/>
          <w:color w:val="auto"/>
        </w:rPr>
      </w:pPr>
      <w:r>
        <w:rPr>
          <w:rFonts w:ascii="Times New Roman" w:cs="Times New Roman" w:eastAsia="Times New Roman" w:hAnsi="Times New Roman"/>
          <w:sz w:val="18"/>
          <w:szCs w:val="18"/>
          <w:color w:val="auto"/>
        </w:rPr>
        <w:t>We design our product candidates based on the underlying biology of the disease target and the characteristics that we believe will result in maximum therapeutic benefit for patients.</w:t>
      </w:r>
    </w:p>
    <w:p>
      <w:pPr>
        <w:spacing w:after="0" w:line="266" w:lineRule="exact"/>
        <w:rPr>
          <w:sz w:val="20"/>
          <w:szCs w:val="20"/>
          <w:color w:val="auto"/>
        </w:rPr>
      </w:pPr>
    </w:p>
    <w:p>
      <w:pPr>
        <w:ind w:right="320" w:firstLine="72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 replacement therapies. </w:t>
      </w:r>
      <w:r>
        <w:rPr>
          <w:rFonts w:ascii="Times New Roman" w:cs="Times New Roman" w:eastAsia="Times New Roman" w:hAnsi="Times New Roman"/>
          <w:sz w:val="18"/>
          <w:szCs w:val="18"/>
          <w:color w:val="auto"/>
        </w:rPr>
        <w:t>To treat diseases or disorders caused by a missing gene or limited expression of a gene due to loss-of-function mutations, we design our product candidates to replace the gene of interest. In general, these product candidates are comprised of a codon-optimized DNA transgene, or minigene, that encodes the wild type gene of interest, coupled with a promoter selected to ensure expression in the cell or tissue-type of interest.</w:t>
      </w:r>
    </w:p>
    <w:p>
      <w:pPr>
        <w:spacing w:after="0" w:line="284" w:lineRule="exact"/>
        <w:rPr>
          <w:sz w:val="20"/>
          <w:szCs w:val="20"/>
          <w:color w:val="auto"/>
        </w:rPr>
      </w:pPr>
    </w:p>
    <w:p>
      <w:pPr>
        <w:ind w:firstLine="72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Regulated gene replacement therapies. </w:t>
      </w:r>
      <w:r>
        <w:rPr>
          <w:rFonts w:ascii="Times New Roman" w:cs="Times New Roman" w:eastAsia="Times New Roman" w:hAnsi="Times New Roman"/>
          <w:sz w:val="18"/>
          <w:szCs w:val="18"/>
          <w:color w:val="auto"/>
        </w:rPr>
        <w:t>In a number of disorders, including Rett syndrome and FOXG1 syndrome, the expression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w:t>
      </w:r>
    </w:p>
    <w:p>
      <w:pPr>
        <w:spacing w:after="0" w:line="290" w:lineRule="exact"/>
        <w:rPr>
          <w:sz w:val="20"/>
          <w:szCs w:val="20"/>
          <w:color w:val="auto"/>
        </w:rPr>
      </w:pPr>
    </w:p>
    <w:p>
      <w:pPr>
        <w:ind w:right="40" w:firstLine="72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Vectorized miRNA gene therapies. </w:t>
      </w:r>
      <w:r>
        <w:rPr>
          <w:rFonts w:ascii="Times New Roman" w:cs="Times New Roman" w:eastAsia="Times New Roman" w:hAnsi="Times New Roman"/>
          <w:sz w:val="18"/>
          <w:szCs w:val="18"/>
          <w:color w:val="auto"/>
        </w:rPr>
        <w:t>In certain diseases within our pipeline, including Lafora disease, adult polyglucosan body disease or APBD,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tauopathies, the goal of our product candidates is to silence the expression of genes that are involved in or considered to be the root cause of disease onset and progression. To accomplish this, we design transgenes that express miRNA, which are small, non-coding sequences of RNA that result in silencing of gene expression.</w:t>
      </w:r>
    </w:p>
    <w:p>
      <w:pPr>
        <w:spacing w:after="0" w:line="284" w:lineRule="exact"/>
        <w:rPr>
          <w:sz w:val="20"/>
          <w:szCs w:val="20"/>
          <w:color w:val="auto"/>
        </w:rPr>
      </w:pPr>
    </w:p>
    <w:p>
      <w:pPr>
        <w:ind w:right="360" w:firstLine="72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Vectorized shRNA gene therapies. </w:t>
      </w:r>
      <w:r>
        <w:rPr>
          <w:rFonts w:ascii="Times New Roman" w:cs="Times New Roman" w:eastAsia="Times New Roman" w:hAnsi="Times New Roman"/>
          <w:sz w:val="18"/>
          <w:szCs w:val="18"/>
          <w:color w:val="auto"/>
        </w:rPr>
        <w:t>In certain diseases such as Prader-Willi syndrome and Angelman syndrome, the goal of our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is to activate a constitutively silenced gene to generate a therapeutic effect under control of the endogenous promoters of the cell. We utilize transgenes that express short-hairpin RNA, or shRNA, which, upon binding to the target of interest, are designed to reactivate a silenced gene.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ind w:firstLine="722"/>
        <w:spacing w:after="0" w:line="256" w:lineRule="auto"/>
        <w:rPr>
          <w:sz w:val="20"/>
          <w:szCs w:val="20"/>
          <w:color w:val="auto"/>
        </w:rPr>
      </w:pPr>
      <w:r>
        <w:rPr>
          <w:rFonts w:ascii="Times New Roman" w:cs="Times New Roman" w:eastAsia="Times New Roman" w:hAnsi="Times New Roman"/>
          <w:sz w:val="18"/>
          <w:szCs w:val="18"/>
          <w:color w:val="auto"/>
        </w:rPr>
        <w:t>We design our preclinical studies to be highly translational into clinical trials, including to replicate the timing of dosing at points when the disease model has advanced and the phenotype is more pronounced, include relevant immunosuppressive regimes that are the standard of care for the disease target or commonly administered with gene therapies and use animal models that are reflective of the severity of the human disease. Our goal is to evaluate the safety, efficacy and biodistribution of our product candidates and generate dose-response data that inform our selection of the optimal doses for clinical translation. We believe that our stringent approach to evaluating efficacy in preclinical studies, including in studies in non-human primates, or NHPs, will translate into clinical trials and may be predictive of the clinical effect of our product candidates.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Next-Generation Platform Technologies</w:t>
      </w:r>
    </w:p>
    <w:p>
      <w:pPr>
        <w:spacing w:after="0" w:line="121" w:lineRule="exact"/>
        <w:rPr>
          <w:sz w:val="20"/>
          <w:szCs w:val="20"/>
          <w:color w:val="auto"/>
        </w:rPr>
      </w:pPr>
    </w:p>
    <w:p>
      <w:pPr>
        <w:ind w:right="320" w:firstLine="722"/>
        <w:spacing w:after="0" w:line="282" w:lineRule="auto"/>
        <w:rPr>
          <w:sz w:val="20"/>
          <w:szCs w:val="20"/>
          <w:color w:val="auto"/>
        </w:rPr>
      </w:pPr>
      <w:r>
        <w:rPr>
          <w:rFonts w:ascii="Times New Roman" w:cs="Times New Roman" w:eastAsia="Times New Roman" w:hAnsi="Times New Roman"/>
          <w:sz w:val="18"/>
          <w:szCs w:val="18"/>
          <w:color w:val="auto"/>
        </w:rPr>
        <w:t>In addition to our pipeline of AAV9 product candidates, we are building a suite of platforms to develop next-generation technologies that can optimize key components of an AAV-based gene therapy.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Route of Administration to Allow Redosing</w:t>
      </w:r>
    </w:p>
    <w:p>
      <w:pPr>
        <w:spacing w:after="0" w:line="121" w:lineRule="exact"/>
        <w:rPr>
          <w:sz w:val="20"/>
          <w:szCs w:val="20"/>
          <w:color w:val="auto"/>
        </w:rPr>
      </w:pPr>
    </w:p>
    <w:p>
      <w:pPr>
        <w:ind w:right="120" w:firstLine="722"/>
        <w:spacing w:after="0" w:line="261" w:lineRule="auto"/>
        <w:rPr>
          <w:sz w:val="20"/>
          <w:szCs w:val="20"/>
          <w:color w:val="auto"/>
        </w:rPr>
      </w:pPr>
      <w:r>
        <w:rPr>
          <w:rFonts w:ascii="Times New Roman" w:cs="Times New Roman" w:eastAsia="Times New Roman" w:hAnsi="Times New Roman"/>
          <w:sz w:val="18"/>
          <w:szCs w:val="18"/>
          <w:color w:val="auto"/>
        </w:rPr>
        <w:t>We are advancing a novel AAV dosing platform with the potential to facilitate redosing by administering AAV-based gene therapies directly to the vagus nerve. In preclinical studies in adult rats, we observed that AAV9 delivery to the vagus nerve resulted in efficient targeting of the vagal neurons. In preclinical studies in dogs, AAV delivery to the vagus nerve was well tolerated at all doses. Post-mortem analysis showed that vagal nerve fibers and neurons were microscopically normal.</w:t>
      </w:r>
    </w:p>
    <w:p>
      <w:pPr>
        <w:spacing w:after="0" w:line="288" w:lineRule="exact"/>
        <w:rPr>
          <w:sz w:val="20"/>
          <w:szCs w:val="20"/>
          <w:color w:val="auto"/>
        </w:rPr>
      </w:pPr>
    </w:p>
    <w:p>
      <w:pPr>
        <w:ind w:right="960" w:firstLine="722"/>
        <w:spacing w:after="0" w:line="282" w:lineRule="auto"/>
        <w:rPr>
          <w:sz w:val="20"/>
          <w:szCs w:val="20"/>
          <w:color w:val="auto"/>
        </w:rPr>
      </w:pPr>
      <w:r>
        <w:rPr>
          <w:rFonts w:ascii="Times New Roman" w:cs="Times New Roman" w:eastAsia="Times New Roman" w:hAnsi="Times New Roman"/>
          <w:sz w:val="18"/>
          <w:szCs w:val="18"/>
          <w:color w:val="auto"/>
        </w:rPr>
        <w:t>We believe that direct administration of our AAV9 therapies to the vagus nerve could be useful to treat the peripheral and autonomic manifestations of the CNS diseases in our pipeline. We plan to further evaluate the safety and feasibility of this approach in NHPs.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Transgene Expression Using miRARE</w:t>
      </w:r>
    </w:p>
    <w:p>
      <w:pPr>
        <w:spacing w:after="0" w:line="121" w:lineRule="exact"/>
        <w:rPr>
          <w:sz w:val="20"/>
          <w:szCs w:val="20"/>
          <w:color w:val="auto"/>
        </w:rPr>
      </w:pPr>
    </w:p>
    <w:p>
      <w:pPr>
        <w:ind w:right="120" w:firstLine="722"/>
        <w:spacing w:after="0" w:line="258" w:lineRule="auto"/>
        <w:rPr>
          <w:sz w:val="20"/>
          <w:szCs w:val="20"/>
          <w:color w:val="auto"/>
        </w:rPr>
      </w:pPr>
      <w:r>
        <w:rPr>
          <w:rFonts w:ascii="Times New Roman" w:cs="Times New Roman" w:eastAsia="Times New Roman" w:hAnsi="Times New Roman"/>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harnesses endogenous systems, and therefore does not require any additional exogenous drug application.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Capsid Identification</w:t>
      </w:r>
    </w:p>
    <w:p>
      <w:pPr>
        <w:spacing w:after="0" w:line="121" w:lineRule="exact"/>
        <w:rPr>
          <w:sz w:val="20"/>
          <w:szCs w:val="20"/>
          <w:color w:val="auto"/>
        </w:rPr>
      </w:pPr>
    </w:p>
    <w:p>
      <w:pPr>
        <w:ind w:right="180" w:firstLine="722"/>
        <w:spacing w:after="0" w:line="266" w:lineRule="auto"/>
        <w:rPr>
          <w:sz w:val="20"/>
          <w:szCs w:val="20"/>
          <w:color w:val="auto"/>
        </w:rPr>
      </w:pPr>
      <w:r>
        <w:rPr>
          <w:rFonts w:ascii="Times New Roman" w:cs="Times New Roman" w:eastAsia="Times New Roman" w:hAnsi="Times New Roman"/>
          <w:sz w:val="18"/>
          <w:szCs w:val="18"/>
          <w:color w:val="auto"/>
        </w:rPr>
        <w:t>We are developing a novel AAV capsid platform that utilizes machine learning, capsid shuffling and directed evolution to improve targeted delivery. Our approach allows us to identify capsids with improved properties in mice and NHPs in parallel to maximize their translational relevance. We are utilizing single-molecule, real-time, or SMRT, sequencing analysis for high throughput characterization of these capsids.</w:t>
      </w:r>
    </w:p>
    <w:p>
      <w:pPr>
        <w:spacing w:after="0" w:line="284" w:lineRule="exact"/>
        <w:rPr>
          <w:sz w:val="20"/>
          <w:szCs w:val="20"/>
          <w:color w:val="auto"/>
        </w:rPr>
      </w:pPr>
    </w:p>
    <w:p>
      <w:pPr>
        <w:ind w:right="640" w:firstLine="722"/>
        <w:spacing w:after="0" w:line="282" w:lineRule="auto"/>
        <w:rPr>
          <w:sz w:val="20"/>
          <w:szCs w:val="20"/>
          <w:color w:val="auto"/>
        </w:rPr>
      </w:pPr>
      <w:r>
        <w:rPr>
          <w:rFonts w:ascii="Times New Roman" w:cs="Times New Roman" w:eastAsia="Times New Roman" w:hAnsi="Times New Roman"/>
          <w:sz w:val="18"/>
          <w:szCs w:val="18"/>
          <w:color w:val="auto"/>
        </w:rPr>
        <w:t>We believe that our approach will allow us to rapidly identify new capsids to drive new product candidates for CNS disorders with novel biodistribution and transduction profiles into our development pipeline.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Pipeline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Neurodegenerative Diseases</w:t>
      </w:r>
    </w:p>
    <w:p>
      <w:pPr>
        <w:spacing w:after="0" w:line="121" w:lineRule="exact"/>
        <w:rPr>
          <w:sz w:val="20"/>
          <w:szCs w:val="20"/>
          <w:color w:val="auto"/>
        </w:rPr>
      </w:pPr>
    </w:p>
    <w:p>
      <w:pPr>
        <w:ind w:right="120" w:firstLine="722"/>
        <w:spacing w:after="0" w:line="256" w:lineRule="auto"/>
        <w:rPr>
          <w:sz w:val="20"/>
          <w:szCs w:val="20"/>
          <w:color w:val="auto"/>
        </w:rPr>
      </w:pPr>
      <w:r>
        <w:rPr>
          <w:rFonts w:ascii="Times New Roman" w:cs="Times New Roman" w:eastAsia="Times New Roman" w:hAnsi="Times New Roman"/>
          <w:sz w:val="18"/>
          <w:szCs w:val="18"/>
          <w:color w:val="auto"/>
        </w:rPr>
        <w:t>Our neurodegenerative disease programs target diseases that are characterized by the progressive degeneration of the structures and functions of the CNS. Degeneration and death of neuronal cells causes symptoms ranging from cognitive decline, functional impairment and, ultimately, death. Globally, neurodegenerative diseases represent an immense unmet medical need and disease management is complicated by a lack of effective symptomatic and disease-modifying therapies. Progressive neurodegeneration is a hallmark of numerous severe diseases each characterized by distinct etiology. Common neurodegenerative diseases include Alzheimer’s disease, Parkinson’s disease, amyotrophic lateral sclerosis, SMA and GM2 gangliosidosis.</w:t>
      </w:r>
    </w:p>
    <w:p>
      <w:pPr>
        <w:spacing w:after="0" w:line="295" w:lineRule="exact"/>
        <w:rPr>
          <w:sz w:val="20"/>
          <w:szCs w:val="20"/>
          <w:color w:val="auto"/>
        </w:rPr>
      </w:pPr>
    </w:p>
    <w:p>
      <w:pPr>
        <w:ind w:firstLine="722"/>
        <w:spacing w:after="0" w:line="255" w:lineRule="auto"/>
        <w:rPr>
          <w:sz w:val="20"/>
          <w:szCs w:val="20"/>
          <w:color w:val="auto"/>
        </w:rPr>
      </w:pPr>
      <w:r>
        <w:rPr>
          <w:rFonts w:ascii="Times New Roman" w:cs="Times New Roman" w:eastAsia="Times New Roman" w:hAnsi="Times New Roman"/>
          <w:sz w:val="18"/>
          <w:szCs w:val="18"/>
          <w:color w:val="auto"/>
        </w:rPr>
        <w:t>A Phase 1/2 clinical trial of TSHA-101, a neurodegenerative product candidate, for the treatment of GM2 gangliosidosis was initiated by Queen’s University under a CTA in Canada and Queen’s University expects to report preliminary safety and biomarker data in the second half of 2021 and preliminary clinical data by the end of 2021. We are also developing TSHA-118 for the treatment of CLN1 disease (one of the subtypes of Batten disease), for which we intend to initiate a Phase 1/2 clinical trial in the second half of 2021 under a currently open IND. In addition, we plan to submit an IND / CTA for the treatment of SURF1-associated Leigh syndrome in the second half of 2021 and to initiate a Phase 1/2 clinical trial of TSHA-104 by the end of 2021. We are developing additional product candidates for the treatment of prevalent neurodegenerative diseases, including Alzheimer’s disease, Parkinson’s disease and other tauopathies, and rare diseases such as APBD and Lafora disease.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 w:name="page12"/>
    <w:bookmarkEnd w:id="11"/>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TSHA-101 for the Treatment of GM2 Gangliosidosis</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Overview of GM2 Gangliosidosis</w:t>
      </w:r>
    </w:p>
    <w:p>
      <w:pPr>
        <w:spacing w:after="0" w:line="119" w:lineRule="exact"/>
        <w:rPr>
          <w:sz w:val="20"/>
          <w:szCs w:val="20"/>
          <w:color w:val="auto"/>
        </w:rPr>
      </w:pPr>
    </w:p>
    <w:p>
      <w:pPr>
        <w:ind w:right="40" w:firstLine="722"/>
        <w:spacing w:after="0" w:line="253" w:lineRule="auto"/>
        <w:rPr>
          <w:sz w:val="20"/>
          <w:szCs w:val="20"/>
          <w:color w:val="auto"/>
        </w:rPr>
      </w:pPr>
      <w:r>
        <w:rPr>
          <w:rFonts w:ascii="Times New Roman" w:cs="Times New Roman" w:eastAsia="Times New Roman" w:hAnsi="Times New Roman"/>
          <w:sz w:val="18"/>
          <w:szCs w:val="18"/>
          <w:color w:val="auto"/>
        </w:rPr>
        <w:t>GM2 gangliosidosis, which comprises Tay-Sachs disease and Sandhoff disease, refers to a group of lysosomal storage disorders caused by accumulation of the GM2 ganglioside in the lysosomes of cells within the CNS. Gangliosides are lipid components of cell membranes particularly abundant in the plasma membranes of neurons. Accumulation of GM2 ganglioside is caused by a deficiency in the Hex A enzyme, which is responsible for hydrolysis, or breakdown, of the GM2 ganglioside. This accumulation results in lysosomal rupture, leading to a poorly understood inflammatory cascade that leads to neuronal cell death and neurodegeneration. The global incidence of GM2 gangliosidosis is approximately one per 150,000 live births. Approximately 80% to 85% of patients are diagnosed with an infantile form of GM2 gangliosidosis, with the remainder diagnosed with a juvenile or early-adulthood form of the disease. There are no approved therapies for the treatment of GM2 gangliosidosis, and care is generally palliative. Children diagnosed with GM2 gangliosidosis appear normal at birth but experience rapid neurodegeneration, culminating in death before the age of four, and patients with juvenile GM2 gangliosidosis rarely survive beyond their mid-teens. The estimated prevalence of GM2 gangliosidosis is 500 patients in the United States and European Union.</w:t>
      </w:r>
    </w:p>
    <w:p>
      <w:pPr>
        <w:spacing w:after="0" w:line="300" w:lineRule="exact"/>
        <w:rPr>
          <w:sz w:val="20"/>
          <w:szCs w:val="20"/>
          <w:color w:val="auto"/>
        </w:rPr>
      </w:pPr>
    </w:p>
    <w:p>
      <w:pPr>
        <w:ind w:firstLine="722"/>
        <w:spacing w:after="0" w:line="255" w:lineRule="auto"/>
        <w:rPr>
          <w:sz w:val="20"/>
          <w:szCs w:val="20"/>
          <w:color w:val="auto"/>
        </w:rPr>
      </w:pPr>
      <w:r>
        <w:rPr>
          <w:rFonts w:ascii="Times New Roman" w:cs="Times New Roman" w:eastAsia="Times New Roman" w:hAnsi="Times New Roman"/>
          <w:sz w:val="18"/>
          <w:szCs w:val="18"/>
          <w:color w:val="auto"/>
        </w:rPr>
        <w:t xml:space="preserve">The Hex A enzyme is a heterodimer composed of two subunits: ß-hexosaminidase a (encoded in humans by the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gene) and ß-hexosaminidase ß (encoded in humans by the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 GM2 gangliosidosis caused by a mutation of the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gene is termed Tay-Sachs disease, while Sandhoff disease is caused by a mutation of the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 Tay-Sachs disease and Sandhoff disease result in clinically indistinguishable phenotypes for which there is no effective treatment. As illustrated in the graphic below, in GM2 gangliosidosis, its most common and severe form, the disease is characterized by a lack of Hex A enzyme activity, while juvenile GM2 gangliosidosis is characterized by Hex A enzyme activity that is 0.5% to less than 2% of normal activity. Adult-onset GM2 gangliosidosis patients have Hex A enzyme activity levels typically in the range of 2% to 4% of normal Hex A activity and may live a normal lifespan. We believe that the “critical threshold” for normal hydrolysis of GM2 ganglioside is estimated to be 5% to 10% of normal Hex A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198755</wp:posOffset>
            </wp:positionV>
            <wp:extent cx="4757420" cy="3608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5742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firstLine="722"/>
        <w:spacing w:after="0" w:line="257" w:lineRule="auto"/>
        <w:rPr>
          <w:sz w:val="20"/>
          <w:szCs w:val="20"/>
          <w:color w:val="auto"/>
        </w:rPr>
      </w:pPr>
      <w:r>
        <w:rPr>
          <w:rFonts w:ascii="Times New Roman" w:cs="Times New Roman" w:eastAsia="Times New Roman" w:hAnsi="Times New Roman"/>
          <w:sz w:val="18"/>
          <w:szCs w:val="18"/>
          <w:color w:val="auto"/>
        </w:rPr>
        <w:t>We believe that successful gene therapy to treat Tay-Sachs disease or Sandhoff disease requires expression of the α and ß subunits in a 1:1 ratio to ensure that Hex A expression confers a therapeutic benefit. An imbalanced expression of either subunit could result in the formation of a dysfunctional homodimer, or identical proteins, which would limit the efficacy of the therapy. Several therapeutic approaches utilize single vectors encoding either</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the α or ß subunit, while other approaches have utilized multiple vectors carrying the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genes separately. However, these approaches either fail to deliver the Hex A subunits in the appropriate ratio or require the simultaneous transduction of cells to achieve efficacy.</w:t>
      </w:r>
    </w:p>
    <w:p>
      <w:pPr>
        <w:spacing w:after="0" w:line="289" w:lineRule="exact"/>
        <w:rPr>
          <w:sz w:val="20"/>
          <w:szCs w:val="20"/>
          <w:color w:val="auto"/>
        </w:rPr>
      </w:pPr>
    </w:p>
    <w:p>
      <w:pPr>
        <w:ind w:right="60" w:firstLine="722"/>
        <w:spacing w:after="0" w:line="266" w:lineRule="auto"/>
        <w:rPr>
          <w:sz w:val="20"/>
          <w:szCs w:val="20"/>
          <w:color w:val="auto"/>
        </w:rPr>
      </w:pPr>
      <w:r>
        <w:rPr>
          <w:rFonts w:ascii="Times New Roman" w:cs="Times New Roman" w:eastAsia="Times New Roman" w:hAnsi="Times New Roman"/>
          <w:sz w:val="18"/>
          <w:szCs w:val="18"/>
          <w:color w:val="auto"/>
        </w:rPr>
        <w:t>Similar to other lysosomal enzymes, Hex A is ubiquitously expressed and therefore concerns related to off-target effects or overexpression are limited. In addition, Hex A is secreted from transduced cells and can be taken up by neighboring cells to correct their phenotype, making it possible to cure these diseases without the need to transduce every cell, a process referred to as cross-correction.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Studies suggest that restoring Hex A enzyme levels to approximately 10% of normal may result in complete phenotypic absence of the disease.</w:t>
      </w:r>
    </w:p>
    <w:p>
      <w:pPr>
        <w:spacing w:after="0" w:line="3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Our Solution: TSHA-101</w:t>
      </w:r>
    </w:p>
    <w:p>
      <w:pPr>
        <w:spacing w:after="0" w:line="119" w:lineRule="exact"/>
        <w:rPr>
          <w:sz w:val="20"/>
          <w:szCs w:val="20"/>
          <w:color w:val="auto"/>
        </w:rPr>
      </w:pPr>
    </w:p>
    <w:p>
      <w:pPr>
        <w:ind w:firstLine="722"/>
        <w:spacing w:after="0" w:line="281" w:lineRule="auto"/>
        <w:rPr>
          <w:sz w:val="20"/>
          <w:szCs w:val="20"/>
          <w:color w:val="auto"/>
        </w:rPr>
      </w:pPr>
      <w:r>
        <w:rPr>
          <w:rFonts w:ascii="Times New Roman" w:cs="Times New Roman" w:eastAsia="Times New Roman" w:hAnsi="Times New Roman"/>
          <w:sz w:val="17"/>
          <w:szCs w:val="17"/>
          <w:color w:val="auto"/>
        </w:rPr>
        <w:t xml:space="preserve">We are developing TSHA-101, a neurodegenerative product candidate, for the treatment of GM2 gangliosidosis. TSHA-101 is a bicistronic, or dual loci of transcription, </w:t>
      </w:r>
      <w:r>
        <w:rPr>
          <w:rFonts w:ascii="Times New Roman" w:cs="Times New Roman" w:eastAsia="Times New Roman" w:hAnsi="Times New Roman"/>
          <w:sz w:val="17"/>
          <w:szCs w:val="17"/>
          <w:i w:val="1"/>
          <w:iCs w:val="1"/>
          <w:color w:val="auto"/>
        </w:rPr>
        <w:t>HEXB</w:t>
      </w:r>
      <w:r>
        <w:rPr>
          <w:rFonts w:ascii="Times New Roman" w:cs="Times New Roman" w:eastAsia="Times New Roman" w:hAnsi="Times New Roman"/>
          <w:sz w:val="17"/>
          <w:szCs w:val="17"/>
          <w:color w:val="auto"/>
        </w:rPr>
        <w:t xml:space="preserve">P2A- </w:t>
      </w:r>
      <w:r>
        <w:rPr>
          <w:rFonts w:ascii="Times New Roman" w:cs="Times New Roman" w:eastAsia="Times New Roman" w:hAnsi="Times New Roman"/>
          <w:sz w:val="17"/>
          <w:szCs w:val="17"/>
          <w:i w:val="1"/>
          <w:iCs w:val="1"/>
          <w:color w:val="auto"/>
        </w:rPr>
        <w:t>HEXA</w:t>
      </w:r>
      <w:r>
        <w:rPr>
          <w:rFonts w:ascii="Times New Roman" w:cs="Times New Roman" w:eastAsia="Times New Roman" w:hAnsi="Times New Roman"/>
          <w:sz w:val="17"/>
          <w:szCs w:val="17"/>
          <w:color w:val="auto"/>
        </w:rPr>
        <w:t xml:space="preserve"> transgene packaged into an AAV9 vector under the control of the CAG promoter. We have designed TSHA-101 to link the human </w:t>
      </w:r>
      <w:r>
        <w:rPr>
          <w:rFonts w:ascii="Times New Roman" w:cs="Times New Roman" w:eastAsia="Times New Roman" w:hAnsi="Times New Roman"/>
          <w:sz w:val="17"/>
          <w:szCs w:val="17"/>
          <w:i w:val="1"/>
          <w:iCs w:val="1"/>
          <w:color w:val="auto"/>
        </w:rPr>
        <w:t>HEXA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HEXB</w:t>
      </w:r>
      <w:r>
        <w:rPr>
          <w:rFonts w:ascii="Times New Roman" w:cs="Times New Roman" w:eastAsia="Times New Roman" w:hAnsi="Times New Roman"/>
          <w:sz w:val="17"/>
          <w:szCs w:val="17"/>
          <w:color w:val="auto"/>
        </w:rPr>
        <w:t xml:space="preserve"> genes, utilizing a cleavable peptide linker, to ensure that the expression of each the subunit occurs simultaneously at the appropriate 1:1 ratio. This approach is designed to maximize the expression of Hex A enzyme while minimizing the required therapeutic dosage.</w:t>
      </w:r>
    </w:p>
    <w:p>
      <w:pPr>
        <w:spacing w:after="0" w:line="272"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Because GM2 gangliosidosis is clinically well defined, we believe we can leverage that knowledge to develop TSHA-101 with a higher probability of clinical and regulatory success. If approved, we believe that TSHA-101 could have a transformational impact on these severely underserved patients and their families. As TSHA-101 is designed to secrete the Hex A enzyme from transduced cells, uptake of the enzyme by neighboring cells via cross-correction has the potential to result in therapeutic benefit independent of their transduction status. In addition, we believe Hex A enzyme activity in the serum and CSF can serve as a potential biomarker to detect and help verify treatment effects on GM2 gangliosidosis during the early stages of clinical development.</w:t>
      </w:r>
    </w:p>
    <w:p>
      <w:pPr>
        <w:spacing w:after="0" w:line="295" w:lineRule="exact"/>
        <w:rPr>
          <w:sz w:val="20"/>
          <w:szCs w:val="20"/>
          <w:color w:val="auto"/>
        </w:rPr>
      </w:pPr>
    </w:p>
    <w:p>
      <w:pPr>
        <w:ind w:right="560" w:firstLine="722"/>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for TSHA-101 for the treatment of GM2 gangliosidosis.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182880</wp:posOffset>
            </wp:positionV>
            <wp:extent cx="5572125" cy="1783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212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right="80" w:firstLine="722"/>
        <w:spacing w:after="0" w:line="255" w:lineRule="auto"/>
        <w:rPr>
          <w:sz w:val="20"/>
          <w:szCs w:val="20"/>
          <w:color w:val="auto"/>
        </w:rPr>
      </w:pPr>
      <w:r>
        <w:rPr>
          <w:rFonts w:ascii="Times New Roman" w:cs="Times New Roman" w:eastAsia="Times New Roman" w:hAnsi="Times New Roman"/>
          <w:sz w:val="18"/>
          <w:szCs w:val="18"/>
          <w:color w:val="auto"/>
        </w:rPr>
        <w:t>In preclinical studies, we observed evidence of improvements in behavioral assays and GM2 ganglioside accumulation across all dose levels of TSHA-101, which we believe supports continued development of TSHA-101. In these studies, TSHA-101 was administered at three dose levels via intrathecal lumbar puncture to a mouse model of Sandhoff disease, selected for its ability to recapitulate the severity of the human disease: a high dose of 2.5 x 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vg/mouse, a medium dose of 1.25 x 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vg/mouse and a low dose of 0.625 x 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vg/mouse. Mice were dosed at six weeks of age and subjected to a battery of behavioral tests when they reached eight weeks of age. At 16 weeks, a cohort of mice were euthanized, at which time GM2 ganglioside accumulation, Hex A enzyme levels and vector biodistribution were evaluated. An additional cohort was followed to a humane long-term endpoint defined as 15% body weight loss or an absent righting reflex.</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sectPr>
      </w:pPr>
    </w:p>
    <w:bookmarkStart w:id="13" w:name="page14"/>
    <w:bookmarkEnd w:id="13"/>
    <w:p>
      <w:pPr>
        <w:ind w:firstLine="722"/>
        <w:spacing w:after="0" w:line="266" w:lineRule="auto"/>
        <w:rPr>
          <w:sz w:val="20"/>
          <w:szCs w:val="20"/>
          <w:color w:val="auto"/>
        </w:rPr>
      </w:pPr>
      <w:r>
        <w:rPr>
          <w:rFonts w:ascii="Times New Roman" w:cs="Times New Roman" w:eastAsia="Times New Roman" w:hAnsi="Times New Roman"/>
          <w:sz w:val="18"/>
          <w:szCs w:val="18"/>
          <w:color w:val="auto"/>
        </w:rPr>
        <w:t>Across all dose levels, we observed a significant improvement in survival in mice treated with TSHA-101 as compared to mice treated with vehicle alone, as illustrated below. A clear dose-response relationship was observed, with the high dose, medium dose and low dose of TSHA-101 shown to increase survival by 3.4-, 2.3- and 1.5-fold relative to vehicle control,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534670</wp:posOffset>
            </wp:positionV>
            <wp:extent cx="4817745" cy="2768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1774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288" w:lineRule="exact"/>
        <w:rPr>
          <w:sz w:val="20"/>
          <w:szCs w:val="20"/>
          <w:color w:val="auto"/>
        </w:rPr>
      </w:pPr>
    </w:p>
    <w:p>
      <w:pPr>
        <w:ind w:right="100" w:firstLine="722"/>
        <w:spacing w:after="0" w:line="282" w:lineRule="auto"/>
        <w:rPr>
          <w:sz w:val="20"/>
          <w:szCs w:val="20"/>
          <w:color w:val="auto"/>
        </w:rPr>
      </w:pPr>
      <w:r>
        <w:rPr>
          <w:rFonts w:ascii="Times New Roman" w:cs="Times New Roman" w:eastAsia="Times New Roman" w:hAnsi="Times New Roman"/>
          <w:sz w:val="18"/>
          <w:szCs w:val="18"/>
          <w:color w:val="auto"/>
        </w:rPr>
        <w:t>We observed similar dose-dependent responses in our behavioral assessments of mice in the open field test and rotarod assays, both of which are commonly used tests to evaluate motor coordination in mice,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525780</wp:posOffset>
            </wp:positionV>
            <wp:extent cx="4732020" cy="2263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3202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right="340" w:firstLine="722"/>
        <w:spacing w:after="0" w:line="282" w:lineRule="auto"/>
        <w:rPr>
          <w:sz w:val="20"/>
          <w:szCs w:val="20"/>
          <w:color w:val="auto"/>
        </w:rPr>
      </w:pPr>
      <w:r>
        <w:rPr>
          <w:rFonts w:ascii="Times New Roman" w:cs="Times New Roman" w:eastAsia="Times New Roman" w:hAnsi="Times New Roman"/>
          <w:sz w:val="18"/>
          <w:szCs w:val="18"/>
          <w:color w:val="auto"/>
        </w:rPr>
        <w:t>At 16 weeks, we performed a GM2 ganglioside assay on the middle section of the brain of mice in all treatment groups. We observed a dose-dependent decrease in ganglioside accumulation, as illustrated below, suggesting a restoration of Hex A enzyme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525780</wp:posOffset>
            </wp:positionV>
            <wp:extent cx="4757420" cy="29146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5742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In preclinical studies designed to evaluate safety, no adverse findings or evidence of toxicity attributable to TSHA-101 were observed. To characterize the safety profile of TSHA-101, wild type mice were intrathecally administered a low dose of TSHA-101 of 2.5 x 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vg/mouse or a high dose of 5 x 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vg/mouse. The effect of immunosuppressants were also investigated. Mice received daily administration of prednisone and rapamycin, two immunosuppressants commonly used in combination with gene therapies.</w:t>
      </w:r>
    </w:p>
    <w:p>
      <w:pPr>
        <w:spacing w:after="0" w:line="288"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At five weeks of age, a cohort of nine mice were euthanized as baseline controls. These mice did not receive gene therapy or immunosuppression. The experimental mice began receiving daily dosages of either 24 µg prednisone and 100 µg rapamycin or a vehicle gavage that continued for the remainder of the study. At six weeks, the experimental mice were administered either a vehicle treatment or TSHA-101 at either the low dose or high dose. Mice continued daily gavaging until their pre-assigned endpoint. Five male and five female mice from the first, second and third cohorts were euthanized at one week, four weeks and three months post-gene therapy injections, respectively. All mice from the fourth cohort were euthanized at four weeks post-gene therapy administration.</w:t>
      </w:r>
    </w:p>
    <w:p>
      <w:pPr>
        <w:spacing w:after="0" w:line="295" w:lineRule="exact"/>
        <w:rPr>
          <w:sz w:val="20"/>
          <w:szCs w:val="20"/>
          <w:color w:val="auto"/>
        </w:rPr>
      </w:pPr>
    </w:p>
    <w:p>
      <w:pPr>
        <w:ind w:firstLine="722"/>
        <w:spacing w:after="0" w:line="266" w:lineRule="auto"/>
        <w:rPr>
          <w:sz w:val="20"/>
          <w:szCs w:val="20"/>
          <w:color w:val="auto"/>
        </w:rPr>
      </w:pPr>
      <w:r>
        <w:rPr>
          <w:rFonts w:ascii="Times New Roman" w:cs="Times New Roman" w:eastAsia="Times New Roman" w:hAnsi="Times New Roman"/>
          <w:sz w:val="18"/>
          <w:szCs w:val="18"/>
          <w:color w:val="auto"/>
        </w:rPr>
        <w:t>Complete blood cell count and biochemistry analyses were performed on whole blood and serum samples. Enzyme-linked immunospot assays were performed on the mice euthanized at four weeks and three months post-injection to assess the immune response of the mice. The biodistribution of the virus was also determined through quantitative polymerase chain reaction.</w:t>
      </w:r>
    </w:p>
    <w:p>
      <w:pPr>
        <w:spacing w:after="0" w:line="2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119"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In December 2020, Queen’s University received CTA approval from Health Canada for its investigator-sponsored Phase 1/2 clinical trial of TSHA-101 in patients with a confirmed diagnosis of GM2 gangliosidosis. Patients will be evaluated over one year, followed by a longer-term extension period to monitor ongoing safety, developmental progression, select efficacy measures and biomarkers, consistent with other pediatric gene therapy trials. An independent data safety monitoring board will review data from each patient on an ongoing basis to ensure that stopping criteria are not met and monitor the well-being of the patients in the trial. Patients will receive TSHA-101 in a total dose of 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vg (modified dependent on age and predicted CSF volume) via intrathecal administration. The trial will measure safety and efficacy (including biomarker activity). Efficacy will be evaluated by motor function scales, assessment of head lag as a reflection of head lag, prevention of developmental regression, control of seizure activity and prevention of loss of milestones, as measured by validated scales. Additional measures of efficacy are expected to include plasma and CSF Hex A enzyme activity, GM2 ganglioside reduction and magnetic resonance imaging. Patient quality of life and caretaker burden using appropriate and accepted scales and observer-reported outcomes are also expected to be measured. Queen’s University expects to report preliminary safety and biomarker data in the second half of 2021 and preliminary clinical data by the end of 2021. Following preliminary results from the Queen’s University Phase 1/2 clinical trial, we plan to submit an IND to the FDA in the second half of 2021 to commence a clinical trial for TSHA-101 in the United States in the second half of 2021, which we believe could serve as a pivotal trial to support registration subject to discussions with the FDA.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 w:name="page16"/>
    <w:bookmarkEnd w:id="15"/>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TSHA-118 (Formerly ABO-202) for the Treatment of CLN1 Disease</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Overview of CLN1 Disease</w:t>
      </w:r>
    </w:p>
    <w:p>
      <w:pPr>
        <w:spacing w:after="0" w:line="119" w:lineRule="exact"/>
        <w:rPr>
          <w:sz w:val="20"/>
          <w:szCs w:val="20"/>
          <w:color w:val="auto"/>
        </w:rPr>
      </w:pPr>
    </w:p>
    <w:p>
      <w:pPr>
        <w:ind w:right="20" w:firstLine="722"/>
        <w:spacing w:after="0" w:line="256" w:lineRule="auto"/>
        <w:rPr>
          <w:sz w:val="20"/>
          <w:szCs w:val="20"/>
          <w:color w:val="auto"/>
        </w:rPr>
      </w:pPr>
      <w:r>
        <w:rPr>
          <w:rFonts w:ascii="Times New Roman" w:cs="Times New Roman" w:eastAsia="Times New Roman" w:hAnsi="Times New Roman"/>
          <w:sz w:val="18"/>
          <w:szCs w:val="18"/>
          <w:color w:val="auto"/>
        </w:rPr>
        <w:t xml:space="preserve">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900 patients in the United States and European Union. CLN1 disease is caused by loss-of-function mutations in the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that encodes the enzyme palmitoyl-protein thioesterase-1, or PPT1, a small glycoprotein involved in the degradation of certain lipid-modified proteins. Loss of function mutations in the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causes accumulation of these lipid-modified proteins in cells, eventually leading to aggregation, neuronal cellular dysfunction and, ultimately neuronal cell death.</w:t>
      </w:r>
    </w:p>
    <w:p>
      <w:pPr>
        <w:spacing w:after="0" w:line="295" w:lineRule="exact"/>
        <w:rPr>
          <w:sz w:val="20"/>
          <w:szCs w:val="20"/>
          <w:color w:val="auto"/>
        </w:rPr>
      </w:pPr>
    </w:p>
    <w:p>
      <w:pPr>
        <w:ind w:right="100" w:firstLine="722"/>
        <w:spacing w:after="0" w:line="255" w:lineRule="auto"/>
        <w:rPr>
          <w:sz w:val="20"/>
          <w:szCs w:val="20"/>
          <w:color w:val="auto"/>
        </w:rPr>
      </w:pPr>
      <w:r>
        <w:rPr>
          <w:rFonts w:ascii="Times New Roman" w:cs="Times New Roman" w:eastAsia="Times New Roman" w:hAnsi="Times New Roman"/>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297" w:lineRule="exact"/>
        <w:rPr>
          <w:sz w:val="20"/>
          <w:szCs w:val="20"/>
          <w:color w:val="auto"/>
        </w:rPr>
      </w:pPr>
    </w:p>
    <w:p>
      <w:pPr>
        <w:jc w:val="both"/>
        <w:ind w:right="240" w:firstLine="722"/>
        <w:spacing w:after="0" w:line="266" w:lineRule="auto"/>
        <w:rPr>
          <w:sz w:val="20"/>
          <w:szCs w:val="20"/>
          <w:color w:val="auto"/>
        </w:rPr>
      </w:pPr>
      <w:r>
        <w:rPr>
          <w:rFonts w:ascii="Times New Roman" w:cs="Times New Roman" w:eastAsia="Times New Roman" w:hAnsi="Times New Roman"/>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2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Our Solution: TSHA-118</w:t>
      </w:r>
    </w:p>
    <w:p>
      <w:pPr>
        <w:spacing w:after="0" w:line="117"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the introduction of a functional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using an AAV9 vector delivered intrathecally to the CNS exposure offers the potential of a disease-modifying therapeutic approach for this disease. TSHA-118 is a self-complementary AAV9 viral vector that expresses human codon-optimized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complementary deoxyribonucleic acid under control of the chicken ß-actin hybrid promoter. We acquired exclusive worldwide rights to TSHA-118 (formerly ABO-202) in August 2020 pursuant to a license agreement with Abeona Therapeutics Inc., or Abeona.</w:t>
      </w:r>
    </w:p>
    <w:p>
      <w:pPr>
        <w:spacing w:after="0" w:line="290" w:lineRule="exact"/>
        <w:rPr>
          <w:sz w:val="20"/>
          <w:szCs w:val="20"/>
          <w:color w:val="auto"/>
        </w:rPr>
      </w:pPr>
    </w:p>
    <w:p>
      <w:pPr>
        <w:ind w:firstLine="722"/>
        <w:spacing w:after="0" w:line="282" w:lineRule="auto"/>
        <w:rPr>
          <w:sz w:val="20"/>
          <w:szCs w:val="20"/>
          <w:color w:val="auto"/>
        </w:rPr>
      </w:pPr>
      <w:r>
        <w:rPr>
          <w:rFonts w:ascii="Times New Roman" w:cs="Times New Roman" w:eastAsia="Times New Roman" w:hAnsi="Times New Roman"/>
          <w:sz w:val="18"/>
          <w:szCs w:val="18"/>
          <w:color w:val="auto"/>
        </w:rPr>
        <w:t>TSHA-118 has been granted orphan drug designation, rare pediatric disease designation and fast track designation from the FDA and orphan drug designation from the EMA for the treatment of CLN1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182880</wp:posOffset>
            </wp:positionV>
            <wp:extent cx="5349240" cy="1714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right="60" w:firstLine="722"/>
        <w:spacing w:after="0" w:line="258" w:lineRule="auto"/>
        <w:rPr>
          <w:sz w:val="20"/>
          <w:szCs w:val="20"/>
          <w:color w:val="auto"/>
        </w:rPr>
      </w:pPr>
      <w:r>
        <w:rPr>
          <w:rFonts w:ascii="Times New Roman" w:cs="Times New Roman" w:eastAsia="Times New Roman" w:hAnsi="Times New Roman"/>
          <w:sz w:val="18"/>
          <w:szCs w:val="18"/>
          <w:color w:val="auto"/>
        </w:rPr>
        <w:t>In third-party preclinical studies, evidence of improvements in behavioral outcomes, survival and restoration of PPT1 enzymatic activity was observed, which we believe supports continued development of TSHA-118. In these studies, TSHA-118 was administered at a dose of 7.0 x 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vg/mouse via intrathecal lumbar puncture to a mouse model of CLN1 disease, selected for its ability to recapitulate the severity of the human disease. The results from this study showed that intrathecal treatment with TSHA-118 significantly extended survival of CLN1 knockout mice, with enhanced survival and behavioral outcomes correlating with treatment at younger ages and higher doses.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ind w:firstLine="722"/>
        <w:spacing w:after="0" w:line="282" w:lineRule="auto"/>
        <w:rPr>
          <w:sz w:val="20"/>
          <w:szCs w:val="20"/>
          <w:color w:val="auto"/>
        </w:rPr>
      </w:pPr>
      <w:r>
        <w:rPr>
          <w:rFonts w:ascii="Times New Roman" w:cs="Times New Roman" w:eastAsia="Times New Roman" w:hAnsi="Times New Roman"/>
          <w:sz w:val="18"/>
          <w:szCs w:val="18"/>
          <w:color w:val="auto"/>
        </w:rPr>
        <w:t>As illustrated in the figure below, mice treated with TSHA-118 at four weeks or twelve weeks of age had a mean survival of 18.7 or 16.7 months, respectively, compared to approximately 8 months survival for untreated CLN1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320040</wp:posOffset>
            </wp:positionV>
            <wp:extent cx="4732020" cy="2263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3202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20" w:firstLine="722"/>
        <w:spacing w:after="0" w:line="282" w:lineRule="auto"/>
        <w:rPr>
          <w:sz w:val="20"/>
          <w:szCs w:val="20"/>
          <w:color w:val="auto"/>
        </w:rPr>
      </w:pPr>
      <w:r>
        <w:rPr>
          <w:rFonts w:ascii="Times New Roman" w:cs="Times New Roman" w:eastAsia="Times New Roman" w:hAnsi="Times New Roman"/>
          <w:sz w:val="18"/>
          <w:szCs w:val="18"/>
          <w:color w:val="auto"/>
        </w:rPr>
        <w:t>PPT1 enzyme activity in serum was measured at selected timepoints following TSHA-118 delivery by intrathecal administration at four, twenty or twenty-six weeks of age. Serum was collected either at four months post-treatment or at the humane endpoint.</w:t>
      </w:r>
    </w:p>
    <w:p>
      <w:pPr>
        <w:spacing w:after="0" w:line="270" w:lineRule="exact"/>
        <w:rPr>
          <w:sz w:val="20"/>
          <w:szCs w:val="20"/>
          <w:color w:val="auto"/>
        </w:rPr>
      </w:pPr>
    </w:p>
    <w:p>
      <w:pPr>
        <w:ind w:right="400" w:firstLine="722"/>
        <w:spacing w:after="0" w:line="266" w:lineRule="auto"/>
        <w:rPr>
          <w:sz w:val="20"/>
          <w:szCs w:val="20"/>
          <w:color w:val="auto"/>
        </w:rPr>
      </w:pPr>
      <w:r>
        <w:rPr>
          <w:rFonts w:ascii="Times New Roman" w:cs="Times New Roman" w:eastAsia="Times New Roman" w:hAnsi="Times New Roman"/>
          <w:sz w:val="18"/>
          <w:szCs w:val="18"/>
          <w:color w:val="auto"/>
        </w:rPr>
        <w:t>As shown in the figure below, heterozygous mice had roughly 30% of normal serum PPT1 activity compared to wild-type mice. In contrast, treatment of CLN1 knockout mice with TSHA-118 resulted in supraphysiological levels of active PPT1 in the serum in comparison to wild-type and heterozygous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534670</wp:posOffset>
            </wp:positionV>
            <wp:extent cx="4714875" cy="1791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487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335" w:lineRule="exact"/>
        <w:rPr>
          <w:sz w:val="20"/>
          <w:szCs w:val="20"/>
          <w:color w:val="auto"/>
        </w:rPr>
      </w:pPr>
    </w:p>
    <w:p>
      <w:pPr>
        <w:jc w:val="both"/>
        <w:ind w:firstLine="722"/>
        <w:spacing w:after="0" w:line="258" w:lineRule="auto"/>
        <w:rPr>
          <w:sz w:val="20"/>
          <w:szCs w:val="20"/>
          <w:color w:val="auto"/>
        </w:rPr>
      </w:pPr>
      <w:r>
        <w:rPr>
          <w:rFonts w:ascii="Times New Roman" w:cs="Times New Roman" w:eastAsia="Times New Roman" w:hAnsi="Times New Roman"/>
          <w:sz w:val="18"/>
          <w:szCs w:val="18"/>
          <w:color w:val="auto"/>
        </w:rPr>
        <w:t>We expect to initiate a global Phase 1/2 dose-escalation and expansion trial subject to feedback from applicable regulatory agencies in the second half of 2021. The trial is expected to enroll up to 18 patients, including patients with classic infantile onset, late infantile onset and juvenile forms of CLN1 disease. We will conduct the trial in the United States following an amendment to the currently open IND that Abeona transferred to us. A data monitoring committee will review safety information from the first patient dosed in each cohort before the second participant from that cohort can be enrolled and will also be involved in overall safety review and safety management in the trial.</w:t>
      </w:r>
    </w:p>
    <w:p>
      <w:pPr>
        <w:spacing w:after="0" w:line="291" w:lineRule="exact"/>
        <w:rPr>
          <w:sz w:val="20"/>
          <w:szCs w:val="20"/>
          <w:color w:val="auto"/>
        </w:rPr>
      </w:pPr>
    </w:p>
    <w:p>
      <w:pPr>
        <w:ind w:right="140" w:firstLine="722"/>
        <w:spacing w:after="0" w:line="258" w:lineRule="auto"/>
        <w:rPr>
          <w:sz w:val="20"/>
          <w:szCs w:val="20"/>
          <w:color w:val="auto"/>
        </w:rPr>
      </w:pPr>
      <w:r>
        <w:rPr>
          <w:rFonts w:ascii="Times New Roman" w:cs="Times New Roman" w:eastAsia="Times New Roman" w:hAnsi="Times New Roman"/>
          <w:sz w:val="18"/>
          <w:szCs w:val="18"/>
          <w:color w:val="auto"/>
        </w:rPr>
        <w:t>We expect that the key endpoints in the trial will include: safety and tolerability; developmental milestones; PPT1 enzyme activity in the serum and CSF; change in clinical progression as measured by the Unified Batten Disease Rating Scale, Hamburg Scale; changes in a number of other developmental scales, including the Vineland Adaptive Behavior Scales-Third Edition, Bayley Scales of Infant and Toddler Development; seizure frequency, type and medication; ophthalmological assessment; quality of life and caregiver burden; and changes in MRI, including volumetric changes of the brain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7" w:name="page18"/>
    <w:bookmarkEnd w:id="17"/>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Neurodegenerative Programs</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TSHA-104 for SURF1-Associated Leigh Syndrome</w:t>
      </w:r>
    </w:p>
    <w:p>
      <w:pPr>
        <w:spacing w:after="0" w:line="117" w:lineRule="exact"/>
        <w:rPr>
          <w:sz w:val="20"/>
          <w:szCs w:val="20"/>
          <w:color w:val="auto"/>
        </w:rPr>
      </w:pPr>
    </w:p>
    <w:p>
      <w:pPr>
        <w:ind w:right="20" w:firstLine="722"/>
        <w:spacing w:after="0" w:line="275" w:lineRule="auto"/>
        <w:rPr>
          <w:sz w:val="20"/>
          <w:szCs w:val="20"/>
          <w:color w:val="auto"/>
        </w:rPr>
      </w:pPr>
      <w:r>
        <w:rPr>
          <w:rFonts w:ascii="Times New Roman" w:cs="Times New Roman" w:eastAsia="Times New Roman" w:hAnsi="Times New Roman"/>
          <w:sz w:val="17"/>
          <w:szCs w:val="17"/>
          <w:color w:val="auto"/>
        </w:rPr>
        <w:t xml:space="preserve">We are developing TSHA-104, a neurodegenerative product candidate, for the treatment of SURF1-associated Leigh syndrome. The </w:t>
      </w:r>
      <w:r>
        <w:rPr>
          <w:rFonts w:ascii="Times New Roman" w:cs="Times New Roman" w:eastAsia="Times New Roman" w:hAnsi="Times New Roman"/>
          <w:sz w:val="17"/>
          <w:szCs w:val="17"/>
          <w:i w:val="1"/>
          <w:iCs w:val="1"/>
          <w:color w:val="auto"/>
        </w:rPr>
        <w:t>SURF1</w:t>
      </w:r>
      <w:r>
        <w:rPr>
          <w:rFonts w:ascii="Times New Roman" w:cs="Times New Roman" w:eastAsia="Times New Roman" w:hAnsi="Times New Roman"/>
          <w:sz w:val="17"/>
          <w:szCs w:val="17"/>
          <w:color w:val="auto"/>
        </w:rPr>
        <w:t xml:space="preserve"> gene encodes the SURF1 protein, which plays a critical role in mitochondrial translation and is involved in the assembly of the cytochrome c oxidase complex. Mutations in </w:t>
      </w:r>
      <w:r>
        <w:rPr>
          <w:rFonts w:ascii="Times New Roman" w:cs="Times New Roman" w:eastAsia="Times New Roman" w:hAnsi="Times New Roman"/>
          <w:sz w:val="17"/>
          <w:szCs w:val="17"/>
          <w:i w:val="1"/>
          <w:iCs w:val="1"/>
          <w:color w:val="auto"/>
        </w:rPr>
        <w:t>SURF1</w:t>
      </w:r>
      <w:r>
        <w:rPr>
          <w:rFonts w:ascii="Times New Roman" w:cs="Times New Roman" w:eastAsia="Times New Roman" w:hAnsi="Times New Roman"/>
          <w:sz w:val="17"/>
          <w:szCs w:val="17"/>
          <w:color w:val="auto"/>
        </w:rPr>
        <w:t xml:space="preserve"> lead to SURF1-associated Leigh syndrome, a recessively inherited mitochondrial disease, and are the most frequent cause of Leigh syndrome, a rapidly progressive neurological condition characterized by the degeneration of the CNS. To date over 100 </w:t>
      </w:r>
      <w:r>
        <w:rPr>
          <w:rFonts w:ascii="Times New Roman" w:cs="Times New Roman" w:eastAsia="Times New Roman" w:hAnsi="Times New Roman"/>
          <w:sz w:val="17"/>
          <w:szCs w:val="17"/>
          <w:i w:val="1"/>
          <w:iCs w:val="1"/>
          <w:color w:val="auto"/>
        </w:rPr>
        <w:t>SURF1</w:t>
      </w:r>
      <w:r>
        <w:rPr>
          <w:rFonts w:ascii="Times New Roman" w:cs="Times New Roman" w:eastAsia="Times New Roman" w:hAnsi="Times New Roman"/>
          <w:sz w:val="17"/>
          <w:szCs w:val="17"/>
          <w:color w:val="auto"/>
        </w:rPr>
        <w:t xml:space="preserve"> mutations, including non-sense, frame shift and missense variants have been described in literature. The incidence of SURF1-associated Leigh syndrome is estimated to be approximately 1 in 100,000 live births. The estimated prevalence of SURF1 deficiency is 300 to 400 patients in the United States and European Union.</w:t>
      </w:r>
    </w:p>
    <w:p>
      <w:pPr>
        <w:spacing w:after="0" w:line="278" w:lineRule="exact"/>
        <w:rPr>
          <w:sz w:val="20"/>
          <w:szCs w:val="20"/>
          <w:color w:val="auto"/>
        </w:rPr>
      </w:pPr>
    </w:p>
    <w:p>
      <w:pPr>
        <w:ind w:right="20" w:firstLine="722"/>
        <w:spacing w:after="0" w:line="258" w:lineRule="auto"/>
        <w:rPr>
          <w:sz w:val="20"/>
          <w:szCs w:val="20"/>
          <w:color w:val="auto"/>
        </w:rPr>
      </w:pPr>
      <w:r>
        <w:rPr>
          <w:rFonts w:ascii="Times New Roman" w:cs="Times New Roman" w:eastAsia="Times New Roman" w:hAnsi="Times New Roman"/>
          <w:sz w:val="18"/>
          <w:szCs w:val="18"/>
          <w:color w:val="auto"/>
        </w:rPr>
        <w:t>SURF1-associated Leigh syndrome can lead to difficulty swallowing in infancy, with subsequent failure to thrive. Severely diseased muscle tone leading to respiratory failure, movement disorders and balance abnormalities are common. According to the literature, only a few patients have been reported to survive beyond 10 years of age. In the majority of SURF1-deficient patients, serum lactate is elevated, and elevated levels of serum lactate have been reported in the CSF as well, indicative of mitochondrial dysfunction. We are pursuing a gene replacement strategy with the goal of restoring mitochondrial function in patients with SURF1-associated Leigh syndrome caused by loss-of-function mutations.</w:t>
      </w:r>
    </w:p>
    <w:p>
      <w:pPr>
        <w:spacing w:after="0" w:line="289" w:lineRule="exact"/>
        <w:rPr>
          <w:sz w:val="20"/>
          <w:szCs w:val="20"/>
          <w:color w:val="auto"/>
        </w:rPr>
      </w:pPr>
    </w:p>
    <w:p>
      <w:pPr>
        <w:ind w:firstLine="722"/>
        <w:spacing w:after="0" w:line="267" w:lineRule="auto"/>
        <w:rPr>
          <w:sz w:val="20"/>
          <w:szCs w:val="20"/>
          <w:color w:val="auto"/>
        </w:rPr>
      </w:pPr>
      <w:r>
        <w:rPr>
          <w:rFonts w:ascii="Times New Roman" w:cs="Times New Roman" w:eastAsia="Times New Roman" w:hAnsi="Times New Roman"/>
          <w:sz w:val="18"/>
          <w:szCs w:val="18"/>
          <w:color w:val="auto"/>
        </w:rPr>
        <w:t xml:space="preserve">We are constructing TSHA-104 from a codon-optimized version of the human </w:t>
      </w:r>
      <w:r>
        <w:rPr>
          <w:rFonts w:ascii="Times New Roman" w:cs="Times New Roman" w:eastAsia="Times New Roman" w:hAnsi="Times New Roman"/>
          <w:sz w:val="18"/>
          <w:szCs w:val="18"/>
          <w:i w:val="1"/>
          <w:iCs w:val="1"/>
          <w:color w:val="auto"/>
        </w:rPr>
        <w:t>SURF1</w:t>
      </w:r>
      <w:r>
        <w:rPr>
          <w:rFonts w:ascii="Times New Roman" w:cs="Times New Roman" w:eastAsia="Times New Roman" w:hAnsi="Times New Roman"/>
          <w:sz w:val="18"/>
          <w:szCs w:val="18"/>
          <w:color w:val="auto"/>
        </w:rPr>
        <w:t xml:space="preserve"> gene packaged within a self-complementary AAV9 viral vector under the control of a CBh promoter. We plan to submit an IND / CTA for TSHA-104 in the second half of 2021 and initiate a Phase 1/2 clinical trial by the end of 2021.</w:t>
      </w:r>
    </w:p>
    <w:p>
      <w:pPr>
        <w:spacing w:after="0" w:line="283" w:lineRule="exact"/>
        <w:rPr>
          <w:sz w:val="20"/>
          <w:szCs w:val="20"/>
          <w:color w:val="auto"/>
        </w:rPr>
      </w:pPr>
    </w:p>
    <w:p>
      <w:pPr>
        <w:ind w:right="440" w:firstLine="722"/>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for TSHA-104 for the treatment of SURF1-associated Leigh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182880</wp:posOffset>
            </wp:positionV>
            <wp:extent cx="5743575" cy="1851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357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jc w:val="both"/>
        <w:ind w:right="20" w:firstLine="722"/>
        <w:spacing w:after="0" w:line="266" w:lineRule="auto"/>
        <w:rPr>
          <w:sz w:val="20"/>
          <w:szCs w:val="20"/>
          <w:color w:val="auto"/>
        </w:rPr>
      </w:pPr>
      <w:r>
        <w:rPr>
          <w:rFonts w:ascii="Times New Roman" w:cs="Times New Roman" w:eastAsia="Times New Roman" w:hAnsi="Times New Roman"/>
          <w:sz w:val="18"/>
          <w:szCs w:val="18"/>
          <w:color w:val="auto"/>
        </w:rPr>
        <w:t>Data from preclinical studies suggest that functional gene replacement strategy could restore mitochondrial functions in SURF1-associated Leigh syndrome caused by SURF1 loss-of-function mutations, which we believe supports continued development of TSHA-104. In these studies, TSHA-104 was administered at two dose levels via intrathecal lumbar puncture to a knock-out mouse model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SURF1-associated Leigh syndrome. Intrathecal treatment with TSHA-104 was observed to be well tolerated. TSHA-104 also induced SURF1 expression in the brain and partially rescued COX activity in a tissue specific manner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182880</wp:posOffset>
            </wp:positionV>
            <wp:extent cx="4732020" cy="3728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3202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9" w:name="page20"/>
    <w:bookmarkEnd w:id="19"/>
    <w:p>
      <w:pPr>
        <w:ind w:left="740"/>
        <w:spacing w:after="0"/>
        <w:rPr>
          <w:sz w:val="20"/>
          <w:szCs w:val="20"/>
          <w:color w:val="auto"/>
        </w:rPr>
      </w:pPr>
      <w:r>
        <w:rPr>
          <w:rFonts w:ascii="Times New Roman" w:cs="Times New Roman" w:eastAsia="Times New Roman" w:hAnsi="Times New Roman"/>
          <w:sz w:val="18"/>
          <w:szCs w:val="18"/>
          <w:color w:val="auto"/>
        </w:rPr>
        <w:t>As shown below, TSHA-104 restored elevation of blood lactate on exhaustive exercise in the SURF1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222885</wp:posOffset>
            </wp:positionV>
            <wp:extent cx="3857625" cy="3625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5762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TSHA-112 for Adult Polyglucosan Body Disease</w:t>
      </w:r>
    </w:p>
    <w:p>
      <w:pPr>
        <w:spacing w:after="0" w:line="119"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We are developing TSHA-112 for the treatment of APBD. APBD is caused by reduced glycogen branching enzyme, or GBE1, activity. GBE1 is responsible for the creation of branches during glycogen synthesis and reduced GBE1 activity results in elongated glycogen changes that form poorly soluble aggregates (polyglucosan bodies) in the liver, muscle and CNS. Symptoms of APBD include sensory loss in the legs, progressive muscle weakness, gait disturbances, urinary difficulties and mild cognitive impairment. APBD is a late onset, prime of life disease with an age of onset between 40 to 50 years. The prevalence of APBD is unknown, but we estimate it is approximately 10,000 patients in the United States and European Union.</w:t>
      </w:r>
    </w:p>
    <w:p>
      <w:pPr>
        <w:spacing w:after="0" w:line="2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We are developing TSHA-112 as an AAV9 viral vector with miRNA targeting the knockdown of the </w:t>
      </w:r>
      <w:r>
        <w:rPr>
          <w:rFonts w:ascii="Times New Roman" w:cs="Times New Roman" w:eastAsia="Times New Roman" w:hAnsi="Times New Roman"/>
          <w:sz w:val="18"/>
          <w:szCs w:val="18"/>
          <w:i w:val="1"/>
          <w:iCs w:val="1"/>
          <w:color w:val="auto"/>
        </w:rPr>
        <w:t>GYS1</w:t>
      </w:r>
      <w:r>
        <w:rPr>
          <w:rFonts w:ascii="Times New Roman" w:cs="Times New Roman" w:eastAsia="Times New Roman" w:hAnsi="Times New Roman"/>
          <w:sz w:val="18"/>
          <w:szCs w:val="18"/>
          <w:color w:val="auto"/>
        </w:rPr>
        <w:t xml:space="preserve"> gene to treat APBD.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224155</wp:posOffset>
            </wp:positionV>
            <wp:extent cx="5743575" cy="1851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357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0" w:name="page21"/>
    <w:bookmarkEnd w:id="20"/>
    <w:p>
      <w:pPr>
        <w:ind w:left="7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preclinical studies, miRNA knockdown of GYS1 induced structural reduction of polyglucosan bodies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222885</wp:posOffset>
            </wp:positionV>
            <wp:extent cx="4757420" cy="267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5742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addition, TSHA-112 demonstrated decreases in polyglucosan body formation in mice hippocampus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222885</wp:posOffset>
            </wp:positionV>
            <wp:extent cx="3137535" cy="32746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3753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TSHA-111 (TSHA-111-LAFORIN for EPM2A and TSHA-111-MALIN for EPM2B) for Lafora Disease</w:t>
      </w:r>
    </w:p>
    <w:p>
      <w:pPr>
        <w:spacing w:after="0" w:line="119" w:lineRule="exact"/>
        <w:rPr>
          <w:sz w:val="20"/>
          <w:szCs w:val="20"/>
          <w:color w:val="auto"/>
        </w:rPr>
      </w:pPr>
    </w:p>
    <w:p>
      <w:pPr>
        <w:ind w:firstLine="722"/>
        <w:spacing w:after="0" w:line="277" w:lineRule="auto"/>
        <w:rPr>
          <w:sz w:val="20"/>
          <w:szCs w:val="20"/>
          <w:color w:val="auto"/>
        </w:rPr>
      </w:pPr>
      <w:r>
        <w:rPr>
          <w:rFonts w:ascii="Times New Roman" w:cs="Times New Roman" w:eastAsia="Times New Roman" w:hAnsi="Times New Roman"/>
          <w:sz w:val="17"/>
          <w:szCs w:val="17"/>
          <w:color w:val="auto"/>
        </w:rPr>
        <w:t>We are developing TSHA-111-LAFORIN and TSHA-111-MALIN for the treatment of Lafora EPM2A and Lafora EPM2B disease, respectively, which are fatal glycogen storage disorders. Lafora disease starts in adolescents, usually with myoclonus, or involuntary muscle jerks, that rapidly evolve into progressive dementia, refractory epilepsy, cerebellar ataxia and respiratory failure, and generally results in death within about a decade. The epidemiology of Lafora disease is unknown although estimates suggest a prevalence of approximately 1 in 250,000 individuals worldwide. The estimated prevalence of Lafora disease is 700 patients in the United States and European Union. Currently, there is no treatment available for Lafora disease.</w:t>
      </w:r>
    </w:p>
    <w:p>
      <w:pPr>
        <w:spacing w:after="0" w:line="1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59" w:right="439" w:bottom="1440" w:gutter="0" w:footer="0" w:header="0"/>
        </w:sectPr>
      </w:pPr>
    </w:p>
    <w:bookmarkStart w:id="21" w:name="page22"/>
    <w:bookmarkEnd w:id="21"/>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 xml:space="preserve">Lafora disease is caused by loss of function mutations in </w:t>
      </w:r>
      <w:r>
        <w:rPr>
          <w:rFonts w:ascii="Times New Roman" w:cs="Times New Roman" w:eastAsia="Times New Roman" w:hAnsi="Times New Roman"/>
          <w:sz w:val="18"/>
          <w:szCs w:val="18"/>
          <w:i w:val="1"/>
          <w:iCs w:val="1"/>
          <w:color w:val="auto"/>
        </w:rPr>
        <w:t>EPM2A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EPM2B</w:t>
      </w:r>
      <w:r>
        <w:rPr>
          <w:rFonts w:ascii="Times New Roman" w:cs="Times New Roman" w:eastAsia="Times New Roman" w:hAnsi="Times New Roman"/>
          <w:sz w:val="18"/>
          <w:szCs w:val="18"/>
          <w:color w:val="auto"/>
        </w:rPr>
        <w:t xml:space="preserve"> genes, which encode the glycogen phosphatase Laforin or the E3 ubiquitin ligase Malin, respectively. Both Laforin and Malin are involved in the formation of regulating glycogen metabolism and the absence of either protein results in poorly branched cytoplasmic inclusions, known as Lafora bodies. Studies indicate that these inclusions are the primary driver of neurodegeneration and other brain abnormalities associated with Lafora disease.</w:t>
      </w:r>
    </w:p>
    <w:p>
      <w:pPr>
        <w:spacing w:after="0" w:line="2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We are developing TSHA-111-LAFORIN and TSHA-111-MALIN as AAV9 viral vectors with miRNA targeting the knockdown of </w:t>
      </w:r>
      <w:r>
        <w:rPr>
          <w:rFonts w:ascii="Times New Roman" w:cs="Times New Roman" w:eastAsia="Times New Roman" w:hAnsi="Times New Roman"/>
          <w:sz w:val="18"/>
          <w:szCs w:val="18"/>
          <w:i w:val="1"/>
          <w:iCs w:val="1"/>
          <w:color w:val="auto"/>
        </w:rPr>
        <w:t>GYS1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224155</wp:posOffset>
            </wp:positionV>
            <wp:extent cx="5692140" cy="1834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333" w:lineRule="exact"/>
        <w:rPr>
          <w:sz w:val="20"/>
          <w:szCs w:val="20"/>
          <w:color w:val="auto"/>
        </w:rPr>
      </w:pPr>
    </w:p>
    <w:p>
      <w:pPr>
        <w:ind w:firstLine="722"/>
        <w:spacing w:after="0" w:line="284" w:lineRule="auto"/>
        <w:rPr>
          <w:sz w:val="20"/>
          <w:szCs w:val="20"/>
          <w:color w:val="auto"/>
        </w:rPr>
      </w:pPr>
      <w:r>
        <w:rPr>
          <w:rFonts w:ascii="Times New Roman" w:cs="Times New Roman" w:eastAsia="Times New Roman" w:hAnsi="Times New Roman"/>
          <w:sz w:val="18"/>
          <w:szCs w:val="18"/>
          <w:color w:val="auto"/>
        </w:rPr>
        <w:t xml:space="preserve">In preclinical studies, TSHA-111-LAFORIN achieved effective knockdown of </w:t>
      </w:r>
      <w:r>
        <w:rPr>
          <w:rFonts w:ascii="Times New Roman" w:cs="Times New Roman" w:eastAsia="Times New Roman" w:hAnsi="Times New Roman"/>
          <w:sz w:val="18"/>
          <w:szCs w:val="18"/>
          <w:i w:val="1"/>
          <w:iCs w:val="1"/>
          <w:color w:val="auto"/>
        </w:rPr>
        <w:t>GYS1</w:t>
      </w:r>
      <w:r>
        <w:rPr>
          <w:rFonts w:ascii="Times New Roman" w:cs="Times New Roman" w:eastAsia="Times New Roman" w:hAnsi="Times New Roman"/>
          <w:sz w:val="18"/>
          <w:szCs w:val="18"/>
          <w:color w:val="auto"/>
        </w:rPr>
        <w:t xml:space="preserve"> expression in the Lafora disease laforin mouse model. In addition, TSHA-111-LAFORIN reduced insoluble glycogen in ground brain tissue in the laforin mouse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524510</wp:posOffset>
            </wp:positionV>
            <wp:extent cx="5151755" cy="25285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51755"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659" w:right="619" w:bottom="1440" w:gutter="0" w:footer="0" w:header="0"/>
        </w:sectPr>
      </w:pPr>
    </w:p>
    <w:bookmarkStart w:id="22" w:name="page23"/>
    <w:bookmarkEnd w:id="22"/>
    <w:p>
      <w:pPr>
        <w:ind w:right="520" w:firstLine="722"/>
        <w:spacing w:after="0" w:line="284" w:lineRule="auto"/>
        <w:rPr>
          <w:sz w:val="20"/>
          <w:szCs w:val="20"/>
          <w:color w:val="auto"/>
        </w:rPr>
      </w:pPr>
      <w:r>
        <w:rPr>
          <w:rFonts w:ascii="Times New Roman" w:cs="Times New Roman" w:eastAsia="Times New Roman" w:hAnsi="Times New Roman"/>
          <w:sz w:val="18"/>
          <w:szCs w:val="18"/>
          <w:color w:val="auto"/>
        </w:rPr>
        <w:t xml:space="preserve">In preclinical studies, TSHA-111-MALIN achieved effective knockdown of </w:t>
      </w:r>
      <w:r>
        <w:rPr>
          <w:rFonts w:ascii="Times New Roman" w:cs="Times New Roman" w:eastAsia="Times New Roman" w:hAnsi="Times New Roman"/>
          <w:sz w:val="18"/>
          <w:szCs w:val="18"/>
          <w:i w:val="1"/>
          <w:iCs w:val="1"/>
          <w:color w:val="auto"/>
        </w:rPr>
        <w:t>GYS1</w:t>
      </w:r>
      <w:r>
        <w:rPr>
          <w:rFonts w:ascii="Times New Roman" w:cs="Times New Roman" w:eastAsia="Times New Roman" w:hAnsi="Times New Roman"/>
          <w:sz w:val="18"/>
          <w:szCs w:val="18"/>
          <w:color w:val="auto"/>
        </w:rPr>
        <w:t xml:space="preserve"> expression in the Lafora disease malin mouse model. In addition, TSHA-111-MALIN reduced insoluble glycogen in ground brain tissue in the malin mouse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181610</wp:posOffset>
            </wp:positionV>
            <wp:extent cx="4688840" cy="256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888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20" w:firstLine="722"/>
        <w:spacing w:after="0" w:line="282" w:lineRule="auto"/>
        <w:rPr>
          <w:sz w:val="20"/>
          <w:szCs w:val="20"/>
          <w:color w:val="auto"/>
        </w:rPr>
      </w:pPr>
      <w:r>
        <w:rPr>
          <w:rFonts w:ascii="Times New Roman" w:cs="Times New Roman" w:eastAsia="Times New Roman" w:hAnsi="Times New Roman"/>
          <w:sz w:val="18"/>
          <w:szCs w:val="18"/>
          <w:color w:val="auto"/>
        </w:rPr>
        <w:t>In preclinical studies, TSHA-111-LAFORIN and TSHA-111-MALIN decreased Lafora body formation in mice brain in the laforin and malin mouse models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182880</wp:posOffset>
            </wp:positionV>
            <wp:extent cx="5854700" cy="25031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5470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TSHA-119 for GM2 AB Variant</w:t>
      </w:r>
    </w:p>
    <w:p>
      <w:pPr>
        <w:spacing w:after="0" w:line="3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are developing TSHA-119 for the treatment of GM2 AB variant.</w:t>
      </w:r>
    </w:p>
    <w:p>
      <w:pPr>
        <w:spacing w:after="0" w:line="331" w:lineRule="exact"/>
        <w:rPr>
          <w:sz w:val="20"/>
          <w:szCs w:val="20"/>
          <w:color w:val="auto"/>
        </w:rPr>
      </w:pPr>
    </w:p>
    <w:p>
      <w:pPr>
        <w:ind w:firstLine="722"/>
        <w:spacing w:after="0" w:line="257" w:lineRule="auto"/>
        <w:rPr>
          <w:sz w:val="20"/>
          <w:szCs w:val="20"/>
          <w:color w:val="auto"/>
        </w:rPr>
      </w:pPr>
      <w:r>
        <w:rPr>
          <w:rFonts w:ascii="Times New Roman" w:cs="Times New Roman" w:eastAsia="Times New Roman" w:hAnsi="Times New Roman"/>
          <w:sz w:val="18"/>
          <w:szCs w:val="18"/>
          <w:color w:val="auto"/>
        </w:rPr>
        <w:t xml:space="preserve">Tay-Sachs and Sandhoff disease are caused by mutations in ß-hexosaminidase α (encoded in humans by the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gene) and ß-hexosaminidase ß (encoded in humans by the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 respectively. GM2 AB variant is caused by deficiency of the GM2 activator protein (GM2AP). GM2AP is a protein that works in tandem with the β-hexosaminidase enzyme to degrade and prevent toxic accumulation of GM2 ganglioside in the lysosome of the cell. Loss-of-function mutations result in a deficiency of GM2AP causing intra-lysosomal accumulation of GM2 and other glycolipids in neuronal cells ultimately resulting in cell death. In patients with AB variant, Hex A levels are normal and phenotypically, AB variant is indistinguishable from Tay-Sachs and Sandhoff disease.</w:t>
      </w:r>
    </w:p>
    <w:p>
      <w:pPr>
        <w:spacing w:after="0" w:line="292" w:lineRule="exact"/>
        <w:rPr>
          <w:sz w:val="20"/>
          <w:szCs w:val="20"/>
          <w:color w:val="auto"/>
        </w:rPr>
      </w:pPr>
    </w:p>
    <w:p>
      <w:pPr>
        <w:ind w:right="140" w:firstLine="722"/>
        <w:spacing w:after="0" w:line="266" w:lineRule="auto"/>
        <w:rPr>
          <w:sz w:val="20"/>
          <w:szCs w:val="20"/>
          <w:color w:val="auto"/>
        </w:rPr>
      </w:pPr>
      <w:r>
        <w:rPr>
          <w:rFonts w:ascii="Times New Roman" w:cs="Times New Roman" w:eastAsia="Times New Roman" w:hAnsi="Times New Roman"/>
          <w:sz w:val="18"/>
          <w:szCs w:val="18"/>
          <w:color w:val="auto"/>
        </w:rPr>
        <w:t>In preclinical studies, Gm2a knockout mice, which develop abnormal brain histomorphology as well as slight impaired motor activity, were utilized to evaluate the safety, efficacy, and tolerability of TSHA-119. Mice were treated by intrathecal injection of TSHA-119 at postnatal day 1 (PND 1) or at 6 weeks of age at two different doses; a low dose or a high dose.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23" w:name="page24"/>
    <w:bookmarkEnd w:id="23"/>
    <w:p>
      <w:pPr>
        <w:ind w:firstLine="722"/>
        <w:spacing w:after="0" w:line="266" w:lineRule="auto"/>
        <w:rPr>
          <w:sz w:val="20"/>
          <w:szCs w:val="20"/>
          <w:color w:val="auto"/>
        </w:rPr>
      </w:pPr>
      <w:r>
        <w:rPr>
          <w:rFonts w:ascii="Times New Roman" w:cs="Times New Roman" w:eastAsia="Times New Roman" w:hAnsi="Times New Roman"/>
          <w:sz w:val="18"/>
          <w:szCs w:val="18"/>
          <w:color w:val="auto"/>
        </w:rPr>
        <w:t>A significant reduction in GM2 ganglioside was evident in the mid-section of the brain in both the low dose and high dose cohorts, demonstrating a dose-dependent reduction of GM2 gangliosides as shown in the figure below. Long-term follow up studies which include bi-monthly behavioral as well as biochemical and histological analysis are currently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191770</wp:posOffset>
            </wp:positionV>
            <wp:extent cx="5932170" cy="1911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3217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preclinical studies, TSHA-119 caused a dose-dependent reduction of GM2 accumulation in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222885</wp:posOffset>
            </wp:positionV>
            <wp:extent cx="4406265" cy="30518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0626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TSHA-113 for Tauopathies</w:t>
      </w:r>
    </w:p>
    <w:p>
      <w:pPr>
        <w:spacing w:after="0" w:line="119" w:lineRule="exact"/>
        <w:rPr>
          <w:sz w:val="20"/>
          <w:szCs w:val="20"/>
          <w:color w:val="auto"/>
        </w:rPr>
      </w:pPr>
    </w:p>
    <w:p>
      <w:pPr>
        <w:ind w:right="180" w:firstLine="722"/>
        <w:spacing w:after="0" w:line="261" w:lineRule="auto"/>
        <w:rPr>
          <w:sz w:val="20"/>
          <w:szCs w:val="20"/>
          <w:color w:val="auto"/>
        </w:rPr>
      </w:pPr>
      <w:r>
        <w:rPr>
          <w:rFonts w:ascii="Times New Roman" w:cs="Times New Roman" w:eastAsia="Times New Roman" w:hAnsi="Times New Roman"/>
          <w:sz w:val="18"/>
          <w:szCs w:val="18"/>
          <w:color w:val="auto"/>
        </w:rPr>
        <w:t>We are developing TSHA-113 for the treatment of tauopathies. Tau accumulation predicts neurodegeneration in Alzheimer’s disease, and the propagation of tau aggregates is thought to mediate the progression of several neurodegenerative diseases, including progressive supranuclear palsy, corticobasal degeneration, behavioral variant frontotemporal degeneration, chronic traumatic encephalopathy, frontotemporal dementia and parkinsonism linked to chromosome 17.</w:t>
      </w:r>
    </w:p>
    <w:p>
      <w:pPr>
        <w:spacing w:after="0" w:line="288" w:lineRule="exact"/>
        <w:rPr>
          <w:sz w:val="20"/>
          <w:szCs w:val="20"/>
          <w:color w:val="auto"/>
        </w:rPr>
      </w:pPr>
    </w:p>
    <w:p>
      <w:pPr>
        <w:ind w:right="160" w:firstLine="722"/>
        <w:spacing w:after="0" w:line="261" w:lineRule="auto"/>
        <w:rPr>
          <w:sz w:val="20"/>
          <w:szCs w:val="20"/>
          <w:color w:val="auto"/>
        </w:rPr>
      </w:pPr>
      <w:r>
        <w:rPr>
          <w:rFonts w:ascii="Times New Roman" w:cs="Times New Roman" w:eastAsia="Times New Roman" w:hAnsi="Times New Roman"/>
          <w:sz w:val="18"/>
          <w:szCs w:val="18"/>
          <w:color w:val="auto"/>
        </w:rPr>
        <w:t>As a result, multiple strategies are currently being tested to reduce tau and ameliorate the effects of these diseases. Preclinical studies testing tau anti-sense oligonucleotides, or ASOs, in the PS19 tauopathy mouse model prevented neuronal loss and showed a reversal of pathological tau deposition and seeding. This treatment in being tested in clinical trials. While promising, ASOs only reduced tau protein levels by approximately 50% in mice, and they required repeated, life-long intrathecal administration to reach this maximum effect.</w:t>
      </w:r>
    </w:p>
    <w:p>
      <w:pPr>
        <w:spacing w:after="0" w:line="288" w:lineRule="exact"/>
        <w:rPr>
          <w:sz w:val="20"/>
          <w:szCs w:val="20"/>
          <w:color w:val="auto"/>
        </w:rPr>
      </w:pPr>
    </w:p>
    <w:p>
      <w:pPr>
        <w:ind w:firstLine="722"/>
        <w:spacing w:after="0" w:line="266" w:lineRule="auto"/>
        <w:rPr>
          <w:sz w:val="20"/>
          <w:szCs w:val="20"/>
          <w:color w:val="auto"/>
        </w:rPr>
      </w:pPr>
      <w:r>
        <w:rPr>
          <w:rFonts w:ascii="Times New Roman" w:cs="Times New Roman" w:eastAsia="Times New Roman" w:hAnsi="Times New Roman"/>
          <w:sz w:val="18"/>
          <w:szCs w:val="18"/>
          <w:color w:val="auto"/>
        </w:rPr>
        <w:t>We are developing TSHA-113 to utilize AAV-mediated gene silencing to deliver life-long reduction of tau protein levels in neurons following administration of a single dose. We are developing tau-specific miRNA shuttles that have been designed to target mRNA for all six isoforms of tau found in the human brain and/or mouse brain. Our preliminary data in cells has shown that our tau</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miRNA selectively reduced some human and mouse tau expression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we have packaged our miRNA shuttles in AAV9 capsids for further evaluation in mouse models of human tauopathies.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181610</wp:posOffset>
            </wp:positionV>
            <wp:extent cx="5511800" cy="17830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1180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TSHA-115 for Glycogen Storage Diseases</w:t>
      </w:r>
    </w:p>
    <w:p>
      <w:pPr>
        <w:spacing w:after="0" w:line="119" w:lineRule="exact"/>
        <w:rPr>
          <w:sz w:val="20"/>
          <w:szCs w:val="20"/>
          <w:color w:val="auto"/>
        </w:rPr>
      </w:pPr>
    </w:p>
    <w:p>
      <w:pPr>
        <w:jc w:val="both"/>
        <w:ind w:firstLine="722"/>
        <w:spacing w:after="0" w:line="266" w:lineRule="auto"/>
        <w:rPr>
          <w:sz w:val="20"/>
          <w:szCs w:val="20"/>
          <w:color w:val="auto"/>
        </w:rPr>
      </w:pPr>
      <w:r>
        <w:rPr>
          <w:rFonts w:ascii="Times New Roman" w:cs="Times New Roman" w:eastAsia="Times New Roman" w:hAnsi="Times New Roman"/>
          <w:sz w:val="18"/>
          <w:szCs w:val="18"/>
          <w:color w:val="auto"/>
        </w:rPr>
        <w:t>We are developing TSHA-115 for the treatment of glycogen storage diseases. TSHA-115 is designed to utilize a miRNA approach to knockdown GYS1, thereby inhibiting glycogen synthase in the brain. We believe this approach will provide therapeutic utility in not only Lafora disease or APBD, but potentially other glycogen storage diseases as well.</w:t>
      </w:r>
    </w:p>
    <w:p>
      <w:pPr>
        <w:spacing w:after="0" w:line="284" w:lineRule="exact"/>
        <w:rPr>
          <w:sz w:val="20"/>
          <w:szCs w:val="20"/>
          <w:color w:val="auto"/>
        </w:rPr>
      </w:pPr>
    </w:p>
    <w:p>
      <w:pPr>
        <w:ind w:right="440" w:firstLine="722"/>
        <w:spacing w:after="0" w:line="282" w:lineRule="auto"/>
        <w:rPr>
          <w:sz w:val="20"/>
          <w:szCs w:val="20"/>
          <w:color w:val="auto"/>
        </w:rPr>
      </w:pPr>
      <w:r>
        <w:rPr>
          <w:rFonts w:ascii="Times New Roman" w:cs="Times New Roman" w:eastAsia="Times New Roman" w:hAnsi="Times New Roman"/>
          <w:sz w:val="18"/>
          <w:szCs w:val="18"/>
          <w:color w:val="auto"/>
        </w:rPr>
        <w:t>Our preliminary data show that RNA interference-mediated silencing of GYS1 messenger RNA, or mRNA, provided therapeutic benefit in mouse models of Lafora and APBD by decreasing abnormal glycogen formation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182880</wp:posOffset>
            </wp:positionV>
            <wp:extent cx="5606415" cy="1808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20" w:firstLine="722"/>
        <w:spacing w:after="0" w:line="284" w:lineRule="auto"/>
        <w:rPr>
          <w:sz w:val="20"/>
          <w:szCs w:val="20"/>
          <w:color w:val="auto"/>
        </w:rPr>
      </w:pPr>
      <w:r>
        <w:rPr>
          <w:rFonts w:ascii="Times New Roman" w:cs="Times New Roman" w:eastAsia="Times New Roman" w:hAnsi="Times New Roman"/>
          <w:sz w:val="18"/>
          <w:szCs w:val="18"/>
          <w:color w:val="auto"/>
        </w:rPr>
        <w:t xml:space="preserve">We plan to expand the development of the </w:t>
      </w:r>
      <w:r>
        <w:rPr>
          <w:rFonts w:ascii="Times New Roman" w:cs="Times New Roman" w:eastAsia="Times New Roman" w:hAnsi="Times New Roman"/>
          <w:sz w:val="18"/>
          <w:szCs w:val="18"/>
          <w:i w:val="1"/>
          <w:iCs w:val="1"/>
          <w:color w:val="auto"/>
        </w:rPr>
        <w:t>GYS1</w:t>
      </w:r>
      <w:r>
        <w:rPr>
          <w:rFonts w:ascii="Times New Roman" w:cs="Times New Roman" w:eastAsia="Times New Roman" w:hAnsi="Times New Roman"/>
          <w:sz w:val="18"/>
          <w:szCs w:val="18"/>
          <w:color w:val="auto"/>
        </w:rPr>
        <w:t xml:space="preserve"> miRNA knockdown approach into additional glycogen storage disorders. TSHA-115 has achieved animal proof-of-concept in three distinct animal models for laforin, malin, and glycogen branching enzyme, or GBE.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Neurodevelopmental Disorders</w:t>
      </w:r>
    </w:p>
    <w:p>
      <w:pPr>
        <w:spacing w:after="0" w:line="121" w:lineRule="exact"/>
        <w:rPr>
          <w:sz w:val="20"/>
          <w:szCs w:val="20"/>
          <w:color w:val="auto"/>
        </w:rPr>
      </w:pPr>
    </w:p>
    <w:p>
      <w:pPr>
        <w:jc w:val="both"/>
        <w:ind w:right="400" w:firstLine="722"/>
        <w:spacing w:after="0" w:line="261" w:lineRule="auto"/>
        <w:rPr>
          <w:sz w:val="20"/>
          <w:szCs w:val="20"/>
          <w:color w:val="auto"/>
        </w:rPr>
      </w:pPr>
      <w:r>
        <w:rPr>
          <w:rFonts w:ascii="Times New Roman" w:cs="Times New Roman" w:eastAsia="Times New Roman" w:hAnsi="Times New Roman"/>
          <w:sz w:val="18"/>
          <w:szCs w:val="18"/>
          <w:color w:val="auto"/>
        </w:rPr>
        <w:t>Neurodevelopmental disorders are a group of conditions whose age of onset occurs during the time when the brain is developing, typically between infancy and adolescence. Neurodevelopmental disorders can manifest as difficulties with language, speech and communication, motor skills, behavior, memory, learning and other neurological functions. The range of developmental deficits varies from very specific limitations of learning or control of executive functions to severe global impairments of social skills, intelligence and motor functioning.</w:t>
      </w:r>
    </w:p>
    <w:p>
      <w:pPr>
        <w:spacing w:after="0" w:line="288" w:lineRule="exact"/>
        <w:rPr>
          <w:sz w:val="20"/>
          <w:szCs w:val="20"/>
          <w:color w:val="auto"/>
        </w:rPr>
      </w:pPr>
    </w:p>
    <w:p>
      <w:pPr>
        <w:ind w:right="440" w:firstLine="722"/>
        <w:spacing w:after="0" w:line="266" w:lineRule="auto"/>
        <w:rPr>
          <w:sz w:val="20"/>
          <w:szCs w:val="20"/>
          <w:color w:val="auto"/>
        </w:rPr>
      </w:pPr>
      <w:r>
        <w:rPr>
          <w:rFonts w:ascii="Times New Roman" w:cs="Times New Roman" w:eastAsia="Times New Roman" w:hAnsi="Times New Roman"/>
          <w:sz w:val="18"/>
          <w:szCs w:val="18"/>
          <w:color w:val="auto"/>
        </w:rPr>
        <w:t>The treatment of neurodevelopmental disorders is tailored towards symptom management and administered by an interdisciplinary team of neurologists, clinical psychologists, cognitive therapists, speech and language experts, behavioral therapists, and other specialists. Pharmacological interventions include but are not limited to typical and atypical antipsychotics, antiepileptic drugs, antidepressants and anti-anxiety medications.</w:t>
      </w:r>
    </w:p>
    <w:p>
      <w:pPr>
        <w:spacing w:after="0" w:line="284" w:lineRule="exact"/>
        <w:rPr>
          <w:sz w:val="20"/>
          <w:szCs w:val="20"/>
          <w:color w:val="auto"/>
        </w:rPr>
      </w:pPr>
    </w:p>
    <w:p>
      <w:pPr>
        <w:ind w:right="300" w:firstLine="722"/>
        <w:spacing w:after="0" w:line="266" w:lineRule="auto"/>
        <w:rPr>
          <w:sz w:val="20"/>
          <w:szCs w:val="20"/>
          <w:color w:val="auto"/>
        </w:rPr>
      </w:pPr>
      <w:r>
        <w:rPr>
          <w:rFonts w:ascii="Times New Roman" w:cs="Times New Roman" w:eastAsia="Times New Roman" w:hAnsi="Times New Roman"/>
          <w:sz w:val="18"/>
          <w:szCs w:val="18"/>
          <w:color w:val="auto"/>
        </w:rPr>
        <w:t>We are developing TSHA-102, a neurodevelopmental product candidate, for the treatment of Rett syndrome. We are also developing product candidates for the treatment of other neurodevelopmental disorders, including Angelman syndrome, Fragile X syndrome, Prader-Willi syndrome and FOXG1 syndrome.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59" w:right="399" w:bottom="1440" w:gutter="0" w:footer="0" w:header="0"/>
        </w:sectPr>
      </w:pPr>
    </w:p>
    <w:bookmarkStart w:id="25" w:name="page26"/>
    <w:bookmarkEnd w:id="25"/>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TSHA-102 for the Treatment of Rett Syndrome</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Overview of Rett Syndrome</w:t>
      </w:r>
    </w:p>
    <w:p>
      <w:pPr>
        <w:spacing w:after="0" w:line="119"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 xml:space="preserve">Rett syndrome is one of the most common genetic causes of severe intellectual disability worldwide with an incidence rate of one in every 10,000 live female births. The estimated prevalence of Rett syndrome is 25,000 patients in the United States and European Union. After a period of normal development, girls with Rett syndrome experience rapid developmental regression characterized by a loss of speech and motor control. Cognitive and intellectual disabilities are common, as is dysfunction of the autonomic nervous system, or ANS, resulting in breathing, cardiovascular, and gastrointestinal abnormalities. Approximately 95% of Rett syndrome patients are females carrying heterozygous loss-of-function mutations in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a gene encoding methyl CpG-binding protein that is essential for neuronal and synaptic function in the brain.</w:t>
      </w:r>
    </w:p>
    <w:p>
      <w:pPr>
        <w:spacing w:after="0" w:line="295" w:lineRule="exact"/>
        <w:rPr>
          <w:sz w:val="20"/>
          <w:szCs w:val="20"/>
          <w:color w:val="auto"/>
        </w:rPr>
      </w:pPr>
    </w:p>
    <w:p>
      <w:pPr>
        <w:jc w:val="both"/>
        <w:ind w:right="80" w:firstLine="722"/>
        <w:spacing w:after="0" w:line="261" w:lineRule="auto"/>
        <w:rPr>
          <w:sz w:val="20"/>
          <w:szCs w:val="20"/>
          <w:color w:val="auto"/>
        </w:rPr>
      </w:pPr>
      <w:r>
        <w:rPr>
          <w:rFonts w:ascii="Times New Roman" w:cs="Times New Roman" w:eastAsia="Times New Roman" w:hAnsi="Times New Roman"/>
          <w:sz w:val="18"/>
          <w:szCs w:val="18"/>
          <w:color w:val="auto"/>
        </w:rPr>
        <w:t>Currently, there is no cure for Rett syndrome and available treatments for Rett syndrome are mainly to address symptoms. The primary focus of symptomatic therapy is ensuring that patients have access to the appropriate care specialists along with access to occupational therapy, speech therapy and physiotherapy. Sodium valproate, lamotrigine, levetiracetam, carbamazepine and clobazam are commonly prescribed to control seizures. There is a sudden death rate of 26% in Rett syndrome and patients mainly perish due to cardiac complications, respiratory infection and respiratory failure.</w:t>
      </w:r>
    </w:p>
    <w:p>
      <w:pPr>
        <w:spacing w:after="0" w:line="288"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 xml:space="preserve">In February 2007, Sir Adrian Bird, Ph.D., a Professor of Genetics at the University of Edinburgh, published a seminal paper demonstrating the reversibility of symptoms associated with Rett syndrome in mice. This work suggested for the first time that neurological damage caused by the absence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may be reversible in children and adults with Rett syndrome. To demonstrate the ability to reverse the onset of Rett syndrome, researchers in the Bird lab generated mouse models in which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expression was conditionally silenced, which resulted in neurological and behavioral deficits that mirrored those seen in patients diagnosed with Rett syndrome. Upon reactivation of the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gene, behavioral deficits were restored, and electrophysiological function was also returned to levels seen in wild type mice. These findings represented a landmark moment for the field and provided evidence that it may be possible to not only halt the symptoms of Rett syndrome, but to potentially reverse the course of the disease.</w:t>
      </w:r>
    </w:p>
    <w:p>
      <w:pPr>
        <w:spacing w:after="0" w:line="297"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 xml:space="preserve">Several peer-reviewed publications have subsequently explored the safety and efficacy of AAV-based gene therapy for the treatment of Rett syndrome, including in preclinical studies that showed that delivery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and, more recently, </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extended the survival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knockout mice, a commonly used mouse model that recapitulates the symptoms of Rett syndrome. However, AAV delivery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resulted in dose-dependent toxicity in wild type and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knock out mice. Given the underlying biology of the disease, there is consensus among researchers that toxicity in these models is most likely linked to unregulated expression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This overexpression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is seen in the clinic in patients with a condition known as MECP2 duplication syndrome, where elevated levels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result in a clinical phenotype similar to Rett syndrome both in terms of symptoms and severity.</w:t>
      </w:r>
    </w:p>
    <w:p>
      <w:pPr>
        <w:spacing w:after="0" w:line="2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Our Solution: TSHA-102</w:t>
      </w:r>
    </w:p>
    <w:p>
      <w:pPr>
        <w:spacing w:after="0" w:line="119" w:lineRule="exact"/>
        <w:rPr>
          <w:sz w:val="20"/>
          <w:szCs w:val="20"/>
          <w:color w:val="auto"/>
        </w:rPr>
      </w:pPr>
    </w:p>
    <w:p>
      <w:pPr>
        <w:ind w:right="380" w:firstLine="722"/>
        <w:spacing w:after="0" w:line="266" w:lineRule="auto"/>
        <w:rPr>
          <w:sz w:val="20"/>
          <w:szCs w:val="20"/>
          <w:color w:val="auto"/>
        </w:rPr>
      </w:pPr>
      <w:r>
        <w:rPr>
          <w:rFonts w:ascii="Times New Roman" w:cs="Times New Roman" w:eastAsia="Times New Roman" w:hAnsi="Times New Roman"/>
          <w:sz w:val="18"/>
          <w:szCs w:val="18"/>
          <w:color w:val="auto"/>
        </w:rPr>
        <w:t xml:space="preserve">We are developing TSHA-102, a neurodevelopmental product candidate, for the treatment of Rett syndrome. In order to develop an effective therapy for Rett syndrome,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expression needs to be titrated to correct the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deficiency while avoiding side effects associated with toxic overexpression.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ind w:right="120" w:firstLine="72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MECP2 </w:t>
      </w:r>
      <w:r>
        <w:rPr>
          <w:rFonts w:ascii="Times New Roman" w:cs="Times New Roman" w:eastAsia="Times New Roman" w:hAnsi="Times New Roman"/>
          <w:sz w:val="18"/>
          <w:szCs w:val="18"/>
          <w:color w:val="auto"/>
        </w:rPr>
        <w:t>is a transcription factor within the cell that regulates many other genes involved in neurodevelopmental function. Levels of</w:t>
      </w:r>
      <w:r>
        <w:rPr>
          <w:rFonts w:ascii="Times New Roman" w:cs="Times New Roman" w:eastAsia="Times New Roman" w:hAnsi="Times New Roman"/>
          <w:sz w:val="18"/>
          <w:szCs w:val="18"/>
          <w:i w:val="1"/>
          <w:iCs w:val="1"/>
          <w:color w:val="auto"/>
        </w:rPr>
        <w:t xml:space="preserve"> MECP2 </w:t>
      </w:r>
      <w:r>
        <w:rPr>
          <w:rFonts w:ascii="Times New Roman" w:cs="Times New Roman" w:eastAsia="Times New Roman" w:hAnsi="Times New Roman"/>
          <w:sz w:val="18"/>
          <w:szCs w:val="18"/>
          <w:color w:val="auto"/>
        </w:rPr>
        <w:t>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regulated within the cell endogenously by a number of different miRNAs. We utilized this natural regulatory phenomenon to develop miRARE, our miRNA target panel. miRARE binds those endogenous miRNA species whose expression levels are upregulated as a result of exogenous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protein expression. When miRARE is incorporated into the 3’ untranslated region of our expression cassette, it functions as a mechanism to permit therapeutic expression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while buffering against toxic overexpression,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335280</wp:posOffset>
            </wp:positionV>
            <wp:extent cx="4783455" cy="3042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8345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722"/>
        <w:spacing w:after="0" w:line="284" w:lineRule="auto"/>
        <w:rPr>
          <w:sz w:val="20"/>
          <w:szCs w:val="20"/>
          <w:color w:val="auto"/>
        </w:rPr>
      </w:pPr>
      <w:r>
        <w:rPr>
          <w:rFonts w:ascii="Times New Roman" w:cs="Times New Roman" w:eastAsia="Times New Roman" w:hAnsi="Times New Roman"/>
          <w:sz w:val="18"/>
          <w:szCs w:val="18"/>
          <w:color w:val="auto"/>
        </w:rPr>
        <w:t xml:space="preserve">TSHA-102 is constructed from a neuronal specific promoter, MeP426, coupled with the </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transgene and our miRARE panel packaged in self-complementary AAV9.</w:t>
      </w:r>
    </w:p>
    <w:p>
      <w:pPr>
        <w:spacing w:after="0" w:line="268" w:lineRule="exact"/>
        <w:rPr>
          <w:sz w:val="20"/>
          <w:szCs w:val="20"/>
          <w:color w:val="auto"/>
        </w:rPr>
      </w:pPr>
    </w:p>
    <w:p>
      <w:pPr>
        <w:ind w:right="720" w:firstLine="722"/>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for TSHA-102 for the treatment of Rett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182880</wp:posOffset>
            </wp:positionV>
            <wp:extent cx="5743575" cy="18516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4357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27" w:name="page28"/>
    <w:bookmarkEnd w:id="27"/>
    <w:p>
      <w:pPr>
        <w:ind w:left="7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preclinical studies, we observed that TSHA-102 had a favorable tolerability profile and increased survival in a wild type mice model. In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studies, wild type mice were treated with low doses of 1 x 10</w:t>
      </w:r>
      <w:r>
        <w:rPr>
          <w:rFonts w:ascii="Times New Roman" w:cs="Times New Roman" w:eastAsia="Times New Roman" w:hAnsi="Times New Roman"/>
          <w:sz w:val="15"/>
          <w:szCs w:val="15"/>
          <w:color w:val="auto"/>
        </w:rPr>
        <w:t>11</w:t>
      </w:r>
      <w:r>
        <w:rPr>
          <w:rFonts w:ascii="Times New Roman" w:cs="Times New Roman" w:eastAsia="Times New Roman" w:hAnsi="Times New Roman"/>
          <w:sz w:val="18"/>
          <w:szCs w:val="18"/>
          <w:color w:val="auto"/>
        </w:rPr>
        <w:t xml:space="preserve"> vg or high doses of 1 x 10</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of either unregulated AAV9/</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unregulated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AAV9/</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or TSHA-102 at four to five weeks of age. Mice treated with the high dose of unregulated constructs experienced early lethality, while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low dose unregulated constructs were similar to vehicle. Mice treated with TSHA-102 had no deaths associated with treatment, as shown in the figure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211455</wp:posOffset>
            </wp:positionV>
            <wp:extent cx="4783455" cy="2486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8345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MECP2 </w:t>
      </w:r>
      <w:r>
        <w:rPr>
          <w:rFonts w:ascii="Times New Roman" w:cs="Times New Roman" w:eastAsia="Times New Roman" w:hAnsi="Times New Roman"/>
          <w:sz w:val="18"/>
          <w:szCs w:val="18"/>
          <w:color w:val="auto"/>
        </w:rPr>
        <w:t>dose-dependent side effects, leading to an increase in the aggregate score of a well-recognized, validated Rett behavioral assessment tool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mice, were observed in the cohorts treated with unregulated AAV9/</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or AAV9/</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as shown in the figure below. This increase in aggregate score is a reflection of overexpression of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causing Rett-like symptoms in these mice, as is seen in MECP2 duplication syndrome. In contrast, TSHA-102 was well tolerated and aggregate scores were similar to those of mice treated with vehicle only. This aggregate scale includes six sub-scales for abnormal mobility, abnormal gait, hindlimb clasping, tremors, abnormal breathing and abnormal general appearance. Sub-scales were each assessed on a scale of 0 to 12, with 12 being the maximum aggregate score attainable. Scorers were blind to treatment and genotype, and lower scores indicate better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197485</wp:posOffset>
            </wp:positionV>
            <wp:extent cx="4749165" cy="17145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916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28" w:name="page29"/>
    <w:bookmarkEnd w:id="28"/>
    <w:p>
      <w:pPr>
        <w:ind w:right="220" w:firstLine="722"/>
        <w:spacing w:after="0" w:line="267"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knockout mice, unregulated AAV9/</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failed to extend survival at either dose tested. In contrast, TSHA-102 dosed at 1x10</w:t>
      </w:r>
      <w:r>
        <w:rPr>
          <w:rFonts w:ascii="Times New Roman" w:cs="Times New Roman" w:eastAsia="Times New Roman" w:hAnsi="Times New Roman"/>
          <w:sz w:val="15"/>
          <w:szCs w:val="15"/>
          <w:color w:val="auto"/>
        </w:rPr>
        <w:t>12</w:t>
      </w:r>
      <w:r>
        <w:rPr>
          <w:rFonts w:ascii="Times New Roman" w:cs="Times New Roman" w:eastAsia="Times New Roman" w:hAnsi="Times New Roman"/>
          <w:sz w:val="18"/>
          <w:szCs w:val="18"/>
          <w:color w:val="auto"/>
        </w:rPr>
        <w:t xml:space="preserve"> vg/mouse extended survival by 56%. Importantly, although there is a strong trend toward increased survival in mice treated with AAV9/</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studies in wild type mice showed unacceptable toxicity with this vector design at this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328930</wp:posOffset>
            </wp:positionV>
            <wp:extent cx="4783455" cy="1937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8345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 xml:space="preserve">We observed TSHA-102 to be well tolerated, with no behavioral abnormalities or other side effects associated with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overexpression. We evaluated the safety of TSHA-102 in wild type mice following intrathecal administration. While AAV9/</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and AAV9/</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caused dose-responsive reductions in weight, weight reduction was not observed in mice treated with TSHA-102. In addition, no tail lesions were observed among mice treated with TSHA-102. In contrast, lesions were observed in 8% to 17% of wild type mice treated with unregulated AAV9/</w:t>
      </w:r>
      <w:r>
        <w:rPr>
          <w:rFonts w:ascii="Times New Roman" w:cs="Times New Roman" w:eastAsia="Times New Roman" w:hAnsi="Times New Roman"/>
          <w:sz w:val="18"/>
          <w:szCs w:val="18"/>
          <w:i w:val="1"/>
          <w:iCs w:val="1"/>
          <w:color w:val="auto"/>
        </w:rPr>
        <w:t>miniMECP2</w:t>
      </w:r>
      <w:r>
        <w:rPr>
          <w:rFonts w:ascii="Times New Roman" w:cs="Times New Roman" w:eastAsia="Times New Roman" w:hAnsi="Times New Roman"/>
          <w:sz w:val="18"/>
          <w:szCs w:val="18"/>
          <w:color w:val="auto"/>
        </w:rPr>
        <w:t xml:space="preserve"> and 8% of mice treated with unregulated AAV9/</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119"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Following the completion of Good Laboratory Practice, or GLP, toxicology studies in NHPs and the completion of additional preclinical studies, we intend to submit an IND / CTA for TSHA-102 for Rett syndrome in the second half of 2021 and initiate a clinical trial by the end of 2021. In clinical trials, we intend to evaluate safety, tolerability and efficacy utilizing multiple clinical scales and clinical assessments. Breathing disorders are reported in over 66% of patients with Rett syndrome, often leading to sleep disorders. Patients hyperventilate, hold their breath and have apneic episodes, leading to poor sleep quality. Accordingly, we plan to measure both sleep quality and breathing in our clinical trials. In addition, epilepsy is reported in over 60% of patients with Rett syndrome and likely will serve as a secondary efficacy endpoint in our trials.</w:t>
      </w:r>
    </w:p>
    <w:p>
      <w:pPr>
        <w:spacing w:after="0" w:line="2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Neurodevelopmental Programs</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TSHA-106 for Angelman Syndrome</w:t>
      </w:r>
    </w:p>
    <w:p>
      <w:pPr>
        <w:spacing w:after="0" w:line="119" w:lineRule="exact"/>
        <w:rPr>
          <w:sz w:val="20"/>
          <w:szCs w:val="20"/>
          <w:color w:val="auto"/>
        </w:rPr>
      </w:pPr>
    </w:p>
    <w:p>
      <w:pPr>
        <w:ind w:right="120" w:firstLine="722"/>
        <w:spacing w:after="0" w:line="261" w:lineRule="auto"/>
        <w:rPr>
          <w:sz w:val="20"/>
          <w:szCs w:val="20"/>
          <w:color w:val="auto"/>
        </w:rPr>
      </w:pPr>
      <w:r>
        <w:rPr>
          <w:rFonts w:ascii="Times New Roman" w:cs="Times New Roman" w:eastAsia="Times New Roman" w:hAnsi="Times New Roman"/>
          <w:sz w:val="18"/>
          <w:szCs w:val="18"/>
          <w:color w:val="auto"/>
        </w:rPr>
        <w:t xml:space="preserve">We are developing TSHA-106 for the treatment of Angelman syndrome, a neurodevelopmental disorder caused by a maternal deficiency of the </w:t>
      </w:r>
      <w:r>
        <w:rPr>
          <w:rFonts w:ascii="Times New Roman" w:cs="Times New Roman" w:eastAsia="Times New Roman" w:hAnsi="Times New Roman"/>
          <w:sz w:val="18"/>
          <w:szCs w:val="18"/>
          <w:i w:val="1"/>
          <w:iCs w:val="1"/>
          <w:color w:val="auto"/>
        </w:rPr>
        <w:t>UBE3A</w:t>
      </w:r>
      <w:r>
        <w:rPr>
          <w:rFonts w:ascii="Times New Roman" w:cs="Times New Roman" w:eastAsia="Times New Roman" w:hAnsi="Times New Roman"/>
          <w:sz w:val="18"/>
          <w:szCs w:val="18"/>
          <w:color w:val="auto"/>
        </w:rPr>
        <w:t xml:space="preserve"> gene. Angelman syndrome is characterized by profound developmental delay, ataxia and gait disturbance, sleep disorder, seizures, heightened anxiety and aggression and severe speech impairments. Angelman syndrome affects approximately one per 12,000 to 20,000 patients worldwide. The estimated prevalence of Angelman syndrome is 55,000 patients in the United States and European Union.</w:t>
      </w:r>
    </w:p>
    <w:p>
      <w:pPr>
        <w:spacing w:after="0" w:line="286" w:lineRule="exact"/>
        <w:rPr>
          <w:sz w:val="20"/>
          <w:szCs w:val="20"/>
          <w:color w:val="auto"/>
        </w:rPr>
      </w:pPr>
    </w:p>
    <w:p>
      <w:pPr>
        <w:jc w:val="both"/>
        <w:ind w:right="60" w:firstLine="722"/>
        <w:spacing w:after="0" w:line="267" w:lineRule="auto"/>
        <w:rPr>
          <w:sz w:val="20"/>
          <w:szCs w:val="20"/>
          <w:color w:val="auto"/>
        </w:rPr>
      </w:pPr>
      <w:r>
        <w:rPr>
          <w:rFonts w:ascii="Times New Roman" w:cs="Times New Roman" w:eastAsia="Times New Roman" w:hAnsi="Times New Roman"/>
          <w:sz w:val="18"/>
          <w:szCs w:val="18"/>
          <w:color w:val="auto"/>
        </w:rPr>
        <w:t xml:space="preserve">Angelman syndrome is an imprinting disorder in which the maternal gene is deficient and the paternal copy of </w:t>
      </w:r>
      <w:r>
        <w:rPr>
          <w:rFonts w:ascii="Times New Roman" w:cs="Times New Roman" w:eastAsia="Times New Roman" w:hAnsi="Times New Roman"/>
          <w:sz w:val="18"/>
          <w:szCs w:val="18"/>
          <w:i w:val="1"/>
          <w:iCs w:val="1"/>
          <w:color w:val="auto"/>
        </w:rPr>
        <w:t>UBE3A</w:t>
      </w:r>
      <w:r>
        <w:rPr>
          <w:rFonts w:ascii="Times New Roman" w:cs="Times New Roman" w:eastAsia="Times New Roman" w:hAnsi="Times New Roman"/>
          <w:sz w:val="18"/>
          <w:szCs w:val="18"/>
          <w:color w:val="auto"/>
        </w:rPr>
        <w:t xml:space="preserve"> is intact but silenced by a long non-coding RNA, </w:t>
      </w:r>
      <w:r>
        <w:rPr>
          <w:rFonts w:ascii="Times New Roman" w:cs="Times New Roman" w:eastAsia="Times New Roman" w:hAnsi="Times New Roman"/>
          <w:sz w:val="18"/>
          <w:szCs w:val="18"/>
          <w:i w:val="1"/>
          <w:iCs w:val="1"/>
          <w:color w:val="auto"/>
        </w:rPr>
        <w:t>UBE3A</w:t>
      </w:r>
      <w:r>
        <w:rPr>
          <w:rFonts w:ascii="Times New Roman" w:cs="Times New Roman" w:eastAsia="Times New Roman" w:hAnsi="Times New Roman"/>
          <w:sz w:val="18"/>
          <w:szCs w:val="18"/>
          <w:color w:val="auto"/>
        </w:rPr>
        <w:t xml:space="preserve"> antisense transcript, or </w:t>
      </w:r>
      <w:r>
        <w:rPr>
          <w:rFonts w:ascii="Times New Roman" w:cs="Times New Roman" w:eastAsia="Times New Roman" w:hAnsi="Times New Roman"/>
          <w:sz w:val="18"/>
          <w:szCs w:val="18"/>
          <w:i w:val="1"/>
          <w:iCs w:val="1"/>
          <w:color w:val="auto"/>
        </w:rPr>
        <w:t>UBE3A</w:t>
      </w:r>
      <w:r>
        <w:rPr>
          <w:rFonts w:ascii="Times New Roman" w:cs="Times New Roman" w:eastAsia="Times New Roman" w:hAnsi="Times New Roman"/>
          <w:sz w:val="18"/>
          <w:szCs w:val="18"/>
          <w:color w:val="auto"/>
        </w:rPr>
        <w:t>-ATS. Delivery of an ASO targeting UBE3A-ATS showed promising results in ameliorating Angelman syndrome symptoms in a transgenic mouse model.</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29" w:name="page30"/>
    <w:bookmarkEnd w:id="29"/>
    <w:p>
      <w:pPr>
        <w:ind w:right="160" w:firstLine="722"/>
        <w:spacing w:after="0" w:line="284" w:lineRule="auto"/>
        <w:rPr>
          <w:sz w:val="20"/>
          <w:szCs w:val="20"/>
          <w:color w:val="auto"/>
        </w:rPr>
      </w:pPr>
      <w:r>
        <w:rPr>
          <w:rFonts w:ascii="Times New Roman" w:cs="Times New Roman" w:eastAsia="Times New Roman" w:hAnsi="Times New Roman"/>
          <w:sz w:val="18"/>
          <w:szCs w:val="18"/>
          <w:color w:val="auto"/>
        </w:rPr>
        <w:t xml:space="preserve">We are developing TSHA-106 to target the </w:t>
      </w:r>
      <w:r>
        <w:rPr>
          <w:rFonts w:ascii="Times New Roman" w:cs="Times New Roman" w:eastAsia="Times New Roman" w:hAnsi="Times New Roman"/>
          <w:sz w:val="18"/>
          <w:szCs w:val="18"/>
          <w:i w:val="1"/>
          <w:iCs w:val="1"/>
          <w:color w:val="auto"/>
        </w:rPr>
        <w:t>UBE3A</w:t>
      </w:r>
      <w:r>
        <w:rPr>
          <w:rFonts w:ascii="Times New Roman" w:cs="Times New Roman" w:eastAsia="Times New Roman" w:hAnsi="Times New Roman"/>
          <w:sz w:val="18"/>
          <w:szCs w:val="18"/>
          <w:color w:val="auto"/>
        </w:rPr>
        <w:t>-ATS transcript through shRNA knock-down with an AAV-based strategy in order to achieve broad distribution of the shRNA expression cassette across the entire CNS following a single intrathecal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181610</wp:posOffset>
            </wp:positionV>
            <wp:extent cx="5760720" cy="1851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6072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TSHA-114 for Fragile X Syndrome</w:t>
      </w:r>
    </w:p>
    <w:p>
      <w:pPr>
        <w:spacing w:after="0" w:line="119" w:lineRule="exact"/>
        <w:rPr>
          <w:sz w:val="20"/>
          <w:szCs w:val="20"/>
          <w:color w:val="auto"/>
        </w:rPr>
      </w:pPr>
    </w:p>
    <w:p>
      <w:pPr>
        <w:ind w:right="40" w:firstLine="722"/>
        <w:spacing w:after="0" w:line="261" w:lineRule="auto"/>
        <w:rPr>
          <w:sz w:val="20"/>
          <w:szCs w:val="20"/>
          <w:color w:val="auto"/>
        </w:rPr>
      </w:pPr>
      <w:r>
        <w:rPr>
          <w:rFonts w:ascii="Times New Roman" w:cs="Times New Roman" w:eastAsia="Times New Roman" w:hAnsi="Times New Roman"/>
          <w:sz w:val="18"/>
          <w:szCs w:val="18"/>
          <w:color w:val="auto"/>
        </w:rPr>
        <w:t>We are developing TSHA-114 for the treatment of Fragile X syndrome, the most common single gene cause of autism and cognitive impairment, affecting about one in 6,000 individuals worldwide. The estimated prevalence of Fragile X syndrome is 100,000 patients in the United States and European Union. Fragile X syndrome is diagnosed around three years of age and characterized by anxiety, aggression, hyperactivity, attention deficits and sleep and communication disruption.</w:t>
      </w:r>
    </w:p>
    <w:p>
      <w:pPr>
        <w:spacing w:after="0" w:line="286" w:lineRule="exact"/>
        <w:rPr>
          <w:sz w:val="20"/>
          <w:szCs w:val="20"/>
          <w:color w:val="auto"/>
        </w:rPr>
      </w:pPr>
    </w:p>
    <w:p>
      <w:pPr>
        <w:ind w:firstLine="722"/>
        <w:spacing w:after="0" w:line="257" w:lineRule="auto"/>
        <w:rPr>
          <w:sz w:val="20"/>
          <w:szCs w:val="20"/>
          <w:color w:val="auto"/>
        </w:rPr>
      </w:pPr>
      <w:r>
        <w:rPr>
          <w:rFonts w:ascii="Times New Roman" w:cs="Times New Roman" w:eastAsia="Times New Roman" w:hAnsi="Times New Roman"/>
          <w:sz w:val="18"/>
          <w:szCs w:val="18"/>
          <w:color w:val="auto"/>
        </w:rPr>
        <w:t xml:space="preserve">Fragile X syndrome is caused by a pathological expansion of a CGG triplet repeat in the 5’ untranslated region of the </w:t>
      </w:r>
      <w:r>
        <w:rPr>
          <w:rFonts w:ascii="Times New Roman" w:cs="Times New Roman" w:eastAsia="Times New Roman" w:hAnsi="Times New Roman"/>
          <w:sz w:val="18"/>
          <w:szCs w:val="18"/>
          <w:i w:val="1"/>
          <w:iCs w:val="1"/>
          <w:color w:val="auto"/>
        </w:rPr>
        <w:t>FMR1</w:t>
      </w:r>
      <w:r>
        <w:rPr>
          <w:rFonts w:ascii="Times New Roman" w:cs="Times New Roman" w:eastAsia="Times New Roman" w:hAnsi="Times New Roman"/>
          <w:sz w:val="18"/>
          <w:szCs w:val="18"/>
          <w:color w:val="auto"/>
        </w:rPr>
        <w:t xml:space="preserve">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spacing w:after="0" w:line="292" w:lineRule="exact"/>
        <w:rPr>
          <w:sz w:val="20"/>
          <w:szCs w:val="20"/>
          <w:color w:val="auto"/>
        </w:rPr>
      </w:pPr>
    </w:p>
    <w:p>
      <w:pPr>
        <w:ind w:right="80" w:firstLine="722"/>
        <w:spacing w:after="0" w:line="266" w:lineRule="auto"/>
        <w:rPr>
          <w:sz w:val="20"/>
          <w:szCs w:val="20"/>
          <w:color w:val="auto"/>
        </w:rPr>
      </w:pPr>
      <w:r>
        <w:rPr>
          <w:rFonts w:ascii="Times New Roman" w:cs="Times New Roman" w:eastAsia="Times New Roman" w:hAnsi="Times New Roman"/>
          <w:sz w:val="18"/>
          <w:szCs w:val="18"/>
          <w:color w:val="auto"/>
        </w:rPr>
        <w:t>We are developing TSHA-114 using truncated promoters that mimic the natural developmental expression of FMRP. In addition, we have selected to express a human FMRP isoform to ensure that FMRP expression is appropriately localized to the cytosol, axon, nerve terminals, and nucleus in the proper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191770</wp:posOffset>
            </wp:positionV>
            <wp:extent cx="5563235" cy="1791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63235"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TSHA-116 for Prader-Willi Syndrome</w:t>
      </w:r>
    </w:p>
    <w:p>
      <w:pPr>
        <w:spacing w:after="0" w:line="119"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 xml:space="preserve">We are developing TSHA-116 for the treatment of Prader-Willi syndrome, a genetic disorder caused by paternal loss-of-function of genes along 15q11-q13 chromosomal region, or </w:t>
      </w:r>
      <w:r>
        <w:rPr>
          <w:rFonts w:ascii="Times New Roman" w:cs="Times New Roman" w:eastAsia="Times New Roman" w:hAnsi="Times New Roman"/>
          <w:sz w:val="18"/>
          <w:szCs w:val="18"/>
          <w:i w:val="1"/>
          <w:iCs w:val="1"/>
          <w:color w:val="auto"/>
        </w:rPr>
        <w:t>PWS</w:t>
      </w:r>
      <w:r>
        <w:rPr>
          <w:rFonts w:ascii="Times New Roman" w:cs="Times New Roman" w:eastAsia="Times New Roman" w:hAnsi="Times New Roman"/>
          <w:sz w:val="18"/>
          <w:szCs w:val="18"/>
          <w:color w:val="auto"/>
        </w:rPr>
        <w:t xml:space="preserve"> genes, due to an imprinting defect. The prevalence of Prader-Willi syndrome is estimated to be approximately one per 10,000 to 30,000 persons. The estimated prevalence of Prader-Willi syndrome is 40,000 patients in the United States and European Union. During infancy, patients with Prader-Willi syndrome have feeding difficulties, poor growth and weak muscle tone. As the patient begins to age, their appetite becomes insatiable, resulting in obesity and type 2 diabetes. In addition, patients typically have mild to moderate intellectual disabilities, behavioral issues and sleep abnormalities.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0" w:name="page31"/>
    <w:bookmarkEnd w:id="30"/>
    <w:p>
      <w:pPr>
        <w:ind w:left="740"/>
        <w:spacing w:after="0"/>
        <w:rPr>
          <w:sz w:val="20"/>
          <w:szCs w:val="20"/>
          <w:color w:val="auto"/>
        </w:rPr>
      </w:pPr>
      <w:r>
        <w:rPr>
          <w:rFonts w:ascii="Times New Roman" w:cs="Times New Roman" w:eastAsia="Times New Roman" w:hAnsi="Times New Roman"/>
          <w:sz w:val="17"/>
          <w:szCs w:val="17"/>
          <w:color w:val="auto"/>
        </w:rPr>
        <w:t>In patients, with Prader-Willi syndrome, the maternal genes are intact but silenced by epigenetic regulation, or the modulation of gene expression.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Epigenetic regulation is accomplished by the euchromatic histone lysine N-methyltransferase-2, or </w:t>
      </w:r>
      <w:r>
        <w:rPr>
          <w:rFonts w:ascii="Times New Roman" w:cs="Times New Roman" w:eastAsia="Times New Roman" w:hAnsi="Times New Roman"/>
          <w:sz w:val="18"/>
          <w:szCs w:val="18"/>
          <w:i w:val="1"/>
          <w:iCs w:val="1"/>
          <w:color w:val="auto"/>
        </w:rPr>
        <w:t>EHMT2</w:t>
      </w:r>
      <w:r>
        <w:rPr>
          <w:rFonts w:ascii="Times New Roman" w:cs="Times New Roman" w:eastAsia="Times New Roman" w:hAnsi="Times New Roman"/>
          <w:sz w:val="18"/>
          <w:szCs w:val="18"/>
          <w:color w:val="auto"/>
        </w:rPr>
        <w:t>, gene.</w:t>
      </w:r>
    </w:p>
    <w:p>
      <w:pPr>
        <w:spacing w:after="0" w:line="315" w:lineRule="exact"/>
        <w:rPr>
          <w:sz w:val="20"/>
          <w:szCs w:val="20"/>
          <w:color w:val="auto"/>
        </w:rPr>
      </w:pPr>
    </w:p>
    <w:p>
      <w:pPr>
        <w:ind w:right="100" w:firstLine="722"/>
        <w:spacing w:after="0" w:line="282" w:lineRule="auto"/>
        <w:rPr>
          <w:sz w:val="20"/>
          <w:szCs w:val="20"/>
          <w:color w:val="auto"/>
        </w:rPr>
      </w:pPr>
      <w:r>
        <w:rPr>
          <w:rFonts w:ascii="Times New Roman" w:cs="Times New Roman" w:eastAsia="Times New Roman" w:hAnsi="Times New Roman"/>
          <w:sz w:val="18"/>
          <w:szCs w:val="18"/>
          <w:color w:val="auto"/>
        </w:rPr>
        <w:t xml:space="preserve">We are developing TSHA-116 to restore gene function through reactivation of the silenced maternal genes. To accomplish this, we are designing vectors to target </w:t>
      </w:r>
      <w:r>
        <w:rPr>
          <w:rFonts w:ascii="Times New Roman" w:cs="Times New Roman" w:eastAsia="Times New Roman" w:hAnsi="Times New Roman"/>
          <w:sz w:val="18"/>
          <w:szCs w:val="18"/>
          <w:i w:val="1"/>
          <w:iCs w:val="1"/>
          <w:color w:val="auto"/>
        </w:rPr>
        <w:t>EHMT2</w:t>
      </w:r>
      <w:r>
        <w:rPr>
          <w:rFonts w:ascii="Times New Roman" w:cs="Times New Roman" w:eastAsia="Times New Roman" w:hAnsi="Times New Roman"/>
          <w:sz w:val="18"/>
          <w:szCs w:val="18"/>
          <w:color w:val="auto"/>
        </w:rPr>
        <w:t xml:space="preserve"> through shRNA knock-down and reduced levels of </w:t>
      </w:r>
      <w:r>
        <w:rPr>
          <w:rFonts w:ascii="Times New Roman" w:cs="Times New Roman" w:eastAsia="Times New Roman" w:hAnsi="Times New Roman"/>
          <w:sz w:val="18"/>
          <w:szCs w:val="18"/>
          <w:i w:val="1"/>
          <w:iCs w:val="1"/>
          <w:color w:val="auto"/>
        </w:rPr>
        <w:t>EHMT2</w:t>
      </w:r>
      <w:r>
        <w:rPr>
          <w:rFonts w:ascii="Times New Roman" w:cs="Times New Roman" w:eastAsia="Times New Roman" w:hAnsi="Times New Roman"/>
          <w:sz w:val="18"/>
          <w:szCs w:val="18"/>
          <w:color w:val="auto"/>
        </w:rPr>
        <w:t xml:space="preserve">, which would in turn activate the silenced </w:t>
      </w:r>
      <w:r>
        <w:rPr>
          <w:rFonts w:ascii="Times New Roman" w:cs="Times New Roman" w:eastAsia="Times New Roman" w:hAnsi="Times New Roman"/>
          <w:sz w:val="18"/>
          <w:szCs w:val="18"/>
          <w:i w:val="1"/>
          <w:iCs w:val="1"/>
          <w:color w:val="auto"/>
        </w:rPr>
        <w:t>PWS</w:t>
      </w:r>
      <w:r>
        <w:rPr>
          <w:rFonts w:ascii="Times New Roman" w:cs="Times New Roman" w:eastAsia="Times New Roman" w:hAnsi="Times New Roman"/>
          <w:sz w:val="18"/>
          <w:szCs w:val="18"/>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182880</wp:posOffset>
            </wp:positionV>
            <wp:extent cx="5177790" cy="1697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7779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TSHA-117 for FOXG1 Syndrome</w:t>
      </w:r>
    </w:p>
    <w:p>
      <w:pPr>
        <w:spacing w:after="0" w:line="119"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 xml:space="preserve">We are developing TSHA-117 for the treatment of FOXG1 syndrome. FOXG1 syndrome is a neurodevelopmental disorder caused by pathogenic mutations in the </w:t>
      </w:r>
      <w:r>
        <w:rPr>
          <w:rFonts w:ascii="Times New Roman" w:cs="Times New Roman" w:eastAsia="Times New Roman" w:hAnsi="Times New Roman"/>
          <w:sz w:val="18"/>
          <w:szCs w:val="18"/>
          <w:i w:val="1"/>
          <w:iCs w:val="1"/>
          <w:color w:val="auto"/>
        </w:rPr>
        <w:t>FOXG1</w:t>
      </w:r>
      <w:r>
        <w:rPr>
          <w:rFonts w:ascii="Times New Roman" w:cs="Times New Roman" w:eastAsia="Times New Roman" w:hAnsi="Times New Roman"/>
          <w:sz w:val="18"/>
          <w:szCs w:val="18"/>
          <w:color w:val="auto"/>
        </w:rPr>
        <w:t xml:space="preserve"> gene. The symptoms of FOXG1 syndrome include severe developmental and intellectual disabilities, growth restriction with microcephaly, epilepsy and hyperkinetic-dyskinetic movement disorder. The incidence rate is estimated to be one per 30,000 live births. The estimated prevalence of FOXG1 is 20,000 patients in the United States and European Union. The number of identified patients is expected to steadily increase as more children are tested for Autism Spectrum Disorder and other genetic disorders. Currently, there are no specific therapies for FOXG1 syndrome and medical management of the disease is largely focused on symptomatic relief.</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The literature suggests that dosage of the </w:t>
      </w:r>
      <w:r>
        <w:rPr>
          <w:rFonts w:ascii="Times New Roman" w:cs="Times New Roman" w:eastAsia="Times New Roman" w:hAnsi="Times New Roman"/>
          <w:sz w:val="18"/>
          <w:szCs w:val="18"/>
          <w:i w:val="1"/>
          <w:iCs w:val="1"/>
          <w:color w:val="auto"/>
        </w:rPr>
        <w:t>FOXG1</w:t>
      </w:r>
      <w:r>
        <w:rPr>
          <w:rFonts w:ascii="Times New Roman" w:cs="Times New Roman" w:eastAsia="Times New Roman" w:hAnsi="Times New Roman"/>
          <w:sz w:val="18"/>
          <w:szCs w:val="18"/>
          <w:color w:val="auto"/>
        </w:rPr>
        <w:t xml:space="preserve"> gene needs to be regulated to avoid off-target expression or overexpression of </w:t>
      </w:r>
      <w:r>
        <w:rPr>
          <w:rFonts w:ascii="Times New Roman" w:cs="Times New Roman" w:eastAsia="Times New Roman" w:hAnsi="Times New Roman"/>
          <w:sz w:val="18"/>
          <w:szCs w:val="18"/>
          <w:i w:val="1"/>
          <w:iCs w:val="1"/>
          <w:color w:val="auto"/>
        </w:rPr>
        <w:t>FOXG1</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We are developing TSHA-117 using our miRARE panel to regulate </w:t>
      </w:r>
      <w:r>
        <w:rPr>
          <w:rFonts w:ascii="Times New Roman" w:cs="Times New Roman" w:eastAsia="Times New Roman" w:hAnsi="Times New Roman"/>
          <w:sz w:val="18"/>
          <w:szCs w:val="18"/>
          <w:i w:val="1"/>
          <w:iCs w:val="1"/>
          <w:color w:val="auto"/>
        </w:rPr>
        <w:t>FOXG1</w:t>
      </w:r>
      <w:r>
        <w:rPr>
          <w:rFonts w:ascii="Times New Roman" w:cs="Times New Roman" w:eastAsia="Times New Roman" w:hAnsi="Times New Roman"/>
          <w:sz w:val="18"/>
          <w:szCs w:val="18"/>
          <w:color w:val="auto"/>
        </w:rPr>
        <w:t xml:space="preserve"> expression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224155</wp:posOffset>
            </wp:positionV>
            <wp:extent cx="5503545" cy="1774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0354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TSHA-107 for an Autism Spectrum Disorder, TSHA-108 for an Inborn Error of Metabolism and TSHA-109 for an Inherited Metabolic Disorder</w:t>
      </w:r>
    </w:p>
    <w:p>
      <w:pPr>
        <w:spacing w:after="0" w:line="335" w:lineRule="exact"/>
        <w:rPr>
          <w:sz w:val="20"/>
          <w:szCs w:val="20"/>
          <w:color w:val="auto"/>
        </w:rPr>
      </w:pPr>
    </w:p>
    <w:p>
      <w:pPr>
        <w:ind w:right="240" w:firstLine="722"/>
        <w:spacing w:after="0" w:line="256" w:lineRule="auto"/>
        <w:rPr>
          <w:sz w:val="20"/>
          <w:szCs w:val="20"/>
          <w:color w:val="auto"/>
        </w:rPr>
      </w:pPr>
      <w:r>
        <w:rPr>
          <w:rFonts w:ascii="Times New Roman" w:cs="Times New Roman" w:eastAsia="Times New Roman" w:hAnsi="Times New Roman"/>
          <w:sz w:val="18"/>
          <w:szCs w:val="18"/>
          <w:color w:val="auto"/>
        </w:rPr>
        <w:t>We are also developing the following product candidates for the treatment of neurodevelopmental disorders. We are developing TSHA-107 for the treatment of an autism spectrum disorder associated with an increased risk of epilepsy, for which there is currently no therapeutic option. We are developing TSHA-108 for the treatment of an inborn error of metabolism associated with intellectual disability, prominent speech and language delay, autistic behaviors and seizures. We are developing TSHA-109 for a rare, inherited metabolic disorder that, if untreated, results in speech deficits, ataxia, learning disabilities and other neurological complications. We are constructing each of these product candidates from a codon-optimized version of the applicable gene packaged within a self-complementary AAV9 viral vector.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Genetic Epilepsies</w:t>
      </w:r>
    </w:p>
    <w:p>
      <w:pPr>
        <w:spacing w:after="0" w:line="121"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Our genetic epilepsy category targets disorders with recurrent seizures associated with abnormal development of the brain. In children with early-onset epilepsy, the detrimental effects of uncontrolled seizures are often associated with, and may be responsible for, the neurodevelopmental disabilities that often appear subsequent to the onset of seizures. A number of childhood-onset epilepsies are caused by mutations in a single gene and represent a compelling target for gene therapy. The goal of our product candidates is to target the underlying cause of the disease to simultaneously control seizures and treat any associated developmental comorbidities.</w:t>
      </w:r>
    </w:p>
    <w:p>
      <w:pPr>
        <w:spacing w:after="0" w:line="291" w:lineRule="exact"/>
        <w:rPr>
          <w:sz w:val="20"/>
          <w:szCs w:val="20"/>
          <w:color w:val="auto"/>
        </w:rPr>
      </w:pPr>
    </w:p>
    <w:p>
      <w:pPr>
        <w:ind w:right="500" w:firstLine="722"/>
        <w:spacing w:after="0" w:line="282" w:lineRule="auto"/>
        <w:rPr>
          <w:sz w:val="20"/>
          <w:szCs w:val="20"/>
          <w:color w:val="auto"/>
        </w:rPr>
      </w:pPr>
      <w:r>
        <w:rPr>
          <w:rFonts w:ascii="Times New Roman" w:cs="Times New Roman" w:eastAsia="Times New Roman" w:hAnsi="Times New Roman"/>
          <w:sz w:val="18"/>
          <w:szCs w:val="18"/>
          <w:color w:val="auto"/>
        </w:rPr>
        <w:t>We are developing TSHA-103, a genetic epilepsy product candidate, for the treatment of SLC6A1 haploinsufficiency disorder. We are also developing TSHA-105 for the treatment of SLC13A5 deficiency and TSHA-110 for the treatment of KCNQ2-related disorders.</w:t>
      </w:r>
    </w:p>
    <w:p>
      <w:pPr>
        <w:spacing w:after="0" w:line="2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TSHA-103 for SLC6A1 haploinsufficiency disorder</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Overview of SLC6A1 haploinsufficiency disorder</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SLC6A1 haploinsufficiency disorder is caused by loss-of-function mutations in the </w:t>
      </w:r>
      <w:r>
        <w:rPr>
          <w:rFonts w:ascii="Times New Roman" w:cs="Times New Roman" w:eastAsia="Times New Roman" w:hAnsi="Times New Roman"/>
          <w:sz w:val="18"/>
          <w:szCs w:val="18"/>
          <w:i w:val="1"/>
          <w:iCs w:val="1"/>
          <w:color w:val="auto"/>
        </w:rPr>
        <w:t>SLC6A1</w:t>
      </w:r>
      <w:r>
        <w:rPr>
          <w:rFonts w:ascii="Times New Roman" w:cs="Times New Roman" w:eastAsia="Times New Roman" w:hAnsi="Times New Roman"/>
          <w:sz w:val="18"/>
          <w:szCs w:val="18"/>
          <w:color w:val="auto"/>
        </w:rPr>
        <w:t xml:space="preserve"> gene. Loss of-function mutations in</w:t>
      </w:r>
    </w:p>
    <w:p>
      <w:pPr>
        <w:spacing w:after="0" w:line="29"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SLC6A1</w:t>
      </w:r>
      <w:r>
        <w:rPr>
          <w:rFonts w:ascii="Times New Roman" w:cs="Times New Roman" w:eastAsia="Times New Roman" w:hAnsi="Times New Roman"/>
          <w:sz w:val="18"/>
          <w:szCs w:val="18"/>
          <w:color w:val="auto"/>
        </w:rPr>
        <w:t xml:space="preserve"> gene have been identified as one of the most common monogenic causes of epilepsy with myoclonic atonic seizures, or brief and abrupt seizures followed by loss of muscle strength, as well as autism spectrum disorder and intellectual disability.</w:t>
      </w:r>
    </w:p>
    <w:p>
      <w:pPr>
        <w:spacing w:after="0" w:line="289" w:lineRule="exact"/>
        <w:rPr>
          <w:sz w:val="20"/>
          <w:szCs w:val="20"/>
          <w:color w:val="auto"/>
        </w:rPr>
      </w:pPr>
    </w:p>
    <w:p>
      <w:pPr>
        <w:ind w:right="80" w:firstLine="722"/>
        <w:spacing w:after="0" w:line="261" w:lineRule="auto"/>
        <w:rPr>
          <w:sz w:val="20"/>
          <w:szCs w:val="20"/>
          <w:color w:val="auto"/>
        </w:rPr>
      </w:pPr>
      <w:r>
        <w:rPr>
          <w:rFonts w:ascii="Times New Roman" w:cs="Times New Roman" w:eastAsia="Times New Roman" w:hAnsi="Times New Roman"/>
          <w:sz w:val="18"/>
          <w:szCs w:val="18"/>
          <w:color w:val="auto"/>
        </w:rPr>
        <w:t>Patients diagnosed with SLC6A1 haploinsufficiency disorder typically present with developmental delay, varying degrees of intellectual disability, seizures and abnormal EEG characterized by generalized spike-wave discharges. Most patients are refractory to pharmacological seizure control although a portion of patients become seizure free during the course of disease progression. Importantly, seizure control is not associated with improved cognitive outcomes, which highlights the complexity of the disease as well as the need for novel therapies directed at its underlying pathology.</w:t>
      </w:r>
    </w:p>
    <w:p>
      <w:pPr>
        <w:spacing w:after="0" w:line="288" w:lineRule="exact"/>
        <w:rPr>
          <w:sz w:val="20"/>
          <w:szCs w:val="20"/>
          <w:color w:val="auto"/>
        </w:rPr>
      </w:pPr>
    </w:p>
    <w:p>
      <w:pPr>
        <w:ind w:right="180" w:firstLine="722"/>
        <w:spacing w:after="0" w:line="261" w:lineRule="auto"/>
        <w:rPr>
          <w:sz w:val="20"/>
          <w:szCs w:val="20"/>
          <w:color w:val="auto"/>
        </w:rPr>
      </w:pPr>
      <w:r>
        <w:rPr>
          <w:rFonts w:ascii="Times New Roman" w:cs="Times New Roman" w:eastAsia="Times New Roman" w:hAnsi="Times New Roman"/>
          <w:sz w:val="18"/>
          <w:szCs w:val="18"/>
          <w:color w:val="auto"/>
        </w:rPr>
        <w:t>Approximately 81% of patients with SLC6A1 haploinsufficiency disorder have epilepsy, with typical absence seizures, which are abrupt and followed by lack of awareness, being the predominant form observed. In addition, 91% of individuals exhibit developmental delays, with more than 80% characterized as mild or moderate intellectual disability. Ataxia, or tremors, is present in approximately 29% of individuals, while autism or autistic features are observed in approximately 24% of individuals diagnosed with SLC6A1 haploinsufficiency disorder.</w:t>
      </w:r>
    </w:p>
    <w:p>
      <w:pPr>
        <w:spacing w:after="0" w:line="286" w:lineRule="exact"/>
        <w:rPr>
          <w:sz w:val="20"/>
          <w:szCs w:val="20"/>
          <w:color w:val="auto"/>
        </w:rPr>
      </w:pPr>
    </w:p>
    <w:p>
      <w:pPr>
        <w:ind w:right="340" w:firstLine="722"/>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SLC6A1</w:t>
      </w:r>
      <w:r>
        <w:rPr>
          <w:rFonts w:ascii="Times New Roman" w:cs="Times New Roman" w:eastAsia="Times New Roman" w:hAnsi="Times New Roman"/>
          <w:sz w:val="18"/>
          <w:szCs w:val="18"/>
          <w:color w:val="auto"/>
        </w:rPr>
        <w:t xml:space="preserve"> gene encodes the gamma-aminobutyric acid, or GABA, transporter 1, or GAT1. GAT1 is a voltage-dependent transporter responsible for the reuptake of GABA, a non-protein amino acid that is well characterized for its role as a major inhibitory neurotransmitter within the mammalian CNS. GAT1 plays a critical role in the reuptake of GABA from neuronal synapses and extracellular spaces and as a result, a critical role in balancing neuronal excitations. When GABA transport is disrupted, brain development is negatively impacted resulting in deficits in attention and cognition as well as seizures.</w:t>
      </w:r>
    </w:p>
    <w:p>
      <w:pPr>
        <w:spacing w:after="0" w:line="293" w:lineRule="exact"/>
        <w:rPr>
          <w:sz w:val="20"/>
          <w:szCs w:val="20"/>
          <w:color w:val="auto"/>
        </w:rPr>
      </w:pPr>
    </w:p>
    <w:p>
      <w:pPr>
        <w:ind w:right="100" w:firstLine="722"/>
        <w:spacing w:after="0" w:line="258" w:lineRule="auto"/>
        <w:rPr>
          <w:sz w:val="20"/>
          <w:szCs w:val="20"/>
          <w:color w:val="auto"/>
        </w:rPr>
      </w:pPr>
      <w:r>
        <w:rPr>
          <w:rFonts w:ascii="Times New Roman" w:cs="Times New Roman" w:eastAsia="Times New Roman" w:hAnsi="Times New Roman"/>
          <w:sz w:val="18"/>
          <w:szCs w:val="18"/>
          <w:color w:val="auto"/>
        </w:rPr>
        <w:t>The exact incidence and prevalence of SLC6A1 haploinsufficiency disorder is unknown but we believe the estimated prevalence is 17,000 patients in the United States and European Union. According to recently published data, the incidence of SLC6A1 haploinsufficiency disorder is approximately 1 in 36,000 live births. We believe that SLC6A1 haploinsufficiency disorder is underdiagnosed as the underlying biology was only recently elucidated and the gene had not been part of commercially available genetic epilepsy screening panels. Clinician education and expanded use of genetic screening panels that include SLC6A1 will likely lead to increased identification of individuals with these mutations.</w:t>
      </w:r>
    </w:p>
    <w:p>
      <w:pPr>
        <w:spacing w:after="0" w:line="2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Our Solution: TSHA-103</w:t>
      </w:r>
    </w:p>
    <w:p>
      <w:pPr>
        <w:spacing w:after="0" w:line="119" w:lineRule="exact"/>
        <w:rPr>
          <w:sz w:val="20"/>
          <w:szCs w:val="20"/>
          <w:color w:val="auto"/>
        </w:rPr>
      </w:pPr>
    </w:p>
    <w:p>
      <w:pPr>
        <w:ind w:right="240" w:firstLine="722"/>
        <w:spacing w:after="0" w:line="266" w:lineRule="auto"/>
        <w:rPr>
          <w:sz w:val="20"/>
          <w:szCs w:val="20"/>
          <w:color w:val="auto"/>
        </w:rPr>
      </w:pPr>
      <w:r>
        <w:rPr>
          <w:rFonts w:ascii="Times New Roman" w:cs="Times New Roman" w:eastAsia="Times New Roman" w:hAnsi="Times New Roman"/>
          <w:sz w:val="18"/>
          <w:szCs w:val="18"/>
          <w:color w:val="auto"/>
        </w:rPr>
        <w:t xml:space="preserve">We are developing TSHA-103, a genetic epilepsy product candidate, for the treatment of SLC6A1 haploinsufficiency disorder. TSHA-103 is a gene replacement therapy constructed from a codon-optimized version of the human </w:t>
      </w:r>
      <w:r>
        <w:rPr>
          <w:rFonts w:ascii="Times New Roman" w:cs="Times New Roman" w:eastAsia="Times New Roman" w:hAnsi="Times New Roman"/>
          <w:sz w:val="18"/>
          <w:szCs w:val="18"/>
          <w:i w:val="1"/>
          <w:iCs w:val="1"/>
          <w:color w:val="auto"/>
        </w:rPr>
        <w:t>SLC6A1</w:t>
      </w:r>
      <w:r>
        <w:rPr>
          <w:rFonts w:ascii="Times New Roman" w:cs="Times New Roman" w:eastAsia="Times New Roman" w:hAnsi="Times New Roman"/>
          <w:sz w:val="18"/>
          <w:szCs w:val="18"/>
          <w:color w:val="auto"/>
        </w:rPr>
        <w:t xml:space="preserve"> gene packaged within a self-complementary AAV9 viral vector under the control of a JeT promoter. We are currently conducting preclinical studies of TSHA-103.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2" w:name="page33"/>
    <w:bookmarkEnd w:id="32"/>
    <w:p>
      <w:pPr>
        <w:ind w:right="440" w:firstLine="722"/>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for TSHA-103 for the treatment of epilepsy caused by SLC6A1 haploinsufficiency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182880</wp:posOffset>
            </wp:positionV>
            <wp:extent cx="5640705" cy="1817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4070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Additional Genetic Epilepsy Programs</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TSHA-105 for SLC13A5 Deficiency</w:t>
      </w:r>
    </w:p>
    <w:p>
      <w:pPr>
        <w:spacing w:after="0" w:line="119"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 xml:space="preserve">We are developing TSHA-105 for the treatment of SLC13A5 deficiency, a rare autosomal recessive epileptic encephalopathy characterized by the onset of seizures within the first few days of life. The estimated prevalence of SLC13A5 deficiency is 1,900 patients in the United States and European Union. Affected children have impairments in gross motor function and speech production with relative preservation of fine motor skills and receptive speech. SLC13A5 deficiency is caused by bi-allelic loss-of function mutations in the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w:t>
      </w:r>
    </w:p>
    <w:p>
      <w:pPr>
        <w:spacing w:after="0" w:line="295" w:lineRule="exact"/>
        <w:rPr>
          <w:sz w:val="20"/>
          <w:szCs w:val="20"/>
          <w:color w:val="auto"/>
        </w:rPr>
      </w:pPr>
    </w:p>
    <w:p>
      <w:pPr>
        <w:ind w:right="380" w:firstLine="722"/>
        <w:spacing w:after="0" w:line="282" w:lineRule="auto"/>
        <w:rPr>
          <w:sz w:val="20"/>
          <w:szCs w:val="20"/>
          <w:color w:val="auto"/>
        </w:rPr>
      </w:pPr>
      <w:r>
        <w:rPr>
          <w:rFonts w:ascii="Times New Roman" w:cs="Times New Roman" w:eastAsia="Times New Roman" w:hAnsi="Times New Roman"/>
          <w:sz w:val="18"/>
          <w:szCs w:val="18"/>
          <w:color w:val="auto"/>
        </w:rPr>
        <w:t>Diminished NaCT function leads to loss of neuronal uptake of citrate and other metabolites such as succinate that are critical to brain energy metabolism and function. Currently, there are no approved therapies for SLC13A5 deficiency, and treatment is largely to address symptoms.</w:t>
      </w:r>
    </w:p>
    <w:p>
      <w:pPr>
        <w:spacing w:after="0" w:line="270" w:lineRule="exact"/>
        <w:rPr>
          <w:sz w:val="20"/>
          <w:szCs w:val="20"/>
          <w:color w:val="auto"/>
        </w:rPr>
      </w:pPr>
    </w:p>
    <w:p>
      <w:pPr>
        <w:ind w:right="560" w:firstLine="722"/>
        <w:spacing w:after="0" w:line="282" w:lineRule="auto"/>
        <w:rPr>
          <w:sz w:val="20"/>
          <w:szCs w:val="20"/>
          <w:color w:val="auto"/>
        </w:rPr>
      </w:pPr>
      <w:r>
        <w:rPr>
          <w:rFonts w:ascii="Times New Roman" w:cs="Times New Roman" w:eastAsia="Times New Roman" w:hAnsi="Times New Roman"/>
          <w:sz w:val="18"/>
          <w:szCs w:val="18"/>
          <w:color w:val="auto"/>
        </w:rPr>
        <w:t xml:space="preserve">We are developing TSHA-105 as a gene replacement therapy for SLC13A5 deficiency. TSHA-105 is constructed from a codon-optimized human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packaged in a self-complementary AAV9 capsid.</w:t>
      </w:r>
    </w:p>
    <w:p>
      <w:pPr>
        <w:spacing w:after="0" w:line="270" w:lineRule="exact"/>
        <w:rPr>
          <w:sz w:val="20"/>
          <w:szCs w:val="20"/>
          <w:color w:val="auto"/>
        </w:rPr>
      </w:pPr>
    </w:p>
    <w:p>
      <w:pPr>
        <w:ind w:right="440" w:firstLine="722"/>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for TSHA-105 for the treatment of epilepsy caused by caused by SLC13A5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525780</wp:posOffset>
            </wp:positionV>
            <wp:extent cx="5528945" cy="1783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2894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335" w:lineRule="exact"/>
        <w:rPr>
          <w:sz w:val="20"/>
          <w:szCs w:val="20"/>
          <w:color w:val="auto"/>
        </w:rPr>
      </w:pPr>
    </w:p>
    <w:p>
      <w:pPr>
        <w:ind w:right="220" w:firstLine="722"/>
        <w:spacing w:after="0" w:line="282" w:lineRule="auto"/>
        <w:rPr>
          <w:sz w:val="20"/>
          <w:szCs w:val="20"/>
          <w:color w:val="auto"/>
        </w:rPr>
      </w:pPr>
      <w:r>
        <w:rPr>
          <w:rFonts w:ascii="Times New Roman" w:cs="Times New Roman" w:eastAsia="Times New Roman" w:hAnsi="Times New Roman"/>
          <w:sz w:val="18"/>
          <w:szCs w:val="18"/>
          <w:color w:val="auto"/>
        </w:rPr>
        <w:t>In preliminary safety studies conducted in wildtype mice, vehicle or TSHA-105 was administered via CSF delivery. Weight and survival in the control and treatment group were the same and no overt toxicities were observed for up to one-year post-treatment.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3" w:name="page34"/>
    <w:bookmarkEnd w:id="33"/>
    <w:p>
      <w:pPr>
        <w:ind w:firstLine="722"/>
        <w:spacing w:after="0" w:line="261" w:lineRule="auto"/>
        <w:rPr>
          <w:sz w:val="20"/>
          <w:szCs w:val="20"/>
          <w:color w:val="auto"/>
        </w:rPr>
      </w:pPr>
      <w:r>
        <w:rPr>
          <w:rFonts w:ascii="Times New Roman" w:cs="Times New Roman" w:eastAsia="Times New Roman" w:hAnsi="Times New Roman"/>
          <w:sz w:val="18"/>
          <w:szCs w:val="18"/>
          <w:color w:val="auto"/>
        </w:rPr>
        <w:t>Studies to evaluate TSHA-105 were conducted using SLC13A5 knockout mice. In comparison to age-matched, wildtype controls, SLC13A5 knockout mice exhibit altered citrate metabolism along with abnormal EEG activity and increased seizure susceptibility. At 3 months of age, SLC13A5 knockout mice were treated with TSHA-105 via CSF delivery. Administration of TSHA-105 resulted in a significant, sustainable decrease of plasma citrate levels up to 3-months post-injection,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194310</wp:posOffset>
            </wp:positionV>
            <wp:extent cx="5186045" cy="22542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860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40" w:right="260" w:firstLine="676"/>
        <w:spacing w:after="0" w:line="282" w:lineRule="auto"/>
        <w:rPr>
          <w:sz w:val="20"/>
          <w:szCs w:val="20"/>
          <w:color w:val="auto"/>
        </w:rPr>
      </w:pPr>
      <w:r>
        <w:rPr>
          <w:rFonts w:ascii="Times New Roman" w:cs="Times New Roman" w:eastAsia="Times New Roman" w:hAnsi="Times New Roman"/>
          <w:sz w:val="18"/>
          <w:szCs w:val="18"/>
          <w:color w:val="auto"/>
        </w:rPr>
        <w:t>In addition, in ongoing EEG studies, TSHA-105 normalized EEG activity and decreased the number of seizures in knockout mice in comparison vehicle-treated controls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182880</wp:posOffset>
            </wp:positionV>
            <wp:extent cx="5177790" cy="1929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7779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TSHA-110 for KCNQ2 Developmental &amp; Epileptic Encephalopathy</w:t>
      </w:r>
    </w:p>
    <w:p>
      <w:pPr>
        <w:spacing w:after="0" w:line="117" w:lineRule="exact"/>
        <w:rPr>
          <w:sz w:val="20"/>
          <w:szCs w:val="20"/>
          <w:color w:val="auto"/>
        </w:rPr>
      </w:pPr>
    </w:p>
    <w:p>
      <w:pPr>
        <w:ind w:right="140" w:firstLine="722"/>
        <w:spacing w:after="0" w:line="255" w:lineRule="auto"/>
        <w:rPr>
          <w:sz w:val="20"/>
          <w:szCs w:val="20"/>
          <w:color w:val="auto"/>
        </w:rPr>
      </w:pPr>
      <w:r>
        <w:rPr>
          <w:rFonts w:ascii="Times New Roman" w:cs="Times New Roman" w:eastAsia="Times New Roman" w:hAnsi="Times New Roman"/>
          <w:sz w:val="18"/>
          <w:szCs w:val="18"/>
          <w:color w:val="auto"/>
        </w:rPr>
        <w:t xml:space="preserve">We have an exclusive option from UT Southwestern to develop TSHA-110 for the treatment of </w:t>
      </w:r>
      <w:r>
        <w:rPr>
          <w:rFonts w:ascii="Times New Roman" w:cs="Times New Roman" w:eastAsia="Times New Roman" w:hAnsi="Times New Roman"/>
          <w:sz w:val="18"/>
          <w:szCs w:val="18"/>
          <w:i w:val="1"/>
          <w:iCs w:val="1"/>
          <w:color w:val="auto"/>
        </w:rPr>
        <w:t>KCNQ2</w:t>
      </w:r>
      <w:r>
        <w:rPr>
          <w:rFonts w:ascii="Times New Roman" w:cs="Times New Roman" w:eastAsia="Times New Roman" w:hAnsi="Times New Roman"/>
          <w:sz w:val="18"/>
          <w:szCs w:val="18"/>
          <w:color w:val="auto"/>
        </w:rPr>
        <w:t xml:space="preserve"> Developmental and Epileptic Encephalopathy, or KCNQ2. Patients with KCNQ2 typically present with seizures in the first week of life. Seizures appear as tonic, or with stiffening of the body, often associated with jerking and changes in breathing or heart rate. These seizures often resolve within months to years but children have some degree of developmental impairment involving one or more domains (motor, social, language, cognition). There is wide variability in the symptoms of patients with a KCNQ2 diagnosis. Some have very limited, or no noticeable seizure activity and the developmental impairment can range from mild to severe, depending on a number of different factors. Some children may also have autistic features or other comorbidities. The incidence of KCNQ2 is approximately 1 in 35,000 live births. The estimated prevalence in KCNQ2 developmental and epileptic encephalopathy is 37,000 patients in the United States and European Union.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4" w:name="page35"/>
    <w:bookmarkEnd w:id="34"/>
    <w:p>
      <w:pPr>
        <w:ind w:right="460" w:firstLine="722"/>
        <w:spacing w:after="0" w:line="282" w:lineRule="auto"/>
        <w:rPr>
          <w:sz w:val="20"/>
          <w:szCs w:val="20"/>
          <w:color w:val="auto"/>
        </w:rPr>
      </w:pPr>
      <w:r>
        <w:rPr>
          <w:rFonts w:ascii="Times New Roman" w:cs="Times New Roman" w:eastAsia="Times New Roman" w:hAnsi="Times New Roman"/>
          <w:sz w:val="18"/>
          <w:szCs w:val="18"/>
          <w:color w:val="auto"/>
        </w:rPr>
        <w:t xml:space="preserve">We plan to exercise the option to acquire rights to TSHA-110 from UT Southwestern, following which we expect to develop TSHA-110 as a </w:t>
      </w:r>
      <w:r>
        <w:rPr>
          <w:rFonts w:ascii="Times New Roman" w:cs="Times New Roman" w:eastAsia="Times New Roman" w:hAnsi="Times New Roman"/>
          <w:sz w:val="18"/>
          <w:szCs w:val="18"/>
          <w:i w:val="1"/>
          <w:iCs w:val="1"/>
          <w:color w:val="auto"/>
        </w:rPr>
        <w:t>KCNQ2</w:t>
      </w:r>
      <w:r>
        <w:rPr>
          <w:rFonts w:ascii="Times New Roman" w:cs="Times New Roman" w:eastAsia="Times New Roman" w:hAnsi="Times New Roman"/>
          <w:sz w:val="18"/>
          <w:szCs w:val="18"/>
          <w:color w:val="auto"/>
        </w:rPr>
        <w:t xml:space="preserve"> transgene packaged within an AAV9 vector.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182880</wp:posOffset>
            </wp:positionV>
            <wp:extent cx="4869180" cy="1560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6918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Next-Generation Platform Technologies</w:t>
      </w:r>
    </w:p>
    <w:p>
      <w:pPr>
        <w:spacing w:after="0" w:line="121" w:lineRule="exact"/>
        <w:rPr>
          <w:sz w:val="20"/>
          <w:szCs w:val="20"/>
          <w:color w:val="auto"/>
        </w:rPr>
      </w:pPr>
    </w:p>
    <w:p>
      <w:pPr>
        <w:ind w:right="200" w:firstLine="722"/>
        <w:spacing w:after="0" w:line="266" w:lineRule="auto"/>
        <w:rPr>
          <w:sz w:val="20"/>
          <w:szCs w:val="20"/>
          <w:color w:val="auto"/>
        </w:rPr>
      </w:pPr>
      <w:r>
        <w:rPr>
          <w:rFonts w:ascii="Times New Roman" w:cs="Times New Roman" w:eastAsia="Times New Roman" w:hAnsi="Times New Roman"/>
          <w:sz w:val="18"/>
          <w:szCs w:val="18"/>
          <w:color w:val="auto"/>
        </w:rPr>
        <w:t>In addition to our AAV9 candidates, we are building a suite of platforms to develop next-generation technologies that can optimize key components of an AAV-based gene therapy as part of our strategy to develop a sustainable pipeline of product candidates and a consistent stream of new commercial product launches.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Route of Administration to Allow Redosing</w:t>
      </w:r>
    </w:p>
    <w:p>
      <w:pPr>
        <w:spacing w:after="0" w:line="121" w:lineRule="exact"/>
        <w:rPr>
          <w:sz w:val="20"/>
          <w:szCs w:val="20"/>
          <w:color w:val="auto"/>
        </w:rPr>
      </w:pPr>
    </w:p>
    <w:p>
      <w:pPr>
        <w:ind w:firstLine="722"/>
        <w:spacing w:after="0" w:line="273" w:lineRule="auto"/>
        <w:rPr>
          <w:sz w:val="20"/>
          <w:szCs w:val="20"/>
          <w:color w:val="auto"/>
        </w:rPr>
      </w:pPr>
      <w:r>
        <w:rPr>
          <w:rFonts w:ascii="Times New Roman" w:cs="Times New Roman" w:eastAsia="Times New Roman" w:hAnsi="Times New Roman"/>
          <w:sz w:val="17"/>
          <w:szCs w:val="17"/>
          <w:color w:val="auto"/>
        </w:rPr>
        <w:t>We are advancing a novel AAV dosing platform with the potential to facilitate redosing by administering AAV-based gene therapies directly to the vagus nerve. The development of AAV-neutralizing antibodies after administration of an initial dose has historically presented a challenge in the ability to redose patients with gene therapies. In preclinical studies in adult rats, we observed that AAV9 delivery to the vagus nerve resulted in efficient targeting of the vagal neurons in the ANS. We subsequently performed experiments to assess the feasibility of targeting genes to ANS neurons in rats already treated with an intrathecal injection of AAV9. Rats were immunized with AAV9 by an intrathecal injection of AAV9/GAN and then received a direct vagus nerve injection with AAV9/GFP either four or fourteen weeks after the intrathecal injection. AAV9-immunized rats had efficient green fluorescent protein, or GFP, transduction in vagal nerve fibers and neurons. There was no evidence of neuroinflammation or significant chronic inflammatory infiltrates.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189230</wp:posOffset>
            </wp:positionV>
            <wp:extent cx="4740275" cy="29146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4027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5" w:name="page36"/>
    <w:bookmarkEnd w:id="35"/>
    <w:p>
      <w:pPr>
        <w:jc w:val="both"/>
        <w:ind w:firstLine="722"/>
        <w:spacing w:after="0" w:line="266" w:lineRule="auto"/>
        <w:rPr>
          <w:sz w:val="20"/>
          <w:szCs w:val="20"/>
          <w:color w:val="auto"/>
        </w:rPr>
      </w:pPr>
      <w:r>
        <w:rPr>
          <w:rFonts w:ascii="Times New Roman" w:cs="Times New Roman" w:eastAsia="Times New Roman" w:hAnsi="Times New Roman"/>
          <w:sz w:val="18"/>
          <w:szCs w:val="18"/>
          <w:color w:val="auto"/>
        </w:rPr>
        <w:t>In preclinical studies in dogs, adult hounds received a direct vagus nerve injection of increasing volumes of vehicle and were allowed to recover for two weeks. AAV delivery to the vagus nerve was well tolerated at all doses. Vocalization, weight, eating and fecal output were monitored pre- and post-surgery, and post-mortem analysis showed that vagal nerve fibers and neurons were microscopically normal.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123190</wp:posOffset>
            </wp:positionV>
            <wp:extent cx="4740275" cy="2631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4027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plan to further evaluate the safety and feasibility of this approach in NHPs.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Transgene Expression Using miRARE</w:t>
      </w:r>
    </w:p>
    <w:p>
      <w:pPr>
        <w:spacing w:after="0" w:line="121" w:lineRule="exact"/>
        <w:rPr>
          <w:sz w:val="20"/>
          <w:szCs w:val="20"/>
          <w:color w:val="auto"/>
        </w:rPr>
      </w:pPr>
    </w:p>
    <w:p>
      <w:pPr>
        <w:ind w:right="60" w:firstLine="722"/>
        <w:spacing w:after="0" w:line="254" w:lineRule="auto"/>
        <w:rPr>
          <w:sz w:val="20"/>
          <w:szCs w:val="20"/>
          <w:color w:val="auto"/>
        </w:rPr>
      </w:pPr>
      <w:r>
        <w:rPr>
          <w:rFonts w:ascii="Times New Roman" w:cs="Times New Roman" w:eastAsia="Times New Roman" w:hAnsi="Times New Roman"/>
          <w:sz w:val="18"/>
          <w:szCs w:val="18"/>
          <w:color w:val="auto"/>
        </w:rPr>
        <w:t>In a number of disorders, including Rett syndrome and FOXG1 syndrome, the expression of a therapeutic transgene needs to be regulated. In these disorders, high doses of transgene-expressing vectors may be harmful, while low doses may avoid toxicity but be sub-therapeutic. For disorders that require replacement of dose-sensitive genes, we have combined high-throughput miRNA profiling and genome mining to create miRARE, our novel miRNA target panel. This approach is designed to enable our product candidates to maintain safe transgene expression levels in the brain. Importantly, this built-in regulation system is fully endogenous, and therefore does not require any additional exogenous drug application. Instead, the miRARE system utilizes endogenous transgene-responsive miRNA to downregulate transgene expression in the event that overexpression occurs. While our initial intent is to utilize our miRARE panel to develop gene replacement therapies for Rett syndrome and FOXG1 syndrome, we believe the system may be applicable to a number of other dose-sensitive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201930</wp:posOffset>
            </wp:positionV>
            <wp:extent cx="4740275" cy="30175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4027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Novel Capsid Identification</w:t>
      </w:r>
    </w:p>
    <w:p>
      <w:pPr>
        <w:spacing w:after="0" w:line="121" w:lineRule="exact"/>
        <w:rPr>
          <w:sz w:val="20"/>
          <w:szCs w:val="20"/>
          <w:color w:val="auto"/>
        </w:rPr>
      </w:pPr>
    </w:p>
    <w:p>
      <w:pPr>
        <w:jc w:val="both"/>
        <w:ind w:right="580" w:firstLine="722"/>
        <w:spacing w:after="0" w:line="261" w:lineRule="auto"/>
        <w:rPr>
          <w:sz w:val="20"/>
          <w:szCs w:val="20"/>
          <w:color w:val="auto"/>
        </w:rPr>
      </w:pPr>
      <w:r>
        <w:rPr>
          <w:rFonts w:ascii="Times New Roman" w:cs="Times New Roman" w:eastAsia="Times New Roman" w:hAnsi="Times New Roman"/>
          <w:sz w:val="18"/>
          <w:szCs w:val="18"/>
          <w:color w:val="auto"/>
        </w:rPr>
        <w:t>Successful clinical translation of gene therapies depends upon efficient transgene delivery and expression across the entire CNS. Directed evolution is a powerful and proven method to develop novel AAV vector capsids that exhibit properties distinct from naturally occurring serotypes. However, to date, most novel capsids have been derived in rodents or in vitro models whose properties may or may not translate to other species, in particular primates.</w:t>
      </w:r>
    </w:p>
    <w:p>
      <w:pPr>
        <w:spacing w:after="0" w:line="288"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We have developed a new approach that utilizes AAV whole capsid shuffling and directed evolution, combined with machine learning techniques, to develop novel AAV capsids in mice and NHPs in parallel. We are utilizing SMRT sequencing analysis for a high throughput evaluation of recovered whole AAV capsid genes. SMRT sequencing has the advantage of sequencing the entire capsid gene in a single read with high accuracy, enabling sequencing the entire shuffled capsid rather than only an insert region or barcode.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194310</wp:posOffset>
            </wp:positionV>
            <wp:extent cx="4723130" cy="1611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2313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40" w:firstLine="722"/>
        <w:spacing w:after="0" w:line="282" w:lineRule="auto"/>
        <w:rPr>
          <w:sz w:val="20"/>
          <w:szCs w:val="20"/>
          <w:color w:val="auto"/>
        </w:rPr>
      </w:pPr>
      <w:r>
        <w:rPr>
          <w:rFonts w:ascii="Times New Roman" w:cs="Times New Roman" w:eastAsia="Times New Roman" w:hAnsi="Times New Roman"/>
          <w:sz w:val="18"/>
          <w:szCs w:val="18"/>
          <w:color w:val="auto"/>
        </w:rPr>
        <w:t>We believe that our approach will allow us to rapidly identify new capsids for the treatment of CNS disorders and drive new product candidates with novel biodistribution and transduction profiles into our development pipeline.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changing technologies, significant competition and a strong emphasis on intellectual property. This is also true for the development and commercialization of treatments for neurodegenerative diseases, neurodevelopmental disorders and genetic epilepsies, and broadly across gene therapies.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297"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295" w:lineRule="exact"/>
        <w:rPr>
          <w:sz w:val="20"/>
          <w:szCs w:val="20"/>
          <w:color w:val="auto"/>
        </w:rPr>
      </w:pPr>
    </w:p>
    <w:p>
      <w:pPr>
        <w:ind w:right="320" w:firstLine="722"/>
        <w:spacing w:after="0" w:line="266" w:lineRule="auto"/>
        <w:rPr>
          <w:sz w:val="20"/>
          <w:szCs w:val="20"/>
          <w:color w:val="auto"/>
        </w:rPr>
      </w:pPr>
      <w:r>
        <w:rPr>
          <w:rFonts w:ascii="Times New Roman" w:cs="Times New Roman" w:eastAsia="Times New Roman" w:hAnsi="Times New Roman"/>
          <w:sz w:val="18"/>
          <w:szCs w:val="18"/>
          <w:color w:val="auto"/>
        </w:rPr>
        <w:t>The majority of our programs face limited competition as there are no approved disease-modifying therapies for the treatment of the GM2 gangliosidosis, CLN1 disease, Rett syndrome, SLC6A1 haploinsufficiency disorder, SURF1-associated Leigh syndrome, SLC13A5 disorder, Fragile X syndrome, Angelman syndrome or the other development programs in our pipeline.</w:t>
      </w:r>
    </w:p>
    <w:p>
      <w:pPr>
        <w:spacing w:after="0" w:line="284" w:lineRule="exact"/>
        <w:rPr>
          <w:sz w:val="20"/>
          <w:szCs w:val="20"/>
          <w:color w:val="auto"/>
        </w:rPr>
      </w:pPr>
    </w:p>
    <w:p>
      <w:pPr>
        <w:ind w:right="340" w:firstLine="722"/>
        <w:spacing w:after="0" w:line="282" w:lineRule="auto"/>
        <w:rPr>
          <w:sz w:val="20"/>
          <w:szCs w:val="20"/>
          <w:color w:val="auto"/>
        </w:rPr>
      </w:pPr>
      <w:r>
        <w:rPr>
          <w:rFonts w:ascii="Times New Roman" w:cs="Times New Roman" w:eastAsia="Times New Roman" w:hAnsi="Times New Roman"/>
          <w:sz w:val="18"/>
          <w:szCs w:val="18"/>
          <w:color w:val="auto"/>
        </w:rPr>
        <w:t xml:space="preserve">Sio Gene Therapies is developing AXO-AAV-GM2 for the treatment of GM2 gangliosidosis. AXO-AAV-GM2 delivers two AAVrh8 vectors, each encoding either </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 xml:space="preserve"> genes, directly to the CNS with the intention of producing functioning ß-hexosaminidase.</w:t>
      </w:r>
    </w:p>
    <w:p>
      <w:pPr>
        <w:spacing w:after="0" w:line="270" w:lineRule="exact"/>
        <w:rPr>
          <w:sz w:val="20"/>
          <w:szCs w:val="20"/>
          <w:color w:val="auto"/>
        </w:rPr>
      </w:pPr>
    </w:p>
    <w:p>
      <w:pPr>
        <w:ind w:right="460" w:firstLine="722"/>
        <w:spacing w:after="0" w:line="282" w:lineRule="auto"/>
        <w:rPr>
          <w:sz w:val="20"/>
          <w:szCs w:val="20"/>
          <w:color w:val="auto"/>
        </w:rPr>
      </w:pPr>
      <w:r>
        <w:rPr>
          <w:rFonts w:ascii="Times New Roman" w:cs="Times New Roman" w:eastAsia="Times New Roman" w:hAnsi="Times New Roman"/>
          <w:sz w:val="18"/>
          <w:szCs w:val="18"/>
          <w:color w:val="auto"/>
        </w:rPr>
        <w:t>Amicus, in collaboration with Nationwide Children’s Hospital, is developing a gene therapy candidate for CLN1 disease that is currently in discovery stage.</w:t>
      </w:r>
    </w:p>
    <w:p>
      <w:pPr>
        <w:spacing w:after="0" w:line="270" w:lineRule="exact"/>
        <w:rPr>
          <w:sz w:val="20"/>
          <w:szCs w:val="20"/>
          <w:color w:val="auto"/>
        </w:rPr>
      </w:pPr>
    </w:p>
    <w:p>
      <w:pPr>
        <w:ind w:firstLine="722"/>
        <w:spacing w:after="0" w:line="282" w:lineRule="auto"/>
        <w:rPr>
          <w:sz w:val="20"/>
          <w:szCs w:val="20"/>
          <w:color w:val="auto"/>
        </w:rPr>
      </w:pPr>
      <w:r>
        <w:rPr>
          <w:rFonts w:ascii="Times New Roman" w:cs="Times New Roman" w:eastAsia="Times New Roman" w:hAnsi="Times New Roman"/>
          <w:sz w:val="18"/>
          <w:szCs w:val="18"/>
          <w:color w:val="auto"/>
        </w:rPr>
        <w:t xml:space="preserve">Novartis, through its acquisition of AveXis, is developing a product candidate for the treatment of Rett syndrome, AVXS-201, a preclinical AAV9 capsid vector that carries AAV ITR sequences and a minimal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promoter that is designed to be active in the CNS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in an unregulated manner. In addition, the Rett Syndrome Research Trust, Amicus Therapeutics and Sarepta have disclosed the existence of discovery-stage gene therapy programs although the development status of these programs is unclear.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722"/>
        <w:spacing w:after="0" w:line="266" w:lineRule="auto"/>
        <w:rPr>
          <w:sz w:val="20"/>
          <w:szCs w:val="20"/>
          <w:color w:val="auto"/>
        </w:rPr>
      </w:pPr>
      <w:r>
        <w:rPr>
          <w:rFonts w:ascii="Times New Roman" w:cs="Times New Roman" w:eastAsia="Times New Roman" w:hAnsi="Times New Roman"/>
          <w:sz w:val="18"/>
          <w:szCs w:val="18"/>
          <w:color w:val="auto"/>
        </w:rPr>
        <w:t>Through our collaboration with the UT Southwestern Gene Therapy Program, we have access to a new, state-of-the-art AAV production facility which includes approximately 2,000 square feet of laboratory space for process development and research-grade AAV vector production, as well as a 1,000 square foot ISO7 cleanroom facility dedicated solely for cGMP AAV vector manufacture.</w:t>
      </w:r>
    </w:p>
    <w:p>
      <w:pPr>
        <w:spacing w:after="0" w:line="284"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This facility is outfitted with new equipment purchased in 2018 and 2019 for research-grade and GMP-grade AAV vector production. The process development lab is equipped with two Sartorius Biostat B Controller Stations with four 10 liter glass bioreactors and four 2 liter glass bioreactors, a Sartorius Biostat STR 50 liter bioreactor with controller and a Sartorius AMBR 250 process development bioreactor. Our strategic partnership with UT Southwestern provides us with access to this facility to allow for process development for development programs.</w:t>
      </w:r>
    </w:p>
    <w:p>
      <w:pPr>
        <w:spacing w:after="0" w:line="288" w:lineRule="exact"/>
        <w:rPr>
          <w:sz w:val="20"/>
          <w:szCs w:val="20"/>
          <w:color w:val="auto"/>
        </w:rPr>
      </w:pPr>
    </w:p>
    <w:p>
      <w:pPr>
        <w:ind w:right="40" w:firstLine="722"/>
        <w:spacing w:after="0" w:line="261" w:lineRule="auto"/>
        <w:rPr>
          <w:sz w:val="20"/>
          <w:szCs w:val="20"/>
          <w:color w:val="auto"/>
        </w:rPr>
      </w:pPr>
      <w:r>
        <w:rPr>
          <w:rFonts w:ascii="Times New Roman" w:cs="Times New Roman" w:eastAsia="Times New Roman" w:hAnsi="Times New Roman"/>
          <w:sz w:val="18"/>
          <w:szCs w:val="18"/>
          <w:color w:val="auto"/>
        </w:rPr>
        <w:t>The UT Southwestern GMP facility is equipped with a Sartorius Biostat STR 50 liter bioreactor with controller, a Sartorius Biostat STR 500 liter bioreactor with controller, Sartoflow Smart tangential flow filtration unit, a Sartorius FlexAct UD, two bioprocessing workstations and an automated dispenser to support our AAV9 manufacturing needs for early clinical trials. We believe this capacity will be sufficient to meet the clinical demand for our full pipeline of product candidates.</w:t>
      </w:r>
    </w:p>
    <w:p>
      <w:pPr>
        <w:spacing w:after="0" w:line="288"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In addition to our manufacturing capabilities provided by UT Southwestern, we have entered into a lease agreement to occupy and configure an approximately 187,000-square-foot commercial-scale cGMP manufacturing facility in Durham, North Carolina. We are currently engaged with engineering, architectural and construction firms to develop and execute our comprehensive facility build strategy, including pipeline and capacity planning assessment, benchmarking, quality systems and programs, and other strategic efforts related to the design and build out of the new facility to support commercial scale manufacturing of our pipeline programs.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140" w:firstLine="722"/>
        <w:spacing w:after="0" w:line="254"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UT Southwestern, as amended in April 2020. Under the UT Southwestern Agreement, UT Southwestern is primarily responsible for preclinical development activities with respect to licensed products for use in certain specified indications (up to IND-enabling studies), and we are responsible for all subsequent clinical development and commercialization activities with respect to licensed products. UT Southwestern will conduct such preclinical activities for a two-year period under mutually agreed upon sponsored research agreements that are funded by us. During the initial research phase, we have the right to expand the scope of specified indications under the UT Southwestern Agreement. We currently have 15 product candidates pursuant to the UT Southwestern Agreement, option rights with respect to KCNQ2 and options for an additional four indications. The research program activities will be overseen by a joint steering committee.</w:t>
      </w:r>
    </w:p>
    <w:p>
      <w:pPr>
        <w:spacing w:after="0" w:line="300"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at no cost. We are required to use commercially reasonable efforts to develop, obtain regulatory approval for, and commercialize at least one licensed product.</w:t>
      </w:r>
    </w:p>
    <w:p>
      <w:pPr>
        <w:spacing w:after="0" w:line="295" w:lineRule="exact"/>
        <w:rPr>
          <w:sz w:val="20"/>
          <w:szCs w:val="20"/>
          <w:color w:val="auto"/>
        </w:rPr>
      </w:pPr>
    </w:p>
    <w:p>
      <w:pPr>
        <w:ind w:right="60" w:firstLine="722"/>
        <w:spacing w:after="0" w:line="282" w:lineRule="auto"/>
        <w:rPr>
          <w:sz w:val="20"/>
          <w:szCs w:val="20"/>
          <w:color w:val="auto"/>
        </w:rPr>
      </w:pPr>
      <w:r>
        <w:rPr>
          <w:rFonts w:ascii="Times New Roman" w:cs="Times New Roman" w:eastAsia="Times New Roman" w:hAnsi="Times New Roman"/>
          <w:sz w:val="18"/>
          <w:szCs w:val="18"/>
          <w:color w:val="auto"/>
        </w:rPr>
        <w:t>In connection with the license grant, we issued to UT Southwestern 2,179,000 shares of our common stock. We do not have any future milestone or royalty obligations to UT Southwestern under the UT Southwestern Agreement, other than costs related to the maintenance of patents.</w:t>
      </w:r>
    </w:p>
    <w:p>
      <w:pPr>
        <w:spacing w:after="0" w:line="270" w:lineRule="exact"/>
        <w:rPr>
          <w:sz w:val="20"/>
          <w:szCs w:val="20"/>
          <w:color w:val="auto"/>
        </w:rPr>
      </w:pPr>
    </w:p>
    <w:p>
      <w:pPr>
        <w:jc w:val="both"/>
        <w:ind w:firstLine="722"/>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Queen’s University at Kingston</w:t>
      </w:r>
    </w:p>
    <w:p>
      <w:pPr>
        <w:spacing w:after="0" w:line="121" w:lineRule="exact"/>
        <w:rPr>
          <w:sz w:val="20"/>
          <w:szCs w:val="20"/>
          <w:color w:val="auto"/>
        </w:rPr>
      </w:pPr>
    </w:p>
    <w:p>
      <w:pPr>
        <w:ind w:right="60" w:firstLine="722"/>
        <w:spacing w:after="0" w:line="253" w:lineRule="auto"/>
        <w:rPr>
          <w:sz w:val="20"/>
          <w:szCs w:val="20"/>
          <w:color w:val="auto"/>
        </w:rPr>
      </w:pPr>
      <w:r>
        <w:rPr>
          <w:rFonts w:ascii="Times New Roman" w:cs="Times New Roman" w:eastAsia="Times New Roman" w:hAnsi="Times New Roman"/>
          <w:sz w:val="18"/>
          <w:szCs w:val="18"/>
          <w:color w:val="auto"/>
        </w:rPr>
        <w:t>In February 2020, we entered into a license agreement, or the Queen’s University Agreement, with Queen’s University at Kingston, or Queen’s University. In connection with the Queen’s University Agreement, we obtained an exclusive, perpetual, worldwide, royalty-bearing license, with the right to grant sublicenses through multiple tiers, under certain patent rights and know-how related to bicistronic vectors, including with respect to TSHA-101, of Queen’s University, including certain improvements to such patent rights and know-how, to develop products in any field which use one or more valid claims of the patents licensed under the Queen’s University Agreement, or the Licensed Patents, or the technology, information and intellectual property related to the patents licensed under the Queen’s University Agreement, or the Licensed Technology and together with the Licensed Patents, the Licensed Products, and to make, have made, use, sell, offer for sale, import and export Licensed Products and otherwise exploit such patents and know-how for use in certain specified indications. We also obtained an exclusive right of first negotiation to license certain next-generation technology and improvements of Queen’s University that do not constitute an already-licensed improvement to the Licensed Technology. The Licensed Patent will expire in 2037, absent any patent term adjustment or extension.</w:t>
      </w:r>
    </w:p>
    <w:p>
      <w:pPr>
        <w:spacing w:after="0" w:line="302" w:lineRule="exact"/>
        <w:rPr>
          <w:sz w:val="20"/>
          <w:szCs w:val="20"/>
          <w:color w:val="auto"/>
        </w:rPr>
      </w:pPr>
    </w:p>
    <w:p>
      <w:pPr>
        <w:ind w:right="120" w:firstLine="722"/>
        <w:spacing w:after="0" w:line="266" w:lineRule="auto"/>
        <w:rPr>
          <w:sz w:val="20"/>
          <w:szCs w:val="20"/>
          <w:color w:val="auto"/>
        </w:rPr>
      </w:pPr>
      <w:r>
        <w:rPr>
          <w:rFonts w:ascii="Times New Roman" w:cs="Times New Roman" w:eastAsia="Times New Roman" w:hAnsi="Times New Roman"/>
          <w:sz w:val="18"/>
          <w:szCs w:val="18"/>
          <w:color w:val="auto"/>
        </w:rPr>
        <w:t>We are required to use commercially reasonable efforts to exploit the Licensed Technology in countries where it is commercially reasonable to develop Licensed Products, including by meeting certain diligence milestones within certain specified periods of time. In addition, we have final decision-making authority on the filing, prosecution or maintenance of Licensed Patents.</w:t>
      </w:r>
    </w:p>
    <w:p>
      <w:pPr>
        <w:spacing w:after="0" w:line="284" w:lineRule="exact"/>
        <w:rPr>
          <w:sz w:val="20"/>
          <w:szCs w:val="20"/>
          <w:color w:val="auto"/>
        </w:rPr>
      </w:pPr>
    </w:p>
    <w:p>
      <w:pPr>
        <w:ind w:right="60" w:firstLine="722"/>
        <w:spacing w:after="0" w:line="254" w:lineRule="auto"/>
        <w:rPr>
          <w:sz w:val="20"/>
          <w:szCs w:val="20"/>
          <w:color w:val="auto"/>
        </w:rPr>
      </w:pPr>
      <w:r>
        <w:rPr>
          <w:rFonts w:ascii="Times New Roman" w:cs="Times New Roman" w:eastAsia="Times New Roman" w:hAnsi="Times New Roman"/>
          <w:sz w:val="18"/>
          <w:szCs w:val="18"/>
          <w:color w:val="auto"/>
        </w:rPr>
        <w:t>In connection with the Queen’s University Agreement, we paid Queen’s University a one-time fee of $3.0 million as an upfront fee and $0.2 million to reimburse Queen’s University for certain plasmid production costs. We are obligated to pay Queen’s University up to $10.0 million in the aggregate upon achievement of certain regulatory milestones, up to $10.0 million in the aggregate upon achievement of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priority review voucher related to a Licensed Product, not to exceed a low eight-figure amount.</w:t>
      </w:r>
    </w:p>
    <w:p>
      <w:pPr>
        <w:spacing w:after="0" w:line="300" w:lineRule="exact"/>
        <w:rPr>
          <w:sz w:val="20"/>
          <w:szCs w:val="20"/>
          <w:color w:val="auto"/>
        </w:rPr>
      </w:pPr>
    </w:p>
    <w:p>
      <w:pPr>
        <w:ind w:firstLine="722"/>
        <w:spacing w:after="0" w:line="266" w:lineRule="auto"/>
        <w:rPr>
          <w:sz w:val="20"/>
          <w:szCs w:val="20"/>
          <w:color w:val="auto"/>
        </w:rPr>
      </w:pPr>
      <w:r>
        <w:rPr>
          <w:rFonts w:ascii="Times New Roman" w:cs="Times New Roman" w:eastAsia="Times New Roman" w:hAnsi="Times New Roman"/>
          <w:sz w:val="18"/>
          <w:szCs w:val="18"/>
          <w:color w:val="auto"/>
        </w:rPr>
        <w:t>The Queen’s University Agreement expires upon the expiration of the last royalty term of a Licensed Product. Either party may terminate the agreement upon an uncured material breach of the agreement or insolvency of the other party. We may elect to terminate the agreement upon specified prior written notice to Queen’s University.</w:t>
      </w:r>
    </w:p>
    <w:p>
      <w:pPr>
        <w:spacing w:after="0" w:line="284" w:lineRule="exact"/>
        <w:rPr>
          <w:sz w:val="20"/>
          <w:szCs w:val="20"/>
          <w:color w:val="auto"/>
        </w:rPr>
      </w:pPr>
    </w:p>
    <w:p>
      <w:pPr>
        <w:ind w:right="20" w:firstLine="722"/>
        <w:spacing w:after="0" w:line="282" w:lineRule="auto"/>
        <w:rPr>
          <w:sz w:val="20"/>
          <w:szCs w:val="20"/>
          <w:color w:val="auto"/>
        </w:rPr>
      </w:pPr>
      <w:r>
        <w:rPr>
          <w:rFonts w:ascii="Times New Roman" w:cs="Times New Roman" w:eastAsia="Times New Roman" w:hAnsi="Times New Roman"/>
          <w:sz w:val="18"/>
          <w:szCs w:val="18"/>
          <w:color w:val="auto"/>
        </w:rPr>
        <w:t>We were also obligated under the terms of a separate research grant agreement to reimburse Queen’s University for certain clinical manufacturing production costs of approximately $3.8 million all of which was paid in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with Abeona</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CLN1</w:t>
      </w:r>
    </w:p>
    <w:p>
      <w:pPr>
        <w:spacing w:after="0" w:line="119" w:lineRule="exact"/>
        <w:rPr>
          <w:sz w:val="20"/>
          <w:szCs w:val="20"/>
          <w:color w:val="auto"/>
        </w:rPr>
      </w:pPr>
    </w:p>
    <w:p>
      <w:pPr>
        <w:ind w:right="140" w:firstLine="722"/>
        <w:spacing w:after="0" w:line="261"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in humans.</w:t>
      </w:r>
    </w:p>
    <w:p>
      <w:pPr>
        <w:spacing w:after="0" w:line="288" w:lineRule="exact"/>
        <w:rPr>
          <w:sz w:val="20"/>
          <w:szCs w:val="20"/>
          <w:color w:val="auto"/>
        </w:rPr>
      </w:pPr>
    </w:p>
    <w:p>
      <w:pPr>
        <w:ind w:right="380" w:firstLine="722"/>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40" w:firstLine="722"/>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for total consideration of $4.0 million.</w:t>
      </w:r>
    </w:p>
    <w:p>
      <w:pPr>
        <w:spacing w:after="0" w:line="300" w:lineRule="exact"/>
        <w:rPr>
          <w:sz w:val="20"/>
          <w:szCs w:val="20"/>
          <w:color w:val="auto"/>
        </w:rPr>
      </w:pPr>
    </w:p>
    <w:p>
      <w:pPr>
        <w:ind w:right="160" w:firstLine="722"/>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ind w:left="740"/>
        <w:spacing w:after="0"/>
        <w:rPr>
          <w:sz w:val="20"/>
          <w:szCs w:val="20"/>
          <w:color w:val="auto"/>
        </w:rPr>
      </w:pPr>
      <w:r>
        <w:rPr>
          <w:rFonts w:ascii="Times New Roman" w:cs="Times New Roman" w:eastAsia="Times New Roman" w:hAnsi="Times New Roman"/>
          <w:sz w:val="18"/>
          <w:szCs w:val="18"/>
          <w:i w:val="1"/>
          <w:iCs w:val="1"/>
          <w:color w:val="auto"/>
        </w:rPr>
        <w:t>Rett Syndrome</w:t>
      </w:r>
    </w:p>
    <w:p>
      <w:pPr>
        <w:spacing w:after="0" w:line="119" w:lineRule="exact"/>
        <w:rPr>
          <w:sz w:val="20"/>
          <w:szCs w:val="20"/>
          <w:color w:val="auto"/>
        </w:rPr>
      </w:pPr>
    </w:p>
    <w:p>
      <w:pPr>
        <w:ind w:right="120" w:firstLine="722"/>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right="380" w:firstLine="722"/>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295" w:lineRule="exact"/>
        <w:rPr>
          <w:sz w:val="20"/>
          <w:szCs w:val="20"/>
          <w:color w:val="auto"/>
        </w:rPr>
      </w:pPr>
    </w:p>
    <w:p>
      <w:pPr>
        <w:ind w:right="160" w:firstLine="722"/>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also intend to seek patent protection or rely upon trade secret rights to protect other technologies that may be used to discover and validate targets, and that may be 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spacing w:after="0" w:line="300"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As of January 26, 2021, we in-license five pending Patent Cooperation Treaty, or PCT, applications, 27 pending foreign patent applications and 13 pending United States patent applications, of which seven are United States utility patent applications, which, if issued, are expected to expire between 2037and 2040, without taking into account any possible patent term adjustment, and six that are United States provisional patent applications, where patent applications claiming priority to these provisional patent applications, if issued, are expected to expire in 2041, without taking into account any possible patent term adjustment. Our policy is to file patent applications to protect technology, inventions and improvements to inventions that may be commercially important to the development of our business.</w:t>
      </w:r>
    </w:p>
    <w:p>
      <w:pPr>
        <w:spacing w:after="0" w:line="295"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We in-license one pending PCT application and one United States utility patent application that relate to our TSHA-103 SLC6A1 program. This United States utility patent application, and any foreign patent applications based on this PCT application, if issued, are expected to expire in 2040, without taking into account any possible patent term adjustment. We in-license one PCT patent application and one United States utility patent application that relate to our TSHA-104 SURF1 program. This United States utility patent application, and any foreign patent applications based on this PCT application, if issued, are expected to expire in 2040, without taking into account any possible patent term adjustment. Patent applications directed to our most advanced product candidates are summarized below:</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TSHA-101</w:t>
      </w:r>
    </w:p>
    <w:p>
      <w:pPr>
        <w:spacing w:after="0" w:line="117" w:lineRule="exact"/>
        <w:rPr>
          <w:sz w:val="20"/>
          <w:szCs w:val="20"/>
          <w:color w:val="auto"/>
        </w:rPr>
      </w:pPr>
    </w:p>
    <w:p>
      <w:pPr>
        <w:jc w:val="both"/>
        <w:ind w:right="260" w:firstLine="722"/>
        <w:spacing w:after="0" w:line="267" w:lineRule="auto"/>
        <w:rPr>
          <w:sz w:val="20"/>
          <w:szCs w:val="20"/>
          <w:color w:val="auto"/>
        </w:rPr>
      </w:pPr>
      <w:r>
        <w:rPr>
          <w:rFonts w:ascii="Times New Roman" w:cs="Times New Roman" w:eastAsia="Times New Roman" w:hAnsi="Times New Roman"/>
          <w:sz w:val="18"/>
          <w:szCs w:val="18"/>
          <w:color w:val="auto"/>
        </w:rPr>
        <w:t xml:space="preserve">We in-license a United States utility patent application directed to a bicistronic </w:t>
      </w:r>
      <w:r>
        <w:rPr>
          <w:rFonts w:ascii="Times New Roman" w:cs="Times New Roman" w:eastAsia="Times New Roman" w:hAnsi="Times New Roman"/>
          <w:sz w:val="18"/>
          <w:szCs w:val="18"/>
          <w:i w:val="1"/>
          <w:iCs w:val="1"/>
          <w:color w:val="auto"/>
        </w:rPr>
        <w:t>HEXB</w:t>
      </w:r>
      <w:r>
        <w:rPr>
          <w:rFonts w:ascii="Times New Roman" w:cs="Times New Roman" w:eastAsia="Times New Roman" w:hAnsi="Times New Roman"/>
          <w:sz w:val="18"/>
          <w:szCs w:val="18"/>
          <w:color w:val="auto"/>
        </w:rPr>
        <w:t>P2A</w:t>
      </w:r>
      <w:r>
        <w:rPr>
          <w:rFonts w:ascii="Times New Roman" w:cs="Times New Roman" w:eastAsia="Times New Roman" w:hAnsi="Times New Roman"/>
          <w:sz w:val="18"/>
          <w:szCs w:val="18"/>
          <w:i w:val="1"/>
          <w:iCs w:val="1"/>
          <w:color w:val="auto"/>
        </w:rPr>
        <w:t>-HEXA</w:t>
      </w:r>
      <w:r>
        <w:rPr>
          <w:rFonts w:ascii="Times New Roman" w:cs="Times New Roman" w:eastAsia="Times New Roman" w:hAnsi="Times New Roman"/>
          <w:sz w:val="18"/>
          <w:szCs w:val="18"/>
          <w:color w:val="auto"/>
        </w:rPr>
        <w:t xml:space="preserve"> transgene packaged into an AAV vector, and methods of using that vector to treat GM2 gangliosidosis, such as Tay-Sachs disease or Sandhoff disease, which, if issued, is expected to expire in 2037, without taking into account any possible patent term adjustment. This application has no foreign counterparts.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0" w:name="page41"/>
    <w:bookmarkEnd w:id="40"/>
    <w:p>
      <w:pPr>
        <w:ind w:left="740"/>
        <w:spacing w:after="0"/>
        <w:rPr>
          <w:sz w:val="20"/>
          <w:szCs w:val="20"/>
          <w:color w:val="auto"/>
        </w:rPr>
      </w:pPr>
      <w:r>
        <w:rPr>
          <w:rFonts w:ascii="Times New Roman" w:cs="Times New Roman" w:eastAsia="Times New Roman" w:hAnsi="Times New Roman"/>
          <w:sz w:val="18"/>
          <w:szCs w:val="18"/>
          <w:i w:val="1"/>
          <w:iCs w:val="1"/>
          <w:color w:val="auto"/>
        </w:rPr>
        <w:t>TSHA-118</w:t>
      </w:r>
    </w:p>
    <w:p>
      <w:pPr>
        <w:spacing w:after="0" w:line="119" w:lineRule="exact"/>
        <w:rPr>
          <w:sz w:val="20"/>
          <w:szCs w:val="20"/>
          <w:color w:val="auto"/>
        </w:rPr>
      </w:pPr>
    </w:p>
    <w:p>
      <w:pPr>
        <w:ind w:right="140" w:firstLine="722"/>
        <w:spacing w:after="0" w:line="256" w:lineRule="auto"/>
        <w:rPr>
          <w:sz w:val="20"/>
          <w:szCs w:val="20"/>
          <w:color w:val="auto"/>
        </w:rPr>
      </w:pPr>
      <w:r>
        <w:rPr>
          <w:rFonts w:ascii="Times New Roman" w:cs="Times New Roman" w:eastAsia="Times New Roman" w:hAnsi="Times New Roman"/>
          <w:sz w:val="18"/>
          <w:szCs w:val="18"/>
          <w:color w:val="auto"/>
        </w:rPr>
        <w:t>We in-license certain patent rights directed to a palmitoyl-protein thioesterase 1-encoding transgene packaged into an AAV vector, and methods of using that vector to treat CLN1 disease (one of the forms of Batten disease). Specifically, pursuant to our license agreement with Abeona we have in-licensed one PCT patent application assigned to Abeona. Patent applications based on this PCT application, if issued, are expected to expire in 2040, without taking into account any possible patent term adjustment. In addition, pursuant to the Abeona CLN1 agreement, we have sublicensed 15 pending patent applications worldwide assigned to the University of North Carolina at Chapel Hill. These patent applications, if issued, are expected to expire in 2037, without taking into account any possible patent term adjustment.</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TSHA-102</w:t>
      </w:r>
    </w:p>
    <w:p>
      <w:pPr>
        <w:spacing w:after="0" w:line="117"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 xml:space="preserve">We in-license one PCT patent application and one United States utility patent application directed to a minigene encoding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packaged into an AAV vector, and methods of using that vector to treat Rett syndrome. This United States utility patent application, and any foreign patent applications based on this PCT application, if issued, are expected to expire in 2040, without taking into account any possible patent term adjustment. We also in-license 15 pending patent applications worldwide directed to MECP2 expression cassettes for gene therapy. These patent applications, if issued, are expected to expire in 2038, without taking into account any possible patent term adjustment.</w:t>
      </w:r>
    </w:p>
    <w:p>
      <w:pPr>
        <w:spacing w:after="0" w:line="293" w:lineRule="exact"/>
        <w:rPr>
          <w:sz w:val="20"/>
          <w:szCs w:val="20"/>
          <w:color w:val="auto"/>
        </w:rPr>
      </w:pPr>
    </w:p>
    <w:p>
      <w:pPr>
        <w:ind w:right="120" w:firstLine="722"/>
        <w:spacing w:after="0" w:line="258" w:lineRule="auto"/>
        <w:rPr>
          <w:sz w:val="20"/>
          <w:szCs w:val="20"/>
          <w:color w:val="auto"/>
        </w:rPr>
      </w:pPr>
      <w:r>
        <w:rPr>
          <w:rFonts w:ascii="Times New Roman" w:cs="Times New Roman" w:eastAsia="Times New Roman" w:hAnsi="Times New Roman"/>
          <w:sz w:val="18"/>
          <w:szCs w:val="18"/>
          <w:color w:val="auto"/>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and trade secrets by maintaining physical security of our premises and physical and electronic security of our information technology systems.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360" w:firstLine="722"/>
        <w:spacing w:after="0" w:line="261"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288" w:lineRule="exact"/>
        <w:rPr>
          <w:sz w:val="20"/>
          <w:szCs w:val="20"/>
          <w:color w:val="auto"/>
        </w:rPr>
      </w:pPr>
    </w:p>
    <w:p>
      <w:pPr>
        <w:ind w:right="240" w:firstLine="722"/>
        <w:spacing w:after="0" w:line="261" w:lineRule="auto"/>
        <w:rPr>
          <w:sz w:val="20"/>
          <w:szCs w:val="20"/>
          <w:color w:val="auto"/>
        </w:rPr>
      </w:pPr>
      <w:r>
        <w:rPr>
          <w:rFonts w:ascii="Times New Roman" w:cs="Times New Roman" w:eastAsia="Times New Roman" w:hAnsi="Times New Roman"/>
          <w:sz w:val="18"/>
          <w:szCs w:val="18"/>
          <w:color w:val="auto"/>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Biologics Regulation</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process required by the FDA before biological product candidates may be marketed in the United States generally involves the following:</w:t>
      </w:r>
    </w:p>
    <w:p>
      <w:pPr>
        <w:spacing w:after="0" w:line="117" w:lineRule="exact"/>
        <w:rPr>
          <w:sz w:val="20"/>
          <w:szCs w:val="20"/>
          <w:color w:val="auto"/>
        </w:rPr>
      </w:pPr>
    </w:p>
    <w:p>
      <w:pPr>
        <w:ind w:left="1080" w:right="220" w:hanging="357"/>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and animal studies performed in accordance with applicable regulations, including the GLP regulations;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commenced;</w:t>
      </w:r>
    </w:p>
    <w:p>
      <w:pPr>
        <w:spacing w:after="0" w:line="117" w:lineRule="exact"/>
        <w:rPr>
          <w:rFonts w:ascii="Times New Roman" w:cs="Times New Roman" w:eastAsia="Times New Roman" w:hAnsi="Times New Roman"/>
          <w:sz w:val="18"/>
          <w:szCs w:val="18"/>
          <w:color w:val="auto"/>
        </w:rPr>
      </w:pPr>
    </w:p>
    <w:p>
      <w:pPr>
        <w:ind w:left="1080" w:right="440" w:hanging="357"/>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biological product candidate for its intended purpose;</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after completion of all pivotal clinical trials;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80" w:hanging="357"/>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spacing w:after="0" w:line="71"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17" w:lineRule="exact"/>
        <w:rPr>
          <w:rFonts w:ascii="Times New Roman" w:cs="Times New Roman" w:eastAsia="Times New Roman" w:hAnsi="Times New Roman"/>
          <w:sz w:val="18"/>
          <w:szCs w:val="18"/>
          <w:color w:val="auto"/>
        </w:rPr>
      </w:pPr>
    </w:p>
    <w:p>
      <w:pPr>
        <w:ind w:left="1080" w:right="340" w:hanging="357"/>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a BLA to permit commercial marketing of the product for particular indications for use in the United States.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121"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96"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at the local level as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300" w:lineRule="exact"/>
        <w:rPr>
          <w:sz w:val="20"/>
          <w:szCs w:val="20"/>
          <w:color w:val="auto"/>
        </w:rPr>
      </w:pPr>
    </w:p>
    <w:p>
      <w:pPr>
        <w:ind w:right="40" w:firstLine="722"/>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298" w:lineRule="exact"/>
        <w:rPr>
          <w:sz w:val="20"/>
          <w:szCs w:val="20"/>
          <w:color w:val="auto"/>
        </w:rPr>
      </w:pPr>
    </w:p>
    <w:p>
      <w:pPr>
        <w:ind w:firstLine="722"/>
        <w:spacing w:after="0" w:line="282" w:lineRule="auto"/>
        <w:rPr>
          <w:sz w:val="20"/>
          <w:szCs w:val="20"/>
          <w:color w:val="auto"/>
        </w:rPr>
      </w:pPr>
      <w:r>
        <w:rPr>
          <w:rFonts w:ascii="Times New Roman" w:cs="Times New Roman" w:eastAsia="Times New Roman" w:hAnsi="Times New Roman"/>
          <w:sz w:val="18"/>
          <w:szCs w:val="18"/>
          <w:color w:val="auto"/>
        </w:rPr>
        <w:t>For purposes of BLA approval of a product candidate, human clinical trials are typically conducted in three sequential phases that may overlap or be combined:</w:t>
      </w:r>
    </w:p>
    <w:p>
      <w:pPr>
        <w:spacing w:after="0" w:line="54" w:lineRule="exact"/>
        <w:rPr>
          <w:sz w:val="20"/>
          <w:szCs w:val="20"/>
          <w:color w:val="auto"/>
        </w:rPr>
      </w:pPr>
    </w:p>
    <w:p>
      <w:pPr>
        <w:ind w:left="1080" w:hanging="357"/>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For gene therapies, the investigational product is initially introduced into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67" w:lineRule="exact"/>
        <w:rPr>
          <w:rFonts w:ascii="Times New Roman" w:cs="Times New Roman" w:eastAsia="Times New Roman" w:hAnsi="Times New Roman"/>
          <w:sz w:val="18"/>
          <w:szCs w:val="18"/>
          <w:color w:val="auto"/>
        </w:rPr>
      </w:pPr>
    </w:p>
    <w:p>
      <w:pPr>
        <w:ind w:left="1080" w:hanging="357"/>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to evaluate the preliminary efficacy, optimal dosages and dosing schedule and to identify possible adverse side effects and safety risks.</w:t>
      </w:r>
    </w:p>
    <w:p>
      <w:pPr>
        <w:spacing w:after="0" w:line="53" w:lineRule="exact"/>
        <w:rPr>
          <w:rFonts w:ascii="Times New Roman" w:cs="Times New Roman" w:eastAsia="Times New Roman" w:hAnsi="Times New Roman"/>
          <w:sz w:val="18"/>
          <w:szCs w:val="18"/>
          <w:color w:val="auto"/>
        </w:rPr>
      </w:pPr>
    </w:p>
    <w:p>
      <w:pPr>
        <w:ind w:left="1080" w:right="40" w:hanging="357"/>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2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When these phases overlap or are combined, the trials may be referred to as Phase 1/2 or Phase 2/3.</w:t>
      </w:r>
    </w:p>
    <w:p>
      <w:pPr>
        <w:spacing w:after="0" w:line="333" w:lineRule="exact"/>
        <w:rPr>
          <w:sz w:val="20"/>
          <w:szCs w:val="20"/>
          <w:color w:val="auto"/>
        </w:rPr>
      </w:pPr>
    </w:p>
    <w:p>
      <w:pPr>
        <w:ind w:firstLine="722"/>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42" w:name="page43"/>
    <w:bookmarkEnd w:id="42"/>
    <w:p>
      <w:pPr>
        <w:ind w:right="180" w:firstLine="722"/>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121" w:lineRule="exact"/>
        <w:rPr>
          <w:sz w:val="20"/>
          <w:szCs w:val="20"/>
          <w:color w:val="auto"/>
        </w:rPr>
      </w:pPr>
    </w:p>
    <w:p>
      <w:pPr>
        <w:ind w:right="100" w:firstLine="722"/>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spacing w:after="0" w:line="297" w:lineRule="exact"/>
        <w:rPr>
          <w:sz w:val="20"/>
          <w:szCs w:val="20"/>
          <w:color w:val="auto"/>
        </w:rPr>
      </w:pPr>
    </w:p>
    <w:p>
      <w:pPr>
        <w:ind w:right="40" w:firstLine="722"/>
        <w:spacing w:after="0" w:line="253" w:lineRule="auto"/>
        <w:rPr>
          <w:sz w:val="20"/>
          <w:szCs w:val="20"/>
          <w:color w:val="auto"/>
        </w:rPr>
      </w:pPr>
      <w:r>
        <w:rPr>
          <w:rFonts w:ascii="Times New Roman" w:cs="Times New Roman" w:eastAsia="Times New Roman" w:hAnsi="Times New Roman"/>
          <w:sz w:val="18"/>
          <w:szCs w:val="18"/>
          <w:color w:val="auto"/>
        </w:rPr>
        <w:t>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98" w:lineRule="exact"/>
        <w:rPr>
          <w:sz w:val="20"/>
          <w:szCs w:val="20"/>
          <w:color w:val="auto"/>
        </w:rPr>
      </w:pPr>
    </w:p>
    <w:p>
      <w:pPr>
        <w:ind w:right="60" w:firstLine="722"/>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spacing w:after="0" w:line="296"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3" w:name="page44"/>
    <w:bookmarkEnd w:id="43"/>
    <w:p>
      <w:pPr>
        <w:ind w:right="240"/>
        <w:spacing w:after="0" w:line="266" w:lineRule="auto"/>
        <w:rPr>
          <w:sz w:val="20"/>
          <w:szCs w:val="20"/>
          <w:color w:val="auto"/>
        </w:rPr>
      </w:pPr>
      <w:r>
        <w:rPr>
          <w:rFonts w:ascii="Times New Roman" w:cs="Times New Roman" w:eastAsia="Times New Roman" w:hAnsi="Times New Roman"/>
          <w:sz w:val="18"/>
          <w:szCs w:val="18"/>
          <w:color w:val="auto"/>
        </w:rPr>
        <w:t>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84"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295" w:lineRule="exact"/>
        <w:rPr>
          <w:sz w:val="20"/>
          <w:szCs w:val="20"/>
          <w:color w:val="auto"/>
        </w:rPr>
      </w:pPr>
    </w:p>
    <w:p>
      <w:pPr>
        <w:ind w:right="40" w:firstLine="722"/>
        <w:spacing w:after="0" w:line="254" w:lineRule="auto"/>
        <w:rPr>
          <w:sz w:val="20"/>
          <w:szCs w:val="20"/>
          <w:color w:val="auto"/>
        </w:rPr>
      </w:pPr>
      <w:r>
        <w:rPr>
          <w:rFonts w:ascii="Times New Roman" w:cs="Times New Roman" w:eastAsia="Times New Roman" w:hAnsi="Times New Roman"/>
          <w:sz w:val="18"/>
          <w:szCs w:val="18"/>
          <w:color w:val="auto"/>
        </w:rPr>
        <w:t>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3" w:lineRule="exact"/>
        <w:rPr>
          <w:sz w:val="20"/>
          <w:szCs w:val="20"/>
          <w:color w:val="auto"/>
        </w:rPr>
      </w:pPr>
    </w:p>
    <w:p>
      <w:pPr>
        <w:ind w:right="260" w:firstLine="8"/>
        <w:spacing w:after="0" w:line="253"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295" w:lineRule="exact"/>
        <w:rPr>
          <w:sz w:val="20"/>
          <w:szCs w:val="20"/>
          <w:color w:val="auto"/>
        </w:rPr>
      </w:pPr>
    </w:p>
    <w:p>
      <w:pPr>
        <w:ind w:right="120" w:firstLine="722"/>
        <w:spacing w:after="0" w:line="258"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w:t>
      </w:r>
    </w:p>
    <w:p>
      <w:pPr>
        <w:spacing w:after="0" w:line="291" w:lineRule="exact"/>
        <w:rPr>
          <w:sz w:val="20"/>
          <w:szCs w:val="20"/>
          <w:color w:val="auto"/>
        </w:rPr>
      </w:pPr>
    </w:p>
    <w:p>
      <w:pPr>
        <w:ind w:right="40" w:firstLine="722"/>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300" w:lineRule="exact"/>
        <w:rPr>
          <w:sz w:val="20"/>
          <w:szCs w:val="20"/>
          <w:color w:val="auto"/>
        </w:rPr>
      </w:pPr>
    </w:p>
    <w:p>
      <w:pPr>
        <w:ind w:right="60" w:firstLine="722"/>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80" w:firstLine="722"/>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295"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4" w:name="page45"/>
    <w:bookmarkEnd w:id="44"/>
    <w:p>
      <w:pPr>
        <w:ind w:right="540"/>
        <w:spacing w:after="0" w:line="282" w:lineRule="auto"/>
        <w:rPr>
          <w:sz w:val="20"/>
          <w:szCs w:val="20"/>
          <w:color w:val="auto"/>
        </w:rPr>
      </w:pPr>
      <w:r>
        <w:rPr>
          <w:rFonts w:ascii="Times New Roman" w:cs="Times New Roman" w:eastAsia="Times New Roman" w:hAnsi="Times New Roman"/>
          <w:sz w:val="18"/>
          <w:szCs w:val="18"/>
          <w:color w:val="auto"/>
        </w:rPr>
        <w:t>biologic for the same disease or condition, or the same drug or biologic for a different disease or condition. Among the other benefits of orphan drug designation are tax credits for certain research and a waiver of the BLA application fee.</w:t>
      </w:r>
    </w:p>
    <w:p>
      <w:pPr>
        <w:spacing w:after="0" w:line="270" w:lineRule="exact"/>
        <w:rPr>
          <w:sz w:val="20"/>
          <w:szCs w:val="20"/>
          <w:color w:val="auto"/>
        </w:rPr>
      </w:pPr>
    </w:p>
    <w:p>
      <w:pPr>
        <w:ind w:right="40" w:firstLine="722"/>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2024, with the potential for PRVs to be granted until September 30,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40" w:firstLine="722"/>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300" w:lineRule="exact"/>
        <w:rPr>
          <w:sz w:val="20"/>
          <w:szCs w:val="20"/>
          <w:color w:val="auto"/>
        </w:rPr>
      </w:pPr>
    </w:p>
    <w:p>
      <w:pPr>
        <w:ind w:right="80" w:firstLine="722"/>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80" w:hanging="35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1080" w:right="40" w:hanging="357"/>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080" w:right="160" w:hanging="357"/>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right="60" w:firstLine="722"/>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20" w:firstLine="722"/>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an approach to review and approval of biosimilars.</w:t>
      </w:r>
    </w:p>
    <w:p>
      <w:pPr>
        <w:spacing w:after="0" w:line="291"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300"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97" w:lineRule="exact"/>
        <w:rPr>
          <w:sz w:val="20"/>
          <w:szCs w:val="20"/>
          <w:color w:val="auto"/>
        </w:rPr>
      </w:pPr>
    </w:p>
    <w:p>
      <w:pPr>
        <w:ind w:right="140" w:firstLine="722"/>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the Health Insurance Portability and Accountability Act of 1996, or HIPAA, and similar foreign, federal and state fraud and abuse, transparency and privacy laws.</w:t>
      </w:r>
    </w:p>
    <w:p>
      <w:pPr>
        <w:spacing w:after="0" w:line="288"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295" w:lineRule="exact"/>
        <w:rPr>
          <w:sz w:val="20"/>
          <w:szCs w:val="20"/>
          <w:color w:val="auto"/>
        </w:rPr>
      </w:pPr>
    </w:p>
    <w:p>
      <w:pPr>
        <w:ind w:right="40" w:firstLine="722"/>
        <w:spacing w:after="0" w:line="255" w:lineRule="auto"/>
        <w:rPr>
          <w:sz w:val="20"/>
          <w:szCs w:val="20"/>
          <w:color w:val="auto"/>
        </w:rPr>
      </w:pPr>
      <w:r>
        <w:rPr>
          <w:rFonts w:ascii="Times New Roman" w:cs="Times New Roman" w:eastAsia="Times New Roman" w:hAnsi="Times New Roman"/>
          <w:sz w:val="18"/>
          <w:szCs w:val="18"/>
          <w:color w:val="auto"/>
        </w:rPr>
        <w:t>Civil and criminal false claims laws, and civil monetary penalty laws, including the civil False Claims Act, which can be enforced through civil whistleblower or qui tam actions,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w:t>
      </w:r>
    </w:p>
    <w:p>
      <w:pPr>
        <w:spacing w:after="0" w:line="297" w:lineRule="exact"/>
        <w:rPr>
          <w:sz w:val="20"/>
          <w:szCs w:val="20"/>
          <w:color w:val="auto"/>
        </w:rPr>
      </w:pPr>
    </w:p>
    <w:p>
      <w:pPr>
        <w:ind w:right="60" w:firstLine="722"/>
        <w:spacing w:after="0" w:line="253" w:lineRule="auto"/>
        <w:rPr>
          <w:sz w:val="20"/>
          <w:szCs w:val="20"/>
          <w:color w:val="auto"/>
        </w:rPr>
      </w:pPr>
      <w:r>
        <w:rPr>
          <w:rFonts w:ascii="Times New Roman" w:cs="Times New Roman" w:eastAsia="Times New Roman" w:hAnsi="Times New Roman"/>
          <w:sz w:val="18"/>
          <w:szCs w:val="18"/>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95" w:lineRule="exact"/>
        <w:rPr>
          <w:sz w:val="20"/>
          <w:szCs w:val="20"/>
          <w:color w:val="auto"/>
        </w:rPr>
      </w:pPr>
    </w:p>
    <w:p>
      <w:pPr>
        <w:ind w:right="160" w:firstLine="722"/>
        <w:spacing w:after="0" w:line="256" w:lineRule="auto"/>
        <w:rPr>
          <w:sz w:val="20"/>
          <w:szCs w:val="20"/>
          <w:color w:val="auto"/>
        </w:rPr>
      </w:pPr>
      <w:r>
        <w:rPr>
          <w:rFonts w:ascii="Times New Roman" w:cs="Times New Roman" w:eastAsia="Times New Roman" w:hAnsi="Times New Roman"/>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CMS information related to payments or other transfers of value made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w:t>
      </w:r>
    </w:p>
    <w:p>
      <w:pPr>
        <w:spacing w:after="0" w:line="295" w:lineRule="exact"/>
        <w:rPr>
          <w:sz w:val="20"/>
          <w:szCs w:val="20"/>
          <w:color w:val="auto"/>
        </w:rPr>
      </w:pPr>
    </w:p>
    <w:p>
      <w:pPr>
        <w:ind w:right="100" w:firstLine="722"/>
        <w:spacing w:after="0" w:line="261"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w:t>
      </w:r>
    </w:p>
    <w:p>
      <w:pPr>
        <w:ind w:right="20"/>
        <w:spacing w:after="0" w:line="252" w:lineRule="auto"/>
        <w:rPr>
          <w:sz w:val="20"/>
          <w:szCs w:val="20"/>
          <w:color w:val="auto"/>
        </w:rPr>
      </w:pPr>
      <w:r>
        <w:rPr>
          <w:rFonts w:ascii="Times New Roman" w:cs="Times New Roman" w:eastAsia="Times New Roman" w:hAnsi="Times New Roman"/>
          <w:sz w:val="18"/>
          <w:szCs w:val="18"/>
          <w:color w:val="auto"/>
        </w:rPr>
        <w:t>governmental third 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 the privacy and security of health information which, in some cases, differ from each</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ind w:right="60"/>
        <w:spacing w:after="0" w:line="255" w:lineRule="auto"/>
        <w:rPr>
          <w:sz w:val="20"/>
          <w:szCs w:val="20"/>
          <w:color w:val="auto"/>
        </w:rPr>
      </w:pPr>
      <w:r>
        <w:rPr>
          <w:rFonts w:ascii="Times New Roman" w:cs="Times New Roman" w:eastAsia="Times New Roman" w:hAnsi="Times New Roman"/>
          <w:sz w:val="18"/>
          <w:szCs w:val="18"/>
          <w:color w:val="auto"/>
        </w:rPr>
        <w:t>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 of non-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disgorgement, imprisonment, contractual damages, reputational harm, diminished profits and the curtailment or restructuring of our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295" w:lineRule="exact"/>
        <w:rPr>
          <w:sz w:val="20"/>
          <w:szCs w:val="20"/>
          <w:color w:val="auto"/>
        </w:rPr>
      </w:pPr>
    </w:p>
    <w:p>
      <w:pPr>
        <w:ind w:right="100" w:firstLine="722"/>
        <w:spacing w:after="0" w:line="255" w:lineRule="auto"/>
        <w:rPr>
          <w:sz w:val="20"/>
          <w:szCs w:val="20"/>
          <w:color w:val="auto"/>
        </w:rPr>
      </w:pPr>
      <w:r>
        <w:rPr>
          <w:rFonts w:ascii="Times New Roman" w:cs="Times New Roman" w:eastAsia="Times New Roman" w:hAnsi="Times New Roman"/>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297" w:lineRule="exact"/>
        <w:rPr>
          <w:sz w:val="20"/>
          <w:szCs w:val="20"/>
          <w:color w:val="auto"/>
        </w:rPr>
      </w:pPr>
    </w:p>
    <w:p>
      <w:pPr>
        <w:ind w:right="200" w:firstLine="722"/>
        <w:spacing w:after="0" w:line="26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84" w:lineRule="exact"/>
        <w:rPr>
          <w:sz w:val="20"/>
          <w:szCs w:val="20"/>
          <w:color w:val="auto"/>
        </w:rPr>
      </w:pPr>
    </w:p>
    <w:p>
      <w:pPr>
        <w:ind w:right="60" w:firstLine="722"/>
        <w:spacing w:after="0" w:line="255"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297" w:lineRule="exact"/>
        <w:rPr>
          <w:sz w:val="20"/>
          <w:szCs w:val="20"/>
          <w:color w:val="auto"/>
        </w:rPr>
      </w:pPr>
    </w:p>
    <w:p>
      <w:pPr>
        <w:ind w:right="20" w:firstLine="722"/>
        <w:spacing w:after="0" w:line="252"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291"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Congress has considered legislation that would repeal or repeal and replace all or part of the ACA. While Congress has not passed comprehensive repeal legislation, it has enacted laws that modify certain provisions of the ACA such as removing penalties, which started on January 1, 2019, for not complying with ACA’s individual mandate to carry health insurance, delaying the implementation of certain ACA-</w:t>
      </w:r>
    </w:p>
    <w:p>
      <w:pPr>
        <w:spacing w:after="0" w:line="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mandated fees, and increasing the point-of-sale discount that is owed by pharmaceutical manufacturers who participate in Medicare Part D. On December 14, 2018, a U.S. District Court Judge in Texas ruled that the ACA is unconstitutional in its entirety because the “individual mandate” was repealed by Congress as part of legislation enacted in 2017, informally titled the Tax Cuts and Jobs Act, or the Tax Act. On December 18, 2019, the U.S. Court of Appeals for the 5th Circuit ruled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It is also unclear how such litigation and other efforts to repeal and replace the ACA will impact the ACA and our business.</w:t>
      </w:r>
    </w:p>
    <w:p>
      <w:pPr>
        <w:spacing w:after="0" w:line="298" w:lineRule="exact"/>
        <w:rPr>
          <w:sz w:val="20"/>
          <w:szCs w:val="20"/>
          <w:color w:val="auto"/>
        </w:rPr>
      </w:pPr>
    </w:p>
    <w:p>
      <w:pPr>
        <w:ind w:right="100" w:firstLine="722"/>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2030 unless additional action is taken by Congress. However, pursuant to COVID-19 pandemic relief legislation, these Medicare sequester reductions have been suspended from May 1, 2020 through March 31, 2021 due to the COVID-19 pandemic.</w:t>
      </w:r>
    </w:p>
    <w:p>
      <w:pPr>
        <w:spacing w:after="0" w:line="291" w:lineRule="exact"/>
        <w:rPr>
          <w:sz w:val="20"/>
          <w:szCs w:val="20"/>
          <w:color w:val="auto"/>
        </w:rPr>
      </w:pPr>
    </w:p>
    <w:p>
      <w:pPr>
        <w:ind w:right="20" w:firstLine="722"/>
        <w:spacing w:after="0" w:line="252"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contains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The Trump administration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w:t>
      </w:r>
    </w:p>
    <w:p>
      <w:pPr>
        <w:spacing w:after="0" w:line="296" w:lineRule="exact"/>
        <w:rPr>
          <w:sz w:val="20"/>
          <w:szCs w:val="20"/>
          <w:color w:val="auto"/>
        </w:rPr>
      </w:pPr>
    </w:p>
    <w:p>
      <w:pPr>
        <w:ind w:right="120" w:firstLine="722"/>
        <w:spacing w:after="0" w:line="256" w:lineRule="auto"/>
        <w:rPr>
          <w:sz w:val="20"/>
          <w:szCs w:val="20"/>
          <w:color w:val="auto"/>
        </w:rPr>
      </w:pPr>
      <w:r>
        <w:rPr>
          <w:rFonts w:ascii="Times New Roman" w:cs="Times New Roman" w:eastAsia="Times New Roman" w:hAnsi="Times New Roman"/>
          <w:sz w:val="18"/>
          <w:szCs w:val="18"/>
          <w:color w:val="auto"/>
        </w:rPr>
        <w:t>Although a number of these and other proposed measures may require additional authorization to become effective, Congress and the Trump administration have each indicated that it will continue to seek new legislative and/or administrative measures to control drug costs. Additional state and federal healthcare reform measures may be adopted in the future. Further, it is possible that additional governmental action is taken in response to the COVID-19 pandemic.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380" w:firstLine="613"/>
        <w:spacing w:after="0" w:line="282" w:lineRule="auto"/>
        <w:rPr>
          <w:sz w:val="20"/>
          <w:szCs w:val="20"/>
          <w:color w:val="auto"/>
        </w:rPr>
      </w:pPr>
      <w:r>
        <w:rPr>
          <w:rFonts w:ascii="Times New Roman" w:cs="Times New Roman" w:eastAsia="Times New Roman" w:hAnsi="Times New Roman"/>
          <w:sz w:val="18"/>
          <w:szCs w:val="18"/>
          <w:color w:val="auto"/>
        </w:rPr>
        <w:t>Our human capital is integral to helping us achieve our mission of eradicating monogenic diseases of the CNS. We have built a culture of high performance based on our core values:</w:t>
      </w:r>
    </w:p>
    <w:p>
      <w:pPr>
        <w:spacing w:after="0" w:line="67" w:lineRule="exact"/>
        <w:rPr>
          <w:sz w:val="20"/>
          <w:szCs w:val="20"/>
          <w:color w:val="auto"/>
        </w:rPr>
      </w:pPr>
    </w:p>
    <w:p>
      <w:pPr>
        <w:ind w:left="780" w:hanging="219"/>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an ally to the rare disease community;</w:t>
      </w:r>
    </w:p>
    <w:p>
      <w:pPr>
        <w:spacing w:after="0" w:line="130"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Uncovering never-before-seen scientific discoveries;</w:t>
      </w:r>
    </w:p>
    <w:p>
      <w:pPr>
        <w:spacing w:after="0" w:line="130"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cutting-edge technologies and medicines;</w:t>
      </w:r>
    </w:p>
    <w:p>
      <w:pPr>
        <w:spacing w:after="0" w:line="225"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true sense for the term “partnership”; and</w:t>
      </w:r>
    </w:p>
    <w:p>
      <w:pPr>
        <w:spacing w:after="0" w:line="130" w:lineRule="exact"/>
        <w:rPr>
          <w:rFonts w:ascii="Times New Roman" w:cs="Times New Roman" w:eastAsia="Times New Roman" w:hAnsi="Times New Roman"/>
          <w:sz w:val="18"/>
          <w:szCs w:val="18"/>
          <w:color w:val="auto"/>
        </w:rPr>
      </w:pPr>
    </w:p>
    <w:p>
      <w:pPr>
        <w:ind w:left="780" w:hanging="219"/>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uncharted territory, just like the first Texas “wildcatters”.</w:t>
      </w:r>
    </w:p>
    <w:p>
      <w:pPr>
        <w:spacing w:after="0" w:line="347" w:lineRule="exact"/>
        <w:rPr>
          <w:sz w:val="20"/>
          <w:szCs w:val="20"/>
          <w:color w:val="auto"/>
        </w:rPr>
      </w:pPr>
    </w:p>
    <w:p>
      <w:pPr>
        <w:ind w:firstLine="613"/>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68" w:lineRule="exact"/>
        <w:rPr>
          <w:sz w:val="20"/>
          <w:szCs w:val="20"/>
          <w:color w:val="auto"/>
        </w:rPr>
      </w:pPr>
    </w:p>
    <w:p>
      <w:pPr>
        <w:jc w:val="both"/>
        <w:ind w:right="120" w:firstLine="722"/>
        <w:spacing w:after="0" w:line="312" w:lineRule="auto"/>
        <w:rPr>
          <w:sz w:val="20"/>
          <w:szCs w:val="20"/>
          <w:color w:val="auto"/>
        </w:rPr>
      </w:pPr>
      <w:r>
        <w:rPr>
          <w:rFonts w:ascii="Times New Roman" w:cs="Times New Roman" w:eastAsia="Times New Roman" w:hAnsi="Times New Roman"/>
          <w:sz w:val="17"/>
          <w:szCs w:val="17"/>
          <w:color w:val="auto"/>
        </w:rPr>
        <w:t>As of December 31, 2020, we had 38 employees, all of whom were full-time. All of our employees are located in the United States. None of our employees are represented by a labor union or covered by a collective bargaining agreement. We consider our relationship with our employees to be good.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20" w:firstLine="722"/>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Texas in September 2019. In February 2020, we converted to a Delaware corporation. Our principal executive offices are located at 2280 Inwood Road, Dallas, Texas 75235 and our telephone number is (214) 612-0000.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80" w:firstLine="722"/>
        <w:spacing w:after="0" w:line="315" w:lineRule="auto"/>
        <w:rPr>
          <w:sz w:val="20"/>
          <w:szCs w:val="20"/>
          <w:color w:val="auto"/>
        </w:rPr>
      </w:pPr>
      <w:r>
        <w:rPr>
          <w:rFonts w:ascii="Times New Roman" w:cs="Times New Roman" w:eastAsia="Times New Roman" w:hAnsi="Times New Roman"/>
          <w:sz w:val="17"/>
          <w:szCs w:val="17"/>
          <w:color w:val="auto"/>
        </w:rPr>
        <w:t xml:space="preserve">Our internet website address is </w:t>
      </w:r>
      <w:r>
        <w:rPr>
          <w:rFonts w:ascii="Times New Roman" w:cs="Times New Roman" w:eastAsia="Times New Roman" w:hAnsi="Times New Roman"/>
          <w:sz w:val="17"/>
          <w:szCs w:val="17"/>
          <w:i w:val="1"/>
          <w:iCs w:val="1"/>
          <w:color w:val="auto"/>
        </w:rPr>
        <w:t>www.tayshagtx.com</w:t>
      </w:r>
      <w:r>
        <w:rPr>
          <w:rFonts w:ascii="Times New Roman" w:cs="Times New Roman" w:eastAsia="Times New Roman" w:hAnsi="Times New Roman"/>
          <w:sz w:val="17"/>
          <w:szCs w:val="17"/>
          <w:color w:val="auto"/>
        </w:rPr>
        <w:t>.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245" w:lineRule="exact"/>
        <w:rPr>
          <w:sz w:val="20"/>
          <w:szCs w:val="20"/>
          <w:color w:val="auto"/>
        </w:rPr>
      </w:pPr>
    </w:p>
    <w:p>
      <w:pPr>
        <w:ind w:right="120" w:firstLine="722"/>
        <w:spacing w:after="0" w:line="281" w:lineRule="auto"/>
        <w:rPr>
          <w:sz w:val="20"/>
          <w:szCs w:val="20"/>
          <w:color w:val="auto"/>
        </w:rPr>
      </w:pPr>
      <w:r>
        <w:rPr>
          <w:rFonts w:ascii="Times New Roman" w:cs="Times New Roman" w:eastAsia="Times New Roman" w:hAnsi="Times New Roman"/>
          <w:sz w:val="17"/>
          <w:szCs w:val="17"/>
          <w:color w:val="auto"/>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40" w:firstLine="722"/>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58" w:lineRule="exact"/>
        <w:rPr>
          <w:sz w:val="20"/>
          <w:szCs w:val="20"/>
          <w:color w:val="auto"/>
        </w:rPr>
      </w:pPr>
    </w:p>
    <w:p>
      <w:pPr>
        <w:ind w:right="160" w:firstLine="72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Selected Risks Affecting Our Business </w:t>
      </w:r>
      <w:r>
        <w:rPr>
          <w:rFonts w:ascii="Times New Roman" w:cs="Times New Roman" w:eastAsia="Times New Roman" w:hAnsi="Times New Roman"/>
          <w:sz w:val="18"/>
          <w:szCs w:val="18"/>
          <w:color w:val="auto"/>
        </w:rPr>
        <w:t>Our business is subject to a number of risks of which you should be aware before making a decision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 in our common stock. These risks are more fully described in this “Risk Factors” section, including the following:</w:t>
      </w:r>
    </w:p>
    <w:p>
      <w:pPr>
        <w:spacing w:after="0" w:line="51" w:lineRule="exact"/>
        <w:rPr>
          <w:sz w:val="20"/>
          <w:szCs w:val="20"/>
          <w:color w:val="auto"/>
        </w:rPr>
      </w:pPr>
    </w:p>
    <w:p>
      <w:pPr>
        <w:ind w:left="1080" w:right="44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80" w:right="10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3" w:lineRule="exact"/>
        <w:rPr>
          <w:rFonts w:ascii="Times New Roman" w:cs="Times New Roman" w:eastAsia="Times New Roman" w:hAnsi="Times New Roman"/>
          <w:sz w:val="18"/>
          <w:szCs w:val="18"/>
          <w:color w:val="auto"/>
        </w:rPr>
      </w:pPr>
    </w:p>
    <w:p>
      <w:pPr>
        <w:ind w:left="1080" w:right="12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founded in 2019. We have a limited operating history and no history of commercializing products, which may make it difficult for an investor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1080" w:right="100" w:hanging="357"/>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all of our product candidates are in preclinical or 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auto"/>
        </w:rPr>
      </w:pPr>
    </w:p>
    <w:p>
      <w:pPr>
        <w:ind w:left="1080" w:right="120" w:hanging="357"/>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auto"/>
        </w:rPr>
      </w:pPr>
    </w:p>
    <w:p>
      <w:pPr>
        <w:ind w:left="1080" w:right="40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novel gene therapy product candidates, which makes it difficult to predict the time, cost and potential success of product candidate development.</w:t>
      </w:r>
    </w:p>
    <w:p>
      <w:pPr>
        <w:spacing w:after="0" w:line="53" w:lineRule="exact"/>
        <w:rPr>
          <w:rFonts w:ascii="Times New Roman" w:cs="Times New Roman" w:eastAsia="Times New Roman" w:hAnsi="Times New Roman"/>
          <w:sz w:val="18"/>
          <w:szCs w:val="18"/>
          <w:color w:val="auto"/>
        </w:rPr>
      </w:pPr>
    </w:p>
    <w:p>
      <w:pPr>
        <w:ind w:left="1080" w:right="220" w:hanging="357"/>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European Medicines Agency, or the EMA, and comparable foreign authorities are lengthy, time consuming and inherently unpredictable. If we are not able to obtain required regulatory approval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08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tested any product candidates in clinical trials. Success in preclinical studies or earlier clinical trials may not be indicative of results in future clinical trials.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or our next-generation platform technologies.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be adversely affected by the evolving and ongoing COVID-19 global pandemic.</w:t>
      </w:r>
    </w:p>
    <w:p>
      <w:pPr>
        <w:spacing w:after="0" w:line="117" w:lineRule="exact"/>
        <w:rPr>
          <w:rFonts w:ascii="Times New Roman" w:cs="Times New Roman" w:eastAsia="Times New Roman" w:hAnsi="Times New Roman"/>
          <w:sz w:val="18"/>
          <w:szCs w:val="18"/>
          <w:color w:val="auto"/>
        </w:rPr>
      </w:pPr>
    </w:p>
    <w:p>
      <w:pPr>
        <w:ind w:left="1080" w:right="32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3" w:lineRule="exact"/>
        <w:rPr>
          <w:rFonts w:ascii="Times New Roman" w:cs="Times New Roman" w:eastAsia="Times New Roman" w:hAnsi="Times New Roman"/>
          <w:sz w:val="18"/>
          <w:szCs w:val="18"/>
          <w:color w:val="auto"/>
        </w:rPr>
      </w:pPr>
    </w:p>
    <w:p>
      <w:pPr>
        <w:ind w:left="1080" w:right="340" w:hanging="357"/>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contract manufacturers for AAV9 are subject to significant regulation with respect to manufacturing our products. The third-party manufacturing facilities on which we rely, and any manufacturing facility that we may have in the future, including our facility in Durham, North Carolina, may have limited capacity or fail to meet the applicable stringent regulatory requirements.</w:t>
      </w:r>
    </w:p>
    <w:p>
      <w:pPr>
        <w:spacing w:after="0" w:line="67" w:lineRule="exact"/>
        <w:rPr>
          <w:rFonts w:ascii="Times New Roman" w:cs="Times New Roman" w:eastAsia="Times New Roman" w:hAnsi="Times New Roman"/>
          <w:sz w:val="18"/>
          <w:szCs w:val="18"/>
          <w:color w:val="auto"/>
        </w:rPr>
      </w:pPr>
    </w:p>
    <w:p>
      <w:pPr>
        <w:ind w:left="1080" w:right="100" w:hanging="357"/>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71" w:lineRule="exact"/>
        <w:rPr>
          <w:rFonts w:ascii="Times New Roman" w:cs="Times New Roman" w:eastAsia="Times New Roman" w:hAnsi="Times New Roman"/>
          <w:sz w:val="18"/>
          <w:szCs w:val="18"/>
          <w:color w:val="auto"/>
        </w:rPr>
      </w:pPr>
    </w:p>
    <w:p>
      <w:pPr>
        <w:ind w:left="1080" w:right="40" w:hanging="357"/>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spacing w:after="0" w:line="67" w:lineRule="exact"/>
        <w:rPr>
          <w:rFonts w:ascii="Times New Roman" w:cs="Times New Roman" w:eastAsia="Times New Roman" w:hAnsi="Times New Roman"/>
          <w:sz w:val="18"/>
          <w:szCs w:val="18"/>
          <w:color w:val="auto"/>
        </w:rPr>
      </w:pPr>
    </w:p>
    <w:p>
      <w:pPr>
        <w:ind w:left="1080" w:right="26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53" w:lineRule="exact"/>
        <w:rPr>
          <w:rFonts w:ascii="Times New Roman" w:cs="Times New Roman" w:eastAsia="Times New Roman" w:hAnsi="Times New Roman"/>
          <w:sz w:val="18"/>
          <w:szCs w:val="18"/>
          <w:color w:val="auto"/>
        </w:rPr>
      </w:pPr>
    </w:p>
    <w:p>
      <w:pPr>
        <w:ind w:left="1080" w:right="20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080" w:right="120" w:hanging="357"/>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We are aware of issued patent or patents issued to REGENXBIO Inc., or REGENX, that claim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ind w:left="1080" w:right="140"/>
        <w:spacing w:after="0" w:line="282" w:lineRule="auto"/>
        <w:rPr>
          <w:sz w:val="20"/>
          <w:szCs w:val="20"/>
          <w:color w:val="auto"/>
        </w:rPr>
      </w:pPr>
      <w:r>
        <w:rPr>
          <w:rFonts w:ascii="Times New Roman" w:cs="Times New Roman" w:eastAsia="Times New Roman" w:hAnsi="Times New Roman"/>
          <w:sz w:val="18"/>
          <w:szCs w:val="18"/>
          <w:color w:val="auto"/>
        </w:rPr>
        <w:t>AAV vectors that have an AAV9 capsid serotype. If we commercialize any of our product candidates prior to the expiry of those patents in 2026 without a license, REGENX could bring an action claiming infringement.</w:t>
      </w:r>
    </w:p>
    <w:p>
      <w:pPr>
        <w:spacing w:after="0" w:line="54" w:lineRule="exact"/>
        <w:rPr>
          <w:sz w:val="20"/>
          <w:szCs w:val="20"/>
          <w:color w:val="auto"/>
        </w:rPr>
      </w:pPr>
    </w:p>
    <w:p>
      <w:pPr>
        <w:ind w:left="1080" w:right="340" w:hanging="357"/>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related to any of our product candidates, we may not be able to compete effectively in our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80" w:firstLine="722"/>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net losses, and we expect to continue to incur significant expenses and operating losses for the foreseeable future. Our net losses were $60.0 million for the year ended December 31, 2020 and $1.1 million for the period from September 20, 2019 (the date of our inception) through December 31, 2019, respectively. As of December 31, 2020, we had an accumulated deficit of $61.1 million. We have financed our operations with $307.0 million in gross proceeds from equity financings, including from our initial public offering and private placements of convertible preferred stock. We have no products approved for commercialization and have never generated any revenue from product sales.</w:t>
      </w:r>
    </w:p>
    <w:p>
      <w:pPr>
        <w:spacing w:after="0" w:line="291" w:lineRule="exact"/>
        <w:rPr>
          <w:sz w:val="20"/>
          <w:szCs w:val="20"/>
          <w:color w:val="auto"/>
        </w:rPr>
      </w:pPr>
    </w:p>
    <w:p>
      <w:pPr>
        <w:ind w:firstLine="722"/>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still in the clinical or preclinical development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68" w:lineRule="exact"/>
        <w:rPr>
          <w:sz w:val="20"/>
          <w:szCs w:val="20"/>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17" w:lineRule="exact"/>
        <w:rPr>
          <w:rFonts w:ascii="Times New Roman" w:cs="Times New Roman" w:eastAsia="Times New Roman" w:hAnsi="Times New Roman"/>
          <w:sz w:val="18"/>
          <w:szCs w:val="18"/>
          <w:color w:val="auto"/>
        </w:rPr>
      </w:pPr>
    </w:p>
    <w:p>
      <w:pPr>
        <w:ind w:left="1080" w:right="300" w:hanging="357"/>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clinical trials of TSHA-101 and TSHA-118, as well as initiate and complete additional clinical trials of TSHA-101, TSHA-118, TSHA-102 and TSHA-104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cGMP material for clinical trials or potential commercial sales;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117" w:lineRule="exact"/>
        <w:rPr>
          <w:rFonts w:ascii="Times New Roman" w:cs="Times New Roman" w:eastAsia="Times New Roman" w:hAnsi="Times New Roman"/>
          <w:sz w:val="18"/>
          <w:szCs w:val="18"/>
          <w:color w:val="auto"/>
        </w:rPr>
      </w:pPr>
    </w:p>
    <w:p>
      <w:pPr>
        <w:ind w:left="1080" w:right="60" w:hanging="357"/>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080" w:hanging="357"/>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33" w:lineRule="exact"/>
        <w:rPr>
          <w:sz w:val="20"/>
          <w:szCs w:val="20"/>
          <w:color w:val="auto"/>
        </w:rPr>
      </w:pPr>
    </w:p>
    <w:p>
      <w:pPr>
        <w:ind w:right="120" w:firstLine="722"/>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clinical or preclinical development. We may never succeed in these activities and, even if we do, may never generate any revenue or revenue that is significant enough to achieve profitability.</w:t>
      </w:r>
    </w:p>
    <w:p>
      <w:pPr>
        <w:spacing w:after="0" w:line="295" w:lineRule="exact"/>
        <w:rPr>
          <w:sz w:val="20"/>
          <w:szCs w:val="20"/>
          <w:color w:val="auto"/>
        </w:rPr>
      </w:pPr>
    </w:p>
    <w:p>
      <w:pPr>
        <w:ind w:right="40" w:firstLine="722"/>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52" w:name="page53"/>
    <w:bookmarkEnd w:id="52"/>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51" w:lineRule="exact"/>
        <w:rPr>
          <w:sz w:val="20"/>
          <w:szCs w:val="20"/>
          <w:color w:val="auto"/>
        </w:rPr>
      </w:pPr>
    </w:p>
    <w:p>
      <w:pPr>
        <w:ind w:firstLine="722"/>
        <w:spacing w:after="0" w:line="255" w:lineRule="auto"/>
        <w:rPr>
          <w:sz w:val="20"/>
          <w:szCs w:val="20"/>
          <w:color w:val="auto"/>
        </w:rPr>
      </w:pPr>
      <w:r>
        <w:rPr>
          <w:rFonts w:ascii="Times New Roman" w:cs="Times New Roman" w:eastAsia="Times New Roman" w:hAnsi="Times New Roman"/>
          <w:sz w:val="18"/>
          <w:szCs w:val="18"/>
          <w:color w:val="auto"/>
        </w:rPr>
        <w:t>We are a 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297" w:lineRule="exact"/>
        <w:rPr>
          <w:sz w:val="20"/>
          <w:szCs w:val="20"/>
          <w:color w:val="auto"/>
        </w:rPr>
      </w:pPr>
    </w:p>
    <w:p>
      <w:pPr>
        <w:ind w:right="560" w:firstLine="722"/>
        <w:spacing w:after="0" w:line="282"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302" w:lineRule="exact"/>
        <w:rPr>
          <w:sz w:val="20"/>
          <w:szCs w:val="20"/>
          <w:color w:val="auto"/>
        </w:rPr>
      </w:pPr>
    </w:p>
    <w:p>
      <w:pPr>
        <w:ind w:right="280" w:firstLine="722"/>
        <w:spacing w:after="0" w:line="258" w:lineRule="auto"/>
        <w:rPr>
          <w:sz w:val="20"/>
          <w:szCs w:val="20"/>
          <w:color w:val="auto"/>
        </w:rPr>
      </w:pPr>
      <w:r>
        <w:rPr>
          <w:rFonts w:ascii="Times New Roman" w:cs="Times New Roman" w:eastAsia="Times New Roman" w:hAnsi="Times New Roman"/>
          <w:sz w:val="18"/>
          <w:szCs w:val="18"/>
          <w:color w:val="auto"/>
        </w:rPr>
        <w:t>As of December 31, 2020, we had cash and cash equivalents of $251.3 million. We believe that our existing cash and cash equivalents will be sufficient to fund our operating expenses and capital requirements into 2023.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75" w:lineRule="exact"/>
        <w:rPr>
          <w:sz w:val="20"/>
          <w:szCs w:val="20"/>
          <w:color w:val="auto"/>
        </w:rPr>
      </w:pPr>
    </w:p>
    <w:p>
      <w:pPr>
        <w:ind w:left="1080" w:right="100" w:hanging="357"/>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TSHA-101, TSHA-118, TSHA-102, TSHA-104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80" w:right="520" w:hanging="357"/>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080" w:right="680" w:hanging="357"/>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80" w:right="1000" w:hanging="357"/>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our own commercial-scale cGMP manufacturing facility;</w:t>
      </w:r>
    </w:p>
    <w:p>
      <w:pPr>
        <w:spacing w:after="0" w:line="117" w:lineRule="exact"/>
        <w:rPr>
          <w:rFonts w:ascii="Times New Roman" w:cs="Times New Roman" w:eastAsia="Times New Roman" w:hAnsi="Times New Roman"/>
          <w:sz w:val="18"/>
          <w:szCs w:val="18"/>
          <w:color w:val="auto"/>
        </w:rPr>
      </w:pPr>
    </w:p>
    <w:p>
      <w:pPr>
        <w:ind w:left="1080" w:right="240" w:hanging="357"/>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80" w:right="200" w:hanging="357"/>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33" w:lineRule="exact"/>
        <w:rPr>
          <w:sz w:val="20"/>
          <w:szCs w:val="20"/>
          <w:color w:val="auto"/>
        </w:rPr>
      </w:pPr>
    </w:p>
    <w:p>
      <w:pPr>
        <w:ind w:right="20" w:firstLine="722"/>
        <w:spacing w:after="0" w:line="266"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Further, our ability to raise additional capital may be adversely impacted by potential worsening global economic conditions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ind w:right="20"/>
        <w:spacing w:after="0" w:line="312" w:lineRule="auto"/>
        <w:rPr>
          <w:sz w:val="20"/>
          <w:szCs w:val="20"/>
          <w:color w:val="auto"/>
        </w:rPr>
      </w:pPr>
      <w:r>
        <w:rPr>
          <w:rFonts w:ascii="Times New Roman" w:cs="Times New Roman" w:eastAsia="Times New Roman" w:hAnsi="Times New Roman"/>
          <w:sz w:val="17"/>
          <w:szCs w:val="17"/>
          <w:color w:val="auto"/>
        </w:rPr>
        <w:t>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24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100" w:firstLine="722"/>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spacing w:after="0" w:line="295" w:lineRule="exact"/>
        <w:rPr>
          <w:sz w:val="20"/>
          <w:szCs w:val="20"/>
          <w:color w:val="auto"/>
        </w:rPr>
      </w:pPr>
    </w:p>
    <w:p>
      <w:pPr>
        <w:ind w:right="80" w:firstLine="722"/>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all of our product candidates are in clinical or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67"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We are very early in our development efforts and all of our product candidates are still in clinical or preclinical development. Queen’s University initiated a Phase 1/2 clinical trial of TSHA-101 under a Clinical Trial Agreement, or CTA, with Health Canada, and we intend to initiate a Phase 1/2 clinical trial of TSHA-118 in 2021 under a currently open IND.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295" w:lineRule="exact"/>
        <w:rPr>
          <w:sz w:val="20"/>
          <w:szCs w:val="20"/>
          <w:color w:val="auto"/>
        </w:rPr>
      </w:pPr>
    </w:p>
    <w:p>
      <w:pPr>
        <w:ind w:firstLine="722"/>
        <w:spacing w:after="0" w:line="266"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TSHA-101, TSHA-118, TSHA-102 and TSHA-104, or any other product candidates that we develop or otherwise may acquire will depend on several factors, including:</w:t>
      </w:r>
    </w:p>
    <w:p>
      <w:pPr>
        <w:spacing w:after="0" w:line="68" w:lineRule="exact"/>
        <w:rPr>
          <w:sz w:val="20"/>
          <w:szCs w:val="20"/>
          <w:color w:val="auto"/>
        </w:rPr>
      </w:pPr>
    </w:p>
    <w:p>
      <w:pPr>
        <w:ind w:left="1080" w:right="180" w:hanging="357"/>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from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GCPs and current Good Laboratory Practices;</w:t>
      </w:r>
    </w:p>
    <w:p>
      <w:pPr>
        <w:spacing w:after="0" w:line="117" w:lineRule="exact"/>
        <w:rPr>
          <w:rFonts w:ascii="Times New Roman" w:cs="Times New Roman" w:eastAsia="Times New Roman" w:hAnsi="Times New Roman"/>
          <w:sz w:val="18"/>
          <w:szCs w:val="18"/>
          <w:color w:val="auto"/>
        </w:rPr>
      </w:pPr>
    </w:p>
    <w:p>
      <w:pPr>
        <w:ind w:left="1080" w:right="60" w:hanging="357"/>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7" w:lineRule="exact"/>
        <w:rPr>
          <w:rFonts w:ascii="Times New Roman" w:cs="Times New Roman" w:eastAsia="Times New Roman" w:hAnsi="Times New Roman"/>
          <w:sz w:val="18"/>
          <w:szCs w:val="18"/>
          <w:color w:val="auto"/>
        </w:rPr>
      </w:pPr>
    </w:p>
    <w:p>
      <w:pPr>
        <w:ind w:left="1080" w:right="80" w:hanging="357"/>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or making arrangements with third-party manufacturers for, our commercial manufacturing processes for any of our product candidates that receive regulatory approval;</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80" w:right="20" w:hanging="357"/>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3" w:lineRule="exact"/>
        <w:rPr>
          <w:rFonts w:ascii="Times New Roman" w:cs="Times New Roman" w:eastAsia="Times New Roman" w:hAnsi="Times New Roman"/>
          <w:sz w:val="18"/>
          <w:szCs w:val="18"/>
          <w:color w:val="auto"/>
        </w:rPr>
      </w:pPr>
    </w:p>
    <w:p>
      <w:pPr>
        <w:ind w:left="1080" w:right="320" w:hanging="357"/>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TSHA-101, TSHA-118, TSHA-102 and TSHA-104 or any other product candidates;</w:t>
      </w:r>
    </w:p>
    <w:p>
      <w:pPr>
        <w:spacing w:after="0" w:line="53" w:lineRule="exact"/>
        <w:rPr>
          <w:rFonts w:ascii="Times New Roman" w:cs="Times New Roman" w:eastAsia="Times New Roman" w:hAnsi="Times New Roman"/>
          <w:sz w:val="18"/>
          <w:szCs w:val="18"/>
          <w:color w:val="auto"/>
        </w:rPr>
      </w:pPr>
    </w:p>
    <w:p>
      <w:pPr>
        <w:ind w:left="1080" w:right="280" w:hanging="357"/>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and any indications for such product candidate, that we develop;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54" w:name="page55"/>
    <w:bookmarkEnd w:id="54"/>
    <w:p>
      <w:pPr>
        <w:ind w:left="1080" w:right="380" w:hanging="357"/>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TSHA-101, TSHA-118, TSHA-102 and TSHA-104 or any other product candidates we develop on a commercial scale;</w:t>
      </w:r>
    </w:p>
    <w:p>
      <w:pPr>
        <w:spacing w:after="0" w:line="53" w:lineRule="exact"/>
        <w:rPr>
          <w:rFonts w:ascii="Times New Roman" w:cs="Times New Roman" w:eastAsia="Times New Roman" w:hAnsi="Times New Roman"/>
          <w:sz w:val="18"/>
          <w:szCs w:val="18"/>
          <w:color w:val="auto"/>
        </w:rPr>
      </w:pPr>
    </w:p>
    <w:p>
      <w:pPr>
        <w:ind w:left="1080" w:right="80" w:hanging="357"/>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cGMPs, and complying effectively with other procedures;</w:t>
      </w:r>
    </w:p>
    <w:p>
      <w:pPr>
        <w:spacing w:after="0" w:line="117" w:lineRule="exact"/>
        <w:rPr>
          <w:rFonts w:ascii="Times New Roman" w:cs="Times New Roman" w:eastAsia="Times New Roman" w:hAnsi="Times New Roman"/>
          <w:sz w:val="18"/>
          <w:szCs w:val="18"/>
          <w:color w:val="auto"/>
        </w:rPr>
      </w:pPr>
    </w:p>
    <w:p>
      <w:pPr>
        <w:ind w:left="1080" w:hanging="357"/>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products following approval.</w:t>
      </w:r>
    </w:p>
    <w:p>
      <w:pPr>
        <w:spacing w:after="0" w:line="333" w:lineRule="exact"/>
        <w:rPr>
          <w:sz w:val="20"/>
          <w:szCs w:val="20"/>
          <w:color w:val="auto"/>
        </w:rPr>
      </w:pPr>
    </w:p>
    <w:p>
      <w:pPr>
        <w:jc w:val="both"/>
        <w:ind w:right="320" w:firstLine="722"/>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identify and develop novel gene therapy product candidates, which makes it difficult to predict the time, cost and potential success of product candidate development.</w:t>
      </w:r>
    </w:p>
    <w:p>
      <w:pPr>
        <w:spacing w:after="0" w:line="51"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Our strategy is to identify, develop and commercialize gene therapy product candidates using an AAV9 capsid for intrathecal delivery of therapeutic transgenes to certain kinds of cells. Our future success depends on the successful development of these novel therapeutic approaches. To date, very few products that utilize gene transfer have been approved in the United States or Europe and no gene therapy products that utilize an intrathecal method of administration have been approved. There have been a limited number of clinical trials of gene transduction technologies, with only two product candidates ever approved by the FDA.</w:t>
      </w:r>
    </w:p>
    <w:p>
      <w:pPr>
        <w:spacing w:after="0" w:line="291" w:lineRule="exact"/>
        <w:rPr>
          <w:sz w:val="20"/>
          <w:szCs w:val="20"/>
          <w:color w:val="auto"/>
        </w:rPr>
      </w:pPr>
    </w:p>
    <w:p>
      <w:pPr>
        <w:ind w:right="80" w:firstLine="722"/>
        <w:spacing w:after="0" w:line="269" w:lineRule="auto"/>
        <w:rPr>
          <w:sz w:val="20"/>
          <w:szCs w:val="20"/>
          <w:color w:val="auto"/>
        </w:rPr>
      </w:pPr>
      <w:r>
        <w:rPr>
          <w:rFonts w:ascii="Times New Roman" w:cs="Times New Roman" w:eastAsia="Times New Roman" w:hAnsi="Times New Roman"/>
          <w:sz w:val="17"/>
          <w:szCs w:val="17"/>
          <w:color w:val="auto"/>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8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120" w:firstLine="722"/>
        <w:spacing w:after="0" w:line="254" w:lineRule="auto"/>
        <w:rPr>
          <w:sz w:val="20"/>
          <w:szCs w:val="20"/>
          <w:color w:val="auto"/>
        </w:rPr>
      </w:pPr>
      <w:r>
        <w:rPr>
          <w:rFonts w:ascii="Times New Roman" w:cs="Times New Roman" w:eastAsia="Times New Roman" w:hAnsi="Times New Roman"/>
          <w:sz w:val="18"/>
          <w:szCs w:val="18"/>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or CBER, to consolidate the review of gene therapy and related products, and the Cellular, Tissue and Gene Therapies Advisory Committee to advise CBER on its review.</w:t>
      </w:r>
    </w:p>
    <w:p>
      <w:pPr>
        <w:spacing w:after="0" w:line="300"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Our product candidates will need to meet safety and efficacy standards applicable to any new biologic under the regulatory framework administered by the FDA. In addition to FDA oversight and oversight by IRBs, under guidelines promulgated by the National Institutes of Health, or NIH, gene therapy clinical trials are also subject to review and oversight by an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5" w:name="page56"/>
    <w:bookmarkEnd w:id="55"/>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The same applies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297"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304" w:lineRule="exact"/>
        <w:rPr>
          <w:sz w:val="20"/>
          <w:szCs w:val="20"/>
          <w:color w:val="auto"/>
        </w:rPr>
      </w:pPr>
    </w:p>
    <w:p>
      <w:pPr>
        <w:ind w:right="20" w:firstLine="722"/>
        <w:spacing w:after="0" w:line="272" w:lineRule="auto"/>
        <w:rPr>
          <w:sz w:val="20"/>
          <w:szCs w:val="20"/>
          <w:color w:val="auto"/>
        </w:rPr>
      </w:pPr>
      <w:r>
        <w:rPr>
          <w:rFonts w:ascii="Times New Roman" w:cs="Times New Roman" w:eastAsia="Times New Roman" w:hAnsi="Times New Roman"/>
          <w:sz w:val="17"/>
          <w:szCs w:val="17"/>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51" w:lineRule="exact"/>
        <w:rPr>
          <w:sz w:val="20"/>
          <w:szCs w:val="20"/>
          <w:color w:val="auto"/>
        </w:rPr>
      </w:pPr>
    </w:p>
    <w:p>
      <w:pPr>
        <w:ind w:firstLine="722"/>
        <w:spacing w:after="0" w:line="273" w:lineRule="auto"/>
        <w:rPr>
          <w:sz w:val="20"/>
          <w:szCs w:val="20"/>
          <w:color w:val="auto"/>
        </w:rPr>
      </w:pPr>
      <w:r>
        <w:rPr>
          <w:rFonts w:ascii="Times New Roman" w:cs="Times New Roman" w:eastAsia="Times New Roman" w:hAnsi="Times New Roman"/>
          <w:sz w:val="17"/>
          <w:szCs w:val="17"/>
          <w:color w:val="auto"/>
        </w:rPr>
        <w:t>All of our product candidates are in clinical or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279" w:lineRule="exact"/>
        <w:rPr>
          <w:sz w:val="20"/>
          <w:szCs w:val="20"/>
          <w:color w:val="auto"/>
        </w:rPr>
      </w:pPr>
    </w:p>
    <w:p>
      <w:pPr>
        <w:ind w:right="140" w:firstLine="722"/>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288" w:lineRule="exact"/>
        <w:rPr>
          <w:sz w:val="20"/>
          <w:szCs w:val="20"/>
          <w:color w:val="auto"/>
        </w:rPr>
      </w:pPr>
    </w:p>
    <w:p>
      <w:pPr>
        <w:ind w:right="120" w:firstLine="722"/>
        <w:spacing w:after="0" w:line="254"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TSHA-101 for the treatment of GM2 gangliosidosis, TSHA-118 for the treatment of CLN1 disease (one of the forms of Batten disease), and TSHA-102 for the treatment of Rett syndrome, where the very small patient population makes it difficult or impossible to conduct two traditional, adequate and well-controlled studies, and therefore the FDA or comparable foreign regulatory authorities are often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6" w:name="page57"/>
    <w:bookmarkEnd w:id="56"/>
    <w:p>
      <w:pPr>
        <w:ind w:firstLine="722"/>
        <w:spacing w:after="0" w:line="266" w:lineRule="auto"/>
        <w:rPr>
          <w:sz w:val="20"/>
          <w:szCs w:val="20"/>
          <w:color w:val="auto"/>
        </w:rPr>
      </w:pPr>
      <w:r>
        <w:rPr>
          <w:rFonts w:ascii="Times New Roman" w:cs="Times New Roman" w:eastAsia="Times New Roman" w:hAnsi="Times New Roman"/>
          <w:sz w:val="18"/>
          <w:szCs w:val="18"/>
          <w:color w:val="auto"/>
        </w:rPr>
        <w:t>To date, we have not initiated or completed any clinical trials required for the approval of our product candidates. We may experience delays in conducting any clinical trials and we do not know whether our clinical trials will begin on time, need to be redesigned, recruit and enroll patients on time or be completed on schedule, or at all. Events that may prevent successful or timely completion of clinical development include:</w:t>
      </w:r>
    </w:p>
    <w:p>
      <w:pPr>
        <w:spacing w:after="0" w:line="66" w:lineRule="exact"/>
        <w:rPr>
          <w:sz w:val="20"/>
          <w:szCs w:val="20"/>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9" w:lineRule="exact"/>
        <w:rPr>
          <w:rFonts w:ascii="Times New Roman" w:cs="Times New Roman" w:eastAsia="Times New Roman" w:hAnsi="Times New Roman"/>
          <w:sz w:val="18"/>
          <w:szCs w:val="18"/>
          <w:color w:val="auto"/>
        </w:rPr>
      </w:pPr>
    </w:p>
    <w:p>
      <w:pPr>
        <w:ind w:left="1080" w:right="240" w:hanging="357"/>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 including our natural history studies;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clinical trial;</w:t>
      </w:r>
    </w:p>
    <w:p>
      <w:pPr>
        <w:spacing w:after="0" w:line="117" w:lineRule="exact"/>
        <w:rPr>
          <w:rFonts w:ascii="Times New Roman" w:cs="Times New Roman" w:eastAsia="Times New Roman" w:hAnsi="Times New Roman"/>
          <w:sz w:val="18"/>
          <w:szCs w:val="18"/>
          <w:color w:val="auto"/>
        </w:rPr>
      </w:pPr>
    </w:p>
    <w:p>
      <w:pPr>
        <w:ind w:left="1080" w:right="380" w:hanging="357"/>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approval at each trial site;</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GCP requirements, or applicable regulatory guidelines in other countries;</w:t>
      </w:r>
    </w:p>
    <w:p>
      <w:pPr>
        <w:spacing w:after="0" w:line="117" w:lineRule="exact"/>
        <w:rPr>
          <w:rFonts w:ascii="Times New Roman" w:cs="Times New Roman" w:eastAsia="Times New Roman" w:hAnsi="Times New Roman"/>
          <w:sz w:val="18"/>
          <w:szCs w:val="18"/>
          <w:color w:val="auto"/>
        </w:rPr>
      </w:pPr>
    </w:p>
    <w:p>
      <w:pPr>
        <w:ind w:left="1080" w:right="120" w:hanging="357"/>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333" w:lineRule="exact"/>
        <w:rPr>
          <w:sz w:val="20"/>
          <w:szCs w:val="20"/>
          <w:color w:val="auto"/>
        </w:rPr>
      </w:pPr>
    </w:p>
    <w:p>
      <w:pPr>
        <w:ind w:right="740" w:firstLine="722"/>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54" w:lineRule="exact"/>
        <w:rPr>
          <w:sz w:val="20"/>
          <w:szCs w:val="20"/>
          <w:color w:val="auto"/>
        </w:rPr>
      </w:pPr>
    </w:p>
    <w:p>
      <w:pPr>
        <w:ind w:left="1080" w:right="480" w:hanging="357"/>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changes in regulatory requirements or guidance, or receive feedback from regulatory authorities that requires us to modify the design of our clinical trials;</w:t>
      </w:r>
    </w:p>
    <w:p>
      <w:pPr>
        <w:spacing w:after="0" w:line="53" w:lineRule="exact"/>
        <w:rPr>
          <w:rFonts w:ascii="Times New Roman" w:cs="Times New Roman" w:eastAsia="Times New Roman" w:hAnsi="Times New Roman"/>
          <w:sz w:val="18"/>
          <w:szCs w:val="18"/>
          <w:color w:val="auto"/>
        </w:rPr>
      </w:pPr>
    </w:p>
    <w:p>
      <w:pPr>
        <w:ind w:left="1080" w:right="220" w:hanging="357"/>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3" w:lineRule="exact"/>
        <w:rPr>
          <w:rFonts w:ascii="Times New Roman" w:cs="Times New Roman" w:eastAsia="Times New Roman" w:hAnsi="Times New Roman"/>
          <w:sz w:val="18"/>
          <w:szCs w:val="18"/>
          <w:color w:val="auto"/>
        </w:rPr>
      </w:pPr>
    </w:p>
    <w:p>
      <w:pPr>
        <w:ind w:left="1080" w:right="340" w:hanging="357"/>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80" w:right="20" w:hanging="357"/>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80" w:right="500" w:hanging="357"/>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17" w:lineRule="exact"/>
        <w:rPr>
          <w:rFonts w:ascii="Times New Roman" w:cs="Times New Roman" w:eastAsia="Times New Roman" w:hAnsi="Times New Roman"/>
          <w:sz w:val="18"/>
          <w:szCs w:val="18"/>
          <w:color w:val="auto"/>
        </w:rPr>
      </w:pPr>
    </w:p>
    <w:p>
      <w:pPr>
        <w:ind w:left="1080" w:right="500" w:hanging="357"/>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17" w:lineRule="exact"/>
        <w:rPr>
          <w:rFonts w:ascii="Times New Roman" w:cs="Times New Roman" w:eastAsia="Times New Roman" w:hAnsi="Times New Roman"/>
          <w:sz w:val="18"/>
          <w:szCs w:val="18"/>
          <w:color w:val="auto"/>
        </w:rPr>
      </w:pPr>
    </w:p>
    <w:p>
      <w:pPr>
        <w:ind w:left="1080" w:right="260" w:hanging="357"/>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7" w:name="page58"/>
    <w:bookmarkEnd w:id="57"/>
    <w:p>
      <w:pPr>
        <w:ind w:firstLine="722"/>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80" w:hanging="357"/>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80" w:right="660" w:hanging="357"/>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Risk Evaluation and Mitigation Strategies, or REMS;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333" w:lineRule="exact"/>
        <w:rPr>
          <w:sz w:val="20"/>
          <w:szCs w:val="20"/>
          <w:color w:val="auto"/>
        </w:rPr>
      </w:pPr>
    </w:p>
    <w:p>
      <w:pPr>
        <w:ind w:right="240" w:firstLine="722"/>
        <w:spacing w:after="0" w:line="256"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95" w:lineRule="exact"/>
        <w:rPr>
          <w:sz w:val="20"/>
          <w:szCs w:val="20"/>
          <w:color w:val="auto"/>
        </w:rPr>
      </w:pPr>
    </w:p>
    <w:p>
      <w:pPr>
        <w:ind w:right="40" w:firstLine="722"/>
        <w:spacing w:after="0" w:line="258"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291"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comparable foreign authorities are lengthy, time consuming and inherently unpredictable. If we are not able to obtain required regulatory approval for our product candidates, our business will be substantially harmed.</w:t>
      </w:r>
    </w:p>
    <w:p>
      <w:pPr>
        <w:spacing w:after="0" w:line="5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EMA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 foreign authorities, regarding clinical development programs or regulatory approval for any product candidate outside of the United States.</w:t>
      </w:r>
    </w:p>
    <w:p>
      <w:pPr>
        <w:spacing w:after="0" w:line="300" w:lineRule="exact"/>
        <w:rPr>
          <w:sz w:val="20"/>
          <w:szCs w:val="20"/>
          <w:color w:val="auto"/>
        </w:rPr>
      </w:pPr>
    </w:p>
    <w:p>
      <w:pPr>
        <w:ind w:right="180" w:firstLine="722"/>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8" w:name="page59"/>
    <w:bookmarkEnd w:id="58"/>
    <w:p>
      <w:pPr>
        <w:ind w:right="200" w:firstLine="722"/>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288" w:lineRule="exact"/>
        <w:rPr>
          <w:sz w:val="20"/>
          <w:szCs w:val="20"/>
          <w:color w:val="auto"/>
        </w:rPr>
      </w:pPr>
    </w:p>
    <w:p>
      <w:pPr>
        <w:ind w:right="80" w:firstLine="722"/>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TSHA-101, TSHA-118, TSHA-102 and TSHA-104 and any future product candidates in a timely manner.</w:t>
      </w:r>
    </w:p>
    <w:p>
      <w:pPr>
        <w:spacing w:after="0" w:line="284" w:lineRule="exact"/>
        <w:rPr>
          <w:sz w:val="20"/>
          <w:szCs w:val="20"/>
          <w:color w:val="auto"/>
        </w:rPr>
      </w:pPr>
    </w:p>
    <w:p>
      <w:pPr>
        <w:ind w:right="160" w:firstLine="722"/>
        <w:spacing w:after="0" w:line="254"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TSHA-101, TSHA-118, TSHA-102 and TSHA-104, or any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agency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300" w:lineRule="exact"/>
        <w:rPr>
          <w:sz w:val="20"/>
          <w:szCs w:val="20"/>
          <w:color w:val="auto"/>
        </w:rPr>
      </w:pPr>
    </w:p>
    <w:p>
      <w:pPr>
        <w:ind w:right="100" w:firstLine="722"/>
        <w:spacing w:after="0" w:line="261" w:lineRule="auto"/>
        <w:rPr>
          <w:sz w:val="20"/>
          <w:szCs w:val="20"/>
          <w:color w:val="auto"/>
        </w:rPr>
      </w:pPr>
      <w:r>
        <w:rPr>
          <w:rFonts w:ascii="Times New Roman" w:cs="Times New Roman" w:eastAsia="Times New Roman" w:hAnsi="Times New Roman"/>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completed testing of any product candidate in clinical trials. Success in preclinical studies or earlier clinical trials may not be indicative of results in future clinical trials.</w:t>
      </w:r>
    </w:p>
    <w:p>
      <w:pPr>
        <w:spacing w:after="0" w:line="51" w:lineRule="exact"/>
        <w:rPr>
          <w:sz w:val="20"/>
          <w:szCs w:val="20"/>
          <w:color w:val="auto"/>
        </w:rPr>
      </w:pPr>
    </w:p>
    <w:p>
      <w:pPr>
        <w:jc w:val="both"/>
        <w:ind w:right="140" w:firstLine="722"/>
        <w:spacing w:after="0" w:line="257"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w:t>
      </w:r>
    </w:p>
    <w:p>
      <w:pPr>
        <w:spacing w:after="0" w:line="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positive results in preclinical studies or having successfully advanced through initial clinical trials. Further, our Phase 1/2 clinical trials of TSHA-101, TSHA-118, TSHA-102 and TSHA-104 will involve small patient populations.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296" w:lineRule="exact"/>
        <w:rPr>
          <w:sz w:val="20"/>
          <w:szCs w:val="20"/>
          <w:color w:val="auto"/>
        </w:rPr>
      </w:pPr>
    </w:p>
    <w:p>
      <w:pPr>
        <w:ind w:right="40" w:firstLine="722"/>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67" w:lineRule="exact"/>
        <w:rPr>
          <w:sz w:val="20"/>
          <w:szCs w:val="20"/>
          <w:color w:val="auto"/>
        </w:rPr>
      </w:pPr>
    </w:p>
    <w:p>
      <w:pPr>
        <w:jc w:val="both"/>
        <w:ind w:right="340" w:firstLine="722"/>
        <w:spacing w:after="0" w:line="266"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ind w:right="20"/>
        <w:spacing w:after="0" w:line="266" w:lineRule="auto"/>
        <w:rPr>
          <w:sz w:val="20"/>
          <w:szCs w:val="20"/>
          <w:color w:val="auto"/>
        </w:rPr>
      </w:pPr>
      <w:r>
        <w:rPr>
          <w:rFonts w:ascii="Times New Roman" w:cs="Times New Roman" w:eastAsia="Times New Roman" w:hAnsi="Times New Roman"/>
          <w:sz w:val="18"/>
          <w:szCs w:val="18"/>
          <w:color w:val="auto"/>
        </w:rPr>
        <w:t>the product candidate studied for the target indication.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spacing w:after="0" w:line="284" w:lineRule="exact"/>
        <w:rPr>
          <w:sz w:val="20"/>
          <w:szCs w:val="20"/>
          <w:color w:val="auto"/>
        </w:rPr>
      </w:pPr>
    </w:p>
    <w:p>
      <w:pPr>
        <w:ind w:right="80" w:firstLine="722"/>
        <w:spacing w:after="0" w:line="261" w:lineRule="auto"/>
        <w:rPr>
          <w:sz w:val="20"/>
          <w:szCs w:val="20"/>
          <w:color w:val="auto"/>
        </w:rPr>
      </w:pPr>
      <w:r>
        <w:rPr>
          <w:rFonts w:ascii="Times New Roman" w:cs="Times New Roman" w:eastAsia="Times New Roman" w:hAnsi="Times New Roman"/>
          <w:sz w:val="18"/>
          <w:szCs w:val="18"/>
          <w:color w:val="auto"/>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spacing w:after="0" w:line="288"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dorsal root ganglia. If our vectors demonstrate a similar effect in other programs, we may decide or be required to perform additional preclinical studies or to halt or delay further clinical development of our product candidates.</w:t>
      </w:r>
    </w:p>
    <w:p>
      <w:pPr>
        <w:spacing w:after="0" w:line="297"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300" w:lineRule="exact"/>
        <w:rPr>
          <w:sz w:val="20"/>
          <w:szCs w:val="20"/>
          <w:color w:val="auto"/>
        </w:rPr>
      </w:pPr>
    </w:p>
    <w:p>
      <w:pPr>
        <w:ind w:right="60" w:firstLine="722"/>
        <w:spacing w:after="0" w:line="255"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 stage testing have later been found to cause side effects that prevented further development of the product candidate.</w:t>
      </w:r>
    </w:p>
    <w:p>
      <w:pPr>
        <w:spacing w:after="0" w:line="297" w:lineRule="exact"/>
        <w:rPr>
          <w:sz w:val="20"/>
          <w:szCs w:val="20"/>
          <w:color w:val="auto"/>
        </w:rPr>
      </w:pPr>
    </w:p>
    <w:p>
      <w:pPr>
        <w:ind w:right="120" w:firstLine="722"/>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54" w:lineRule="exact"/>
        <w:rPr>
          <w:sz w:val="20"/>
          <w:szCs w:val="20"/>
          <w:color w:val="auto"/>
        </w:rPr>
      </w:pPr>
    </w:p>
    <w:p>
      <w:pPr>
        <w:ind w:left="1080" w:hanging="357"/>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117" w:lineRule="exact"/>
        <w:rPr>
          <w:rFonts w:ascii="Times New Roman" w:cs="Times New Roman" w:eastAsia="Times New Roman" w:hAnsi="Times New Roman"/>
          <w:sz w:val="18"/>
          <w:szCs w:val="18"/>
          <w:color w:val="auto"/>
        </w:rPr>
      </w:pPr>
    </w:p>
    <w:p>
      <w:pPr>
        <w:ind w:left="1080" w:right="340" w:hanging="357"/>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333" w:lineRule="exact"/>
        <w:rPr>
          <w:sz w:val="20"/>
          <w:szCs w:val="20"/>
          <w:color w:val="auto"/>
        </w:rPr>
      </w:pPr>
    </w:p>
    <w:p>
      <w:pPr>
        <w:ind w:right="120" w:firstLine="722"/>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0" w:name="page61"/>
    <w:bookmarkEnd w:id="60"/>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conducted pivotal clinical trials, and may be unable to do so for any product candidates we may develop, including TSHA-101, TSHA-118, TSHA-102, and TSHA-104.</w:t>
      </w:r>
    </w:p>
    <w:p>
      <w:pPr>
        <w:spacing w:after="0" w:line="51" w:lineRule="exact"/>
        <w:rPr>
          <w:sz w:val="20"/>
          <w:szCs w:val="20"/>
          <w:color w:val="auto"/>
        </w:rPr>
      </w:pPr>
    </w:p>
    <w:p>
      <w:pPr>
        <w:ind w:right="40" w:firstLine="722"/>
        <w:spacing w:after="0" w:line="254" w:lineRule="auto"/>
        <w:rPr>
          <w:sz w:val="20"/>
          <w:szCs w:val="20"/>
          <w:color w:val="auto"/>
        </w:rPr>
      </w:pPr>
      <w:r>
        <w:rPr>
          <w:rFonts w:ascii="Times New Roman" w:cs="Times New Roman" w:eastAsia="Times New Roman" w:hAnsi="Times New Roman"/>
          <w:sz w:val="18"/>
          <w:szCs w:val="18"/>
          <w:color w:val="auto"/>
        </w:rPr>
        <w:t>We will need to successfully complete our ongoing and planned clinical trials, including pivotal clinical trials, in order to obtain FDA approval to market our product candidates. Carrying out later-stage clinical trials and the submission of a successful BLA is a complicated process. As an organization, we have initiated our first Phase 1/2 clinical trial, have not previously conducted any later stage or pivotal clinical trials, have limited experience in preparing, submitting and prosecuting regulatory filings and have not previously submitted a BLA for any product candidate. In addition, we have had limited interactions with the FDA and cannot be certain how many additional clinical trials of our product candidates will be required or how such trials should be designed. Consequently, we may be unable to successfully and efficiently execute and complete necessary clinical trials in a way that leads to BLA submission and approval of any product candidate.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our product candidates.</w:t>
      </w:r>
    </w:p>
    <w:p>
      <w:pPr>
        <w:spacing w:after="0" w:line="2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67" w:lineRule="exact"/>
        <w:rPr>
          <w:sz w:val="20"/>
          <w:szCs w:val="20"/>
          <w:color w:val="auto"/>
        </w:rPr>
      </w:pPr>
    </w:p>
    <w:p>
      <w:pPr>
        <w:ind w:right="100" w:firstLine="722"/>
        <w:spacing w:after="0" w:line="255"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we estimate global incidence of GM2 gangliosidosis, the target indication for TSHA-101, is approximately 1 in 150,000 live births,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297" w:lineRule="exact"/>
        <w:rPr>
          <w:sz w:val="20"/>
          <w:szCs w:val="20"/>
          <w:color w:val="auto"/>
        </w:rPr>
      </w:pPr>
    </w:p>
    <w:p>
      <w:pPr>
        <w:ind w:right="320" w:firstLine="722"/>
        <w:spacing w:after="0" w:line="261" w:lineRule="auto"/>
        <w:rPr>
          <w:sz w:val="20"/>
          <w:szCs w:val="20"/>
          <w:color w:val="auto"/>
        </w:rPr>
      </w:pPr>
      <w:r>
        <w:rPr>
          <w:rFonts w:ascii="Times New Roman" w:cs="Times New Roman" w:eastAsia="Times New Roman" w:hAnsi="Times New Roman"/>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72" w:lineRule="exact"/>
        <w:rPr>
          <w:sz w:val="20"/>
          <w:szCs w:val="20"/>
          <w:color w:val="auto"/>
        </w:rPr>
      </w:pPr>
    </w:p>
    <w:p>
      <w:pPr>
        <w:ind w:left="1080" w:hanging="357"/>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080" w:right="680" w:hanging="357"/>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AAV9-based gene therapy approaches and intrathecal delivery systems;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80" w:hanging="357"/>
        <w:spacing w:after="0" w:line="312"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spacing w:after="0" w:line="31" w:lineRule="exact"/>
        <w:rPr>
          <w:rFonts w:ascii="Times New Roman" w:cs="Times New Roman" w:eastAsia="Times New Roman" w:hAnsi="Times New Roman"/>
          <w:sz w:val="17"/>
          <w:szCs w:val="17"/>
          <w:color w:val="auto"/>
        </w:rPr>
      </w:pPr>
    </w:p>
    <w:p>
      <w:pPr>
        <w:ind w:left="1080" w:hanging="357"/>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333" w:lineRule="exact"/>
        <w:rPr>
          <w:sz w:val="20"/>
          <w:szCs w:val="20"/>
          <w:color w:val="auto"/>
        </w:rPr>
      </w:pPr>
    </w:p>
    <w:p>
      <w:pPr>
        <w:ind w:right="100" w:firstLine="722"/>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88" w:lineRule="exact"/>
        <w:rPr>
          <w:sz w:val="20"/>
          <w:szCs w:val="20"/>
          <w:color w:val="auto"/>
        </w:rPr>
      </w:pPr>
    </w:p>
    <w:p>
      <w:pPr>
        <w:ind w:right="80" w:firstLine="722"/>
        <w:spacing w:after="0" w:line="282" w:lineRule="auto"/>
        <w:rPr>
          <w:sz w:val="20"/>
          <w:szCs w:val="20"/>
          <w:color w:val="auto"/>
        </w:rPr>
      </w:pPr>
      <w:r>
        <w:rPr>
          <w:rFonts w:ascii="Times New Roman" w:cs="Times New Roman" w:eastAsia="Times New Roman" w:hAnsi="Times New Roman"/>
          <w:sz w:val="18"/>
          <w:szCs w:val="18"/>
          <w:color w:val="auto"/>
        </w:rPr>
        <w:t>Furthermore, even if we are able to enroll a sufficient number of patients for our clinical trials, we may have difficulty maintaining enrollment of such patients in our clinical trials.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67" w:lineRule="exact"/>
        <w:rPr>
          <w:sz w:val="20"/>
          <w:szCs w:val="20"/>
          <w:color w:val="auto"/>
        </w:rPr>
      </w:pPr>
    </w:p>
    <w:p>
      <w:pPr>
        <w:ind w:right="200" w:firstLine="722"/>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291"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spacing w:after="0" w:line="297"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We have obtained orphan drug designation from the FDA for TSHA-101 for treatment of GM2 gangliosidosis, TSHA-102 for the treatment of Rett syndrome, TSHA-103 for the treatment of SLC6A1 haploinsufficiency disorder, TSHA-104 for the treatment of SURF1-associated Leigh syndrome and TSHA-105 for the treatment of SLC13A5 deficiency. In addition, TSHA-118 has received orphan drug designation for the treatment of CLN1 disease from the FDA and EMA. 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3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TSHA-101 for the treatment of GM2 gangliosidosis, TSHA-118 for the treatment of CLN1 disease, TSHA-102 for the treatment of Rett syndrome, TSHA-103 for the treatment of SLC6A1 haploinsufficiency, TSHA-104 for the treatment of SURF1-associated Leigh syndrome and TSHA-105 for the treatment of SLC13A5 deficiency. However, a marketing application for TSHA-101, TSHA-118, TSHA-102, TSHA-103, TSHA-104 and TSHA-105, if approved, may not meet the eligibility criteria for a PRV or the rare pediatric disease designation program may sunset before FDA is able consider us for a voucher.</w:t>
      </w:r>
    </w:p>
    <w:p>
      <w:pPr>
        <w:spacing w:after="0" w:line="75"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We have received rare pediatric disease designation for TSHA-101 for the treatment of GM2 gangliosidosis (Tay-Sachs Disease and Sandhoff Disease), TSHA-118 for the treatment of CLN1 disease, TSHA-102 for the treatment of Rett syndrome, TSHA-103 for the treatment of SLC6A1 haploinsufficiency, TSHA-104 for the treatment of SURF1-associated Leigh syndrome and TSHA-105 for the treatment of SLC13A5 deficiency. Designation of a drug or biologic as a product for a rare pediatric disease does not guarantee that a BLA for such drug or biologic will meet the eligibility criteria for a rare pediatric disease PRV at the time the application is approved. Under the FDCA, we will need to request a rare pediatric disease PRV in our original BLA for TSHA-101, TSHA-118, TSHA-102, TSHA-103, TSHA-104, TSHA-105 and any other candidates for which we submit a marketing application. The FDA may determine that a BLA for TSHA-101, TSHA-118, TSHA-102, TSHA-103, TSHA-104 or TSHA-105, if approved, does not meet the eligibility criteria for a PRV, including for the following reasons:</w:t>
      </w:r>
    </w:p>
    <w:p>
      <w:pPr>
        <w:spacing w:after="0" w:line="84" w:lineRule="exact"/>
        <w:rPr>
          <w:sz w:val="20"/>
          <w:szCs w:val="20"/>
          <w:color w:val="auto"/>
        </w:rPr>
      </w:pPr>
    </w:p>
    <w:p>
      <w:pPr>
        <w:ind w:left="1080" w:right="740" w:hanging="357"/>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GM2 gangliosidosis, CLN1 disease, Rett syndrome, SLC6A1 haploinsufficiency, SURF1-associated Leigh syndrome or SLC13A5 deficiency no longer meet the definition of a rare pediatric disease;</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contains an active ingredient that has been previously approved in a BLA;</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not deemed eligible for priority review;</w:t>
      </w:r>
    </w:p>
    <w:p>
      <w:pPr>
        <w:spacing w:after="0" w:line="117" w:lineRule="exact"/>
        <w:rPr>
          <w:rFonts w:ascii="Times New Roman" w:cs="Times New Roman" w:eastAsia="Times New Roman" w:hAnsi="Times New Roman"/>
          <w:sz w:val="18"/>
          <w:szCs w:val="18"/>
          <w:color w:val="auto"/>
        </w:rPr>
      </w:pPr>
    </w:p>
    <w:p>
      <w:pPr>
        <w:ind w:left="1080" w:right="340" w:hanging="357"/>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67" w:lineRule="exact"/>
        <w:rPr>
          <w:rFonts w:ascii="Times New Roman" w:cs="Times New Roman" w:eastAsia="Times New Roman" w:hAnsi="Times New Roman"/>
          <w:sz w:val="18"/>
          <w:szCs w:val="18"/>
          <w:color w:val="auto"/>
        </w:rPr>
      </w:pPr>
    </w:p>
    <w:p>
      <w:pPr>
        <w:ind w:left="1080" w:right="300" w:hanging="357"/>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approved for a different adult indication than the rare pediatric disease for which TSHA-101, TSHA-118, TSHA-102, TSHA-103, TSHA-104 or TSHA-105 are designated.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The authority for the FDA to award rare pediatric disease PRVs for drugs that have received rare pediatric disease designation prior to September 30, 2024 currently expires on September 30, 2026. If the BLA for TSHA-101, TSHA-118, TSHA-102, TSHA-103, TSHA-104 or TSHA-105 is not approved prior to September 30, 2026 for any reason, regardless of whether it meets the criteria for a rare pediatric disease PRV, it will not be eligible for a PRV. However, it is also possible the authority for FDA to award rare pediatric disease PRVs will be further extended through federal lawmaking.</w:t>
      </w:r>
    </w:p>
    <w:p>
      <w:pPr>
        <w:spacing w:after="0" w:line="2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TSHA-118 for the treatment of CLN1 disease, and we may seek fast track designation for our other product candidates. Even if received, fast track designation may not actually lead to a faster review or approval process and does not increase the likelihood that our product candidates will receive marketing approval.</w:t>
      </w:r>
    </w:p>
    <w:p>
      <w:pPr>
        <w:spacing w:after="0" w:line="67" w:lineRule="exact"/>
        <w:rPr>
          <w:sz w:val="20"/>
          <w:szCs w:val="20"/>
          <w:color w:val="auto"/>
        </w:rPr>
      </w:pPr>
    </w:p>
    <w:p>
      <w:pPr>
        <w:ind w:right="40" w:firstLine="722"/>
        <w:spacing w:after="0" w:line="253" w:lineRule="auto"/>
        <w:rPr>
          <w:sz w:val="20"/>
          <w:szCs w:val="20"/>
          <w:color w:val="auto"/>
        </w:rPr>
      </w:pPr>
      <w:r>
        <w:rPr>
          <w:rFonts w:ascii="Times New Roman" w:cs="Times New Roman" w:eastAsia="Times New Roman" w:hAnsi="Times New Roman"/>
          <w:sz w:val="18"/>
          <w:szCs w:val="18"/>
          <w:color w:val="auto"/>
        </w:rPr>
        <w:t>We have received fast track designation for TSHA-118 for the treatment of neurocognitive manifestations of the patients with CLN1 disease, and we may seek fast track designation for our other product candidates. If a drug or biologic is intended for the treatment of a serious or life-threatening condition and the product demonstrates the potential to address unmet medical needs for this condition, the sponsor may apply for FDA fast track designation for a particular indication. There is no assurance that the FDA will grant this status to any of our other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at any time if it believes that the designation is no longer supported by data from our clinical development program.</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currently primarily focused on the development of the following programs: TSHA-101 (GM2 gangliosidosis), TSHA-118 (CLN1 disease), TSHA-102 (Rett syndrome) and TSHA-104 (SURF1-associated Leigh syndrome), each of which we have advanced into clinical development or intend to advance into clinical development in 2021. In addition, we are evaluating each of TSHA-103 (SLC6A1 haploinsufficiency), TSHA-105 (SLC13A5 deficiency), TSHA-111-LAFORIN (Lafora disease), TSHA-111-MALIN (Lafora disease), TSHA-112 (APBD), and TSHA-119 (GM2 AB variant) in IND/CTA-enabling studies in 2021.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w:t>
      </w:r>
    </w:p>
    <w:p>
      <w:pPr>
        <w:spacing w:after="0" w:line="5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We plan to conduct a clinical trial in Canada and may in the future choose to conduct additional clinical trials outside the United States, including in Australia, Europe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w:t>
      </w:r>
    </w:p>
    <w:p>
      <w:pPr>
        <w:spacing w:after="0" w:line="121" w:lineRule="exact"/>
        <w:rPr>
          <w:sz w:val="20"/>
          <w:szCs w:val="20"/>
          <w:color w:val="auto"/>
        </w:rPr>
      </w:pPr>
    </w:p>
    <w:p>
      <w:pPr>
        <w:ind w:right="520" w:firstLine="722"/>
        <w:spacing w:after="0" w:line="282" w:lineRule="auto"/>
        <w:rPr>
          <w:sz w:val="20"/>
          <w:szCs w:val="20"/>
          <w:color w:val="auto"/>
        </w:rPr>
      </w:pPr>
      <w:r>
        <w:rPr>
          <w:rFonts w:ascii="Times New Roman" w:cs="Times New Roman" w:eastAsia="Times New Roman" w:hAnsi="Times New Roman"/>
          <w:sz w:val="18"/>
          <w:szCs w:val="18"/>
          <w:color w:val="auto"/>
        </w:rPr>
        <w:t>Our business model is centered on developing therapies for patients with rare, monogenic CNS disorders by establishing focused selection criteria to select, develop and advance product candidates that we believe will have a high probability of technical and regulatory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3" w:name="page64"/>
    <w:bookmarkEnd w:id="63"/>
    <w:p>
      <w:pPr>
        <w:ind w:right="120"/>
        <w:spacing w:after="0" w:line="255" w:lineRule="auto"/>
        <w:rPr>
          <w:sz w:val="20"/>
          <w:szCs w:val="20"/>
          <w:color w:val="auto"/>
        </w:rPr>
      </w:pPr>
      <w:r>
        <w:rPr>
          <w:rFonts w:ascii="Times New Roman" w:cs="Times New Roman" w:eastAsia="Times New Roman" w:hAnsi="Times New Roman"/>
          <w:sz w:val="18"/>
          <w:szCs w:val="18"/>
          <w:color w:val="auto"/>
        </w:rPr>
        <w:t>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9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w:t>
      </w:r>
    </w:p>
    <w:p>
      <w:pPr>
        <w:spacing w:after="0" w:line="51" w:lineRule="exact"/>
        <w:rPr>
          <w:sz w:val="20"/>
          <w:szCs w:val="20"/>
          <w:color w:val="auto"/>
        </w:rPr>
      </w:pPr>
    </w:p>
    <w:p>
      <w:pPr>
        <w:ind w:right="60" w:firstLine="722"/>
        <w:spacing w:after="0" w:line="255"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the evolving and ongoing COVID-19 global pandemic.</w:t>
      </w:r>
    </w:p>
    <w:p>
      <w:pPr>
        <w:spacing w:after="0" w:line="12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Our business and operations may be adversely affected by the effects of the recent and evolving COVID-19 virus, which was declared by the World Health Organization as a global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302" w:lineRule="exact"/>
        <w:rPr>
          <w:sz w:val="20"/>
          <w:szCs w:val="20"/>
          <w:color w:val="auto"/>
        </w:rPr>
      </w:pPr>
    </w:p>
    <w:p>
      <w:pPr>
        <w:ind w:right="700" w:firstLine="722"/>
        <w:spacing w:after="0" w:line="282" w:lineRule="auto"/>
        <w:rPr>
          <w:sz w:val="20"/>
          <w:szCs w:val="20"/>
          <w:color w:val="auto"/>
        </w:rPr>
      </w:pPr>
      <w:r>
        <w:rPr>
          <w:rFonts w:ascii="Times New Roman" w:cs="Times New Roman" w:eastAsia="Times New Roman" w:hAnsi="Times New Roman"/>
          <w:sz w:val="18"/>
          <w:szCs w:val="18"/>
          <w:color w:val="auto"/>
        </w:rPr>
        <w:t>Although our current and planned clinical trials have not been impacted by the COVID-19 pandemic to date, we may experience related disruptions in the future that could severely impact our clinical trials, including:</w:t>
      </w:r>
    </w:p>
    <w:p>
      <w:pPr>
        <w:spacing w:after="0" w:line="54" w:lineRule="exact"/>
        <w:rPr>
          <w:sz w:val="20"/>
          <w:szCs w:val="20"/>
          <w:color w:val="auto"/>
        </w:rPr>
      </w:pPr>
    </w:p>
    <w:p>
      <w:pPr>
        <w:ind w:left="1080" w:right="380" w:hanging="357"/>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a suspension in clinical site initiation, including difficulties in recruiting clinical site investigators and clinical site staff;</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ability to manufacture and deliver drug supply for trials;</w:t>
      </w:r>
    </w:p>
    <w:p>
      <w:pPr>
        <w:spacing w:after="0" w:line="117" w:lineRule="exact"/>
        <w:rPr>
          <w:rFonts w:ascii="Times New Roman" w:cs="Times New Roman" w:eastAsia="Times New Roman" w:hAnsi="Times New Roman"/>
          <w:sz w:val="18"/>
          <w:szCs w:val="18"/>
          <w:color w:val="auto"/>
        </w:rPr>
      </w:pPr>
    </w:p>
    <w:p>
      <w:pPr>
        <w:ind w:left="1080" w:right="300" w:hanging="357"/>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1080" w:right="280" w:hanging="357"/>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53" w:lineRule="exact"/>
        <w:rPr>
          <w:rFonts w:ascii="Times New Roman" w:cs="Times New Roman" w:eastAsia="Times New Roman" w:hAnsi="Times New Roman"/>
          <w:sz w:val="18"/>
          <w:szCs w:val="18"/>
          <w:color w:val="auto"/>
        </w:rPr>
      </w:pPr>
    </w:p>
    <w:p>
      <w:pPr>
        <w:ind w:left="1080" w:hanging="357"/>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1080" w:right="360" w:hanging="357"/>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1080" w:right="200" w:hanging="357"/>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these affected geographies.</w:t>
      </w:r>
    </w:p>
    <w:p>
      <w:pPr>
        <w:spacing w:after="0" w:line="333" w:lineRule="exact"/>
        <w:rPr>
          <w:sz w:val="20"/>
          <w:szCs w:val="20"/>
          <w:color w:val="auto"/>
        </w:rPr>
      </w:pPr>
    </w:p>
    <w:p>
      <w:pPr>
        <w:ind w:right="80" w:firstLine="722"/>
        <w:spacing w:after="0" w:line="261"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COVID-19 may be difficult to assess or predict, it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88" w:lineRule="exact"/>
        <w:rPr>
          <w:sz w:val="20"/>
          <w:szCs w:val="20"/>
          <w:color w:val="auto"/>
        </w:rPr>
      </w:pPr>
    </w:p>
    <w:p>
      <w:pPr>
        <w:ind w:right="40" w:firstLine="722"/>
        <w:spacing w:after="0" w:line="282" w:lineRule="auto"/>
        <w:rPr>
          <w:sz w:val="20"/>
          <w:szCs w:val="20"/>
          <w:color w:val="auto"/>
        </w:rPr>
      </w:pPr>
      <w:r>
        <w:rPr>
          <w:rFonts w:ascii="Times New Roman" w:cs="Times New Roman" w:eastAsia="Times New Roman" w:hAnsi="Times New Roman"/>
          <w:sz w:val="18"/>
          <w:szCs w:val="18"/>
          <w:color w:val="auto"/>
        </w:rPr>
        <w:t>The global COVID-19 pandemic continues to rapidly evolve. The extent to which the COVID-19 pandemic impacts our business and operations, including our clinical development and regulatory efforts, will depend on future developments that are highly uncertain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4" w:name="page65"/>
    <w:bookmarkEnd w:id="64"/>
    <w:p>
      <w:pPr>
        <w:ind w:right="40"/>
        <w:spacing w:after="0" w:line="256" w:lineRule="auto"/>
        <w:rPr>
          <w:sz w:val="20"/>
          <w:szCs w:val="20"/>
          <w:color w:val="auto"/>
        </w:rPr>
      </w:pPr>
      <w:r>
        <w:rPr>
          <w:rFonts w:ascii="Times New Roman" w:cs="Times New Roman" w:eastAsia="Times New Roman" w:hAnsi="Times New Roman"/>
          <w:sz w:val="18"/>
          <w:szCs w:val="18"/>
          <w:color w:val="auto"/>
        </w:rPr>
        <w:t>cannot be predicted with confidence at the time of this Annual Report on Form 10-K,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and the availability, timing and effectiveness of a vaccine, both domestically and globally.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295" w:lineRule="exact"/>
        <w:rPr>
          <w:sz w:val="20"/>
          <w:szCs w:val="20"/>
          <w:color w:val="auto"/>
        </w:rPr>
      </w:pPr>
    </w:p>
    <w:p>
      <w:pPr>
        <w:ind w:right="40" w:firstLine="722"/>
        <w:spacing w:after="0" w:line="282"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spacing w:after="0" w:line="67"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the United Kingdom was subject to a transition period until December 31, 2020, or the Transition Period, during which European Union rules continued to apply. A trade and cooperation agreement, or the Trade and Cooperation Agreement, that outlines the future trading relationship between the United Kingdom and the European Union was agreed to in December 2020.</w:t>
      </w:r>
    </w:p>
    <w:p>
      <w:pPr>
        <w:spacing w:after="0" w:line="291"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development, manufacture, importation, approval and commercialization of our product candidates in the United Kingdom or the European Union. For example, Great Britain is no longer covered by the centralized procedures for obtaining European Union-wide marketing authorizations from the EMA, and a separate marketing authorization will be required to market our product candidates in Great Britain. It is currently unclear whether the Medicines &amp; Healthcare products Regulatory Agency in the United Kingdom is sufficiently prepared to handle the increased volume of MAAs that it is likely to receive. Any delay in obtaining, or an inability to obtain, any marketing approvals, as a result of Brexit or otherwise, would delay or prevent us from commercializing our product candidates in the United Kingdom or the European Union and limit our ability to generate revenue and achieve and sustain profitability. While the Trade and Cooperation Agreement provides for the tariff-free trade of medicinal products between the United Kingdom and the European Union, there may be additional non-tariff costs to such trade that did not exist prior to the end of the Transition Period. Further, should the United Kingdom diverge from the European Union from a regulatory perspective in relation to medicinal products, tariffs could be put into place in the future. We could therefore, both now and in the future, face significant additional expenses (when compare to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1" w:lineRule="exact"/>
        <w:rPr>
          <w:sz w:val="20"/>
          <w:szCs w:val="20"/>
          <w:color w:val="auto"/>
        </w:rPr>
      </w:pPr>
    </w:p>
    <w:p>
      <w:pPr>
        <w:ind w:right="520" w:firstLine="722"/>
        <w:spacing w:after="0" w:line="282" w:lineRule="auto"/>
        <w:rPr>
          <w:sz w:val="20"/>
          <w:szCs w:val="20"/>
          <w:color w:val="auto"/>
        </w:rPr>
      </w:pPr>
      <w:r>
        <w:rPr>
          <w:rFonts w:ascii="Times New Roman" w:cs="Times New Roman" w:eastAsia="Times New Roman" w:hAnsi="Times New Roman"/>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w:t>
      </w:r>
    </w:p>
    <w:p>
      <w:pPr>
        <w:spacing w:after="0" w:line="270"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We currently rely on the UT Southwestern Gene Therapy Program to manufacture our product candidates. Although we are establishing our own manufacturing facility to provide clinical and commercial supply of our product candidates, we expect to rely on UT Southwestern for our manufacturing needs for the foreseeable future. To date, UT Southwestern has met our manufacturing requirements and quality standards for our program materials, and we expect that UT Southwestern will be capable of providing sufficient quantities of our program materials to meet anticipated clinical trial scale demands.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297" w:lineRule="exact"/>
        <w:rPr>
          <w:sz w:val="20"/>
          <w:szCs w:val="20"/>
          <w:color w:val="auto"/>
        </w:rPr>
      </w:pPr>
    </w:p>
    <w:p>
      <w:pPr>
        <w:ind w:right="100" w:firstLine="722"/>
        <w:spacing w:after="0" w:line="254" w:lineRule="auto"/>
        <w:rPr>
          <w:sz w:val="20"/>
          <w:szCs w:val="20"/>
          <w:color w:val="auto"/>
        </w:rPr>
      </w:pPr>
      <w:r>
        <w:rPr>
          <w:rFonts w:ascii="Times New Roman" w:cs="Times New Roman" w:eastAsia="Times New Roman" w:hAnsi="Times New Roman"/>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or CMOs, to adhere to or document compliance to such regulatory requirements could lead to a delay or interruption in the availability of our program materials for clinical trials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5" w:name="page66"/>
    <w:bookmarkEnd w:id="65"/>
    <w:p>
      <w:pPr>
        <w:ind w:firstLine="722"/>
        <w:spacing w:after="0" w:line="253"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spacing w:after="0" w:line="296"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for AAV9 are subject to significant regulation with respect to manufacturing our products. The third-party manufacturing facilities on which we rely, and any manufacturing facility that we may have in the future, including our facility in Durham, North Carolina, may have limited capacity or fail to meet the applicable stringent regulatory requirements.</w:t>
      </w:r>
    </w:p>
    <w:p>
      <w:pPr>
        <w:spacing w:after="0" w:line="67"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295"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CMOs for components of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CMOs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spacing w:after="0" w:line="305" w:lineRule="exact"/>
        <w:rPr>
          <w:sz w:val="20"/>
          <w:szCs w:val="20"/>
          <w:color w:val="auto"/>
        </w:rPr>
      </w:pPr>
    </w:p>
    <w:p>
      <w:pPr>
        <w:ind w:right="60" w:firstLine="722"/>
        <w:spacing w:after="0" w:line="253"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98" w:lineRule="exact"/>
        <w:rPr>
          <w:sz w:val="20"/>
          <w:szCs w:val="20"/>
          <w:color w:val="auto"/>
        </w:rPr>
      </w:pPr>
    </w:p>
    <w:p>
      <w:pPr>
        <w:ind w:right="100" w:firstLine="722"/>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51" w:lineRule="exact"/>
        <w:rPr>
          <w:sz w:val="20"/>
          <w:szCs w:val="20"/>
          <w:color w:val="auto"/>
        </w:rPr>
      </w:pPr>
    </w:p>
    <w:p>
      <w:pPr>
        <w:ind w:right="100" w:firstLine="722"/>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plasmids and viruses to deliver necessary components could result in delays in our clinical development or marketing schedules.</w:t>
      </w:r>
    </w:p>
    <w:p>
      <w:pPr>
        <w:spacing w:after="0" w:line="51"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right="20" w:firstLine="722"/>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40" w:firstLine="722"/>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2" w:lineRule="exact"/>
        <w:rPr>
          <w:sz w:val="20"/>
          <w:szCs w:val="20"/>
          <w:color w:val="auto"/>
        </w:rPr>
      </w:pPr>
    </w:p>
    <w:p>
      <w:pPr>
        <w:ind w:left="1080" w:hanging="357"/>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80" w:hanging="357"/>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 or REMS;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80" w:right="520" w:hanging="357"/>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TSHA-101, TSHA-118, TSHA-102 TSHA-104 and any other product candidates, once approved;</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7" w:name="page68"/>
    <w:bookmarkEnd w:id="6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51" w:lineRule="exact"/>
        <w:rPr>
          <w:sz w:val="20"/>
          <w:szCs w:val="20"/>
          <w:color w:val="auto"/>
        </w:rPr>
      </w:pPr>
    </w:p>
    <w:p>
      <w:pPr>
        <w:ind w:right="80" w:firstLine="722"/>
        <w:spacing w:after="0" w:line="255" w:lineRule="auto"/>
        <w:rPr>
          <w:sz w:val="20"/>
          <w:szCs w:val="20"/>
          <w:color w:val="auto"/>
        </w:rPr>
      </w:pPr>
      <w:r>
        <w:rPr>
          <w:rFonts w:ascii="Times New Roman" w:cs="Times New Roman" w:eastAsia="Times New Roman" w:hAnsi="Times New Roman"/>
          <w:sz w:val="18"/>
          <w:szCs w:val="18"/>
          <w:color w:val="auto"/>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297"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Although none of our current product candidates utilize murine gamma-retroviral vectors, our 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TSHA-104,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97"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sales, marketing and distribution capabilities for TSHA-101, TSHA-118, TSHA-102 TSHA-104 or any other product candidate that may receive regulatory approval, we may not be successful in commercializing those product candidates if and when they are approved.</w:t>
      </w:r>
    </w:p>
    <w:p>
      <w:pPr>
        <w:spacing w:after="0" w:line="28"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We do not have sales or marketing infrastructure. To achieve commercial success for TSHA-101, TSHA-118, TSHA-102, TSHA-104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9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17" w:lineRule="exact"/>
        <w:rPr>
          <w:sz w:val="20"/>
          <w:szCs w:val="20"/>
          <w:color w:val="auto"/>
        </w:rPr>
      </w:pPr>
    </w:p>
    <w:p>
      <w:pPr>
        <w:ind w:left="1080" w:hanging="357"/>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17" w:lineRule="exact"/>
        <w:rPr>
          <w:rFonts w:ascii="Times New Roman" w:cs="Times New Roman" w:eastAsia="Times New Roman" w:hAnsi="Times New Roman"/>
          <w:sz w:val="18"/>
          <w:szCs w:val="18"/>
          <w:color w:val="auto"/>
        </w:rPr>
      </w:pPr>
    </w:p>
    <w:p>
      <w:pPr>
        <w:ind w:left="1080" w:right="120" w:hanging="357"/>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333" w:lineRule="exact"/>
        <w:rPr>
          <w:sz w:val="20"/>
          <w:szCs w:val="20"/>
          <w:color w:val="auto"/>
        </w:rPr>
      </w:pPr>
    </w:p>
    <w:p>
      <w:pPr>
        <w:ind w:right="20" w:firstLine="722"/>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51" w:lineRule="exact"/>
        <w:rPr>
          <w:sz w:val="20"/>
          <w:szCs w:val="20"/>
          <w:color w:val="auto"/>
        </w:rPr>
      </w:pPr>
    </w:p>
    <w:p>
      <w:pPr>
        <w:ind w:right="60" w:firstLine="722"/>
        <w:spacing w:after="0" w:line="255"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297"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on Form 10-K should be viewed with caution. Further, the data and statistical information used in this Annual Report on Form 10-K, including estimates derived from them, may differ from information and estimates made by our competitors or from current or future studies conducted by independent sources.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spacing w:after="0" w:line="288" w:lineRule="exact"/>
        <w:rPr>
          <w:sz w:val="20"/>
          <w:szCs w:val="20"/>
          <w:color w:val="auto"/>
        </w:rPr>
      </w:pPr>
    </w:p>
    <w:p>
      <w:pPr>
        <w:ind w:right="20" w:firstLine="722"/>
        <w:spacing w:after="0" w:line="254" w:lineRule="auto"/>
        <w:rPr>
          <w:sz w:val="20"/>
          <w:szCs w:val="20"/>
          <w:color w:val="auto"/>
        </w:rPr>
      </w:pPr>
      <w:r>
        <w:rPr>
          <w:rFonts w:ascii="Times New Roman" w:cs="Times New Roman" w:eastAsia="Times New Roman" w:hAnsi="Times New Roman"/>
          <w:sz w:val="18"/>
          <w:szCs w:val="18"/>
          <w:color w:val="auto"/>
        </w:rPr>
        <w:t>We believe that the majority of our programs will face limited competition as there are no approved disease-modifying therapies for the treatment of the GM2 gangliosidosis, CLN1 disease, Rett syndrome, SLC6A1-related disorder, SURF1-associated Leigh syndrome, SLC13A5 disorder, Fragile X syndrome, Angelman syndrome or the other development programs in our pipeline. However, we are aware that our competitors are developing product candidates for the treatment of diseases that our product candidates will target. With respect to TSHA-101, we are aware that Sio Gene Therapies is developing AXO-AAV-GM2 for the treatment of GM2 gangliosidosis, and with respect to TSHA-102, we are aware that Novartis is developing AVXS-201 for the treatment of Rett syndrome. We are also aware that the Rett Syndrome Research Trust, Amicus Therapeutics, or Amicus, and Sarepta Therapeutics have disclosed the existence of discovery-stage gene therapy programs for the treatment of Rett syndrome. With respect to TSHA-118, we are aware that Amicus, in collaboration with Nationwide Children’s Hospital, is developing a gene therapy product candidate for CLN1 disease.</w:t>
      </w:r>
    </w:p>
    <w:p>
      <w:pPr>
        <w:spacing w:after="0" w:line="300" w:lineRule="exact"/>
        <w:rPr>
          <w:sz w:val="20"/>
          <w:szCs w:val="20"/>
          <w:color w:val="auto"/>
        </w:rPr>
      </w:pPr>
    </w:p>
    <w:p>
      <w:pPr>
        <w:ind w:right="140" w:firstLine="722"/>
        <w:spacing w:after="0" w:line="258"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Our current and potential future competitors may also have significantly more experience commercializing drugs, particularly gene therapy and other biological products, that have been approved for marketing. Mergers and acquisitions in the pharmaceutical and biotechnology industries could result in even more resources being concentrated among a small number of our competitors.</w:t>
      </w:r>
    </w:p>
    <w:p>
      <w:pPr>
        <w:spacing w:after="0" w:line="291" w:lineRule="exact"/>
        <w:rPr>
          <w:sz w:val="20"/>
          <w:szCs w:val="20"/>
          <w:color w:val="auto"/>
        </w:rPr>
      </w:pPr>
    </w:p>
    <w:p>
      <w:pPr>
        <w:ind w:right="340" w:firstLine="722"/>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spacing w:after="0" w:line="68" w:lineRule="exact"/>
        <w:rPr>
          <w:sz w:val="20"/>
          <w:szCs w:val="20"/>
          <w:color w:val="auto"/>
        </w:rPr>
      </w:pPr>
    </w:p>
    <w:p>
      <w:pPr>
        <w:ind w:left="1080" w:hanging="35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9" w:name="page70"/>
    <w:bookmarkEnd w:id="69"/>
    <w:p>
      <w:pPr>
        <w:jc w:val="both"/>
        <w:ind w:right="140" w:firstLine="722"/>
        <w:spacing w:after="0" w:line="261"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288" w:lineRule="exact"/>
        <w:rPr>
          <w:sz w:val="20"/>
          <w:szCs w:val="20"/>
          <w:color w:val="auto"/>
        </w:rPr>
      </w:pPr>
    </w:p>
    <w:p>
      <w:pPr>
        <w:ind w:right="40" w:firstLine="722"/>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21" w:lineRule="exact"/>
        <w:rPr>
          <w:sz w:val="20"/>
          <w:szCs w:val="20"/>
          <w:color w:val="auto"/>
        </w:rPr>
      </w:pPr>
    </w:p>
    <w:p>
      <w:pPr>
        <w:ind w:right="120" w:firstLine="722"/>
        <w:spacing w:after="0" w:line="254" w:lineRule="auto"/>
        <w:rPr>
          <w:sz w:val="20"/>
          <w:szCs w:val="20"/>
          <w:color w:val="auto"/>
        </w:rPr>
      </w:pPr>
      <w:r>
        <w:rPr>
          <w:rFonts w:ascii="Times New Roman" w:cs="Times New Roman" w:eastAsia="Times New Roman" w:hAnsi="Times New Roman"/>
          <w:sz w:val="18"/>
          <w:szCs w:val="18"/>
          <w:color w:val="auto"/>
        </w:rPr>
        <w:t>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297" w:lineRule="exact"/>
        <w:rPr>
          <w:sz w:val="20"/>
          <w:szCs w:val="20"/>
          <w:color w:val="auto"/>
        </w:rPr>
      </w:pPr>
    </w:p>
    <w:p>
      <w:pPr>
        <w:ind w:right="100" w:firstLine="722"/>
        <w:spacing w:after="0" w:line="254"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to pay for these procedures.</w:t>
      </w:r>
    </w:p>
    <w:p>
      <w:pPr>
        <w:spacing w:after="0" w:line="5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TSHA-101 for the treatment of GM2 gangliosidosis, TSHA-118 for the treatment of CLN1 disease, TSHA-102 for the treatment of Rett syndrome and TSHA-104 for the treatment of SURF1-associated Leigh syndrome,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295" w:lineRule="exact"/>
        <w:rPr>
          <w:sz w:val="20"/>
          <w:szCs w:val="20"/>
          <w:color w:val="auto"/>
        </w:rPr>
      </w:pPr>
    </w:p>
    <w:p>
      <w:pPr>
        <w:ind w:right="20" w:firstLine="722"/>
        <w:spacing w:after="0" w:line="254"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ind w:right="80" w:firstLine="722"/>
        <w:spacing w:after="0" w:line="253"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298" w:lineRule="exact"/>
        <w:rPr>
          <w:sz w:val="20"/>
          <w:szCs w:val="20"/>
          <w:color w:val="auto"/>
        </w:rPr>
      </w:pPr>
    </w:p>
    <w:p>
      <w:pPr>
        <w:ind w:right="200" w:firstLine="722"/>
        <w:spacing w:after="0" w:line="266"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284" w:lineRule="exact"/>
        <w:rPr>
          <w:sz w:val="20"/>
          <w:szCs w:val="20"/>
          <w:color w:val="auto"/>
        </w:rPr>
      </w:pPr>
    </w:p>
    <w:p>
      <w:pPr>
        <w:ind w:right="60" w:firstLine="722"/>
        <w:spacing w:after="0" w:line="261" w:lineRule="auto"/>
        <w:rPr>
          <w:sz w:val="20"/>
          <w:szCs w:val="20"/>
          <w:color w:val="auto"/>
        </w:rPr>
      </w:pPr>
      <w:r>
        <w:rPr>
          <w:rFonts w:ascii="Times New Roman" w:cs="Times New Roman" w:eastAsia="Times New Roman" w:hAnsi="Times New Roman"/>
          <w:sz w:val="18"/>
          <w:szCs w:val="18"/>
          <w:color w:val="auto"/>
        </w:rPr>
        <w:t>There can be no assurance that TSHA-101, TSHA-118, TSHA-102, TSHA-104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20" w:firstLine="722"/>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68" w:lineRule="exact"/>
        <w:rPr>
          <w:sz w:val="20"/>
          <w:szCs w:val="20"/>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333"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72" w:lineRule="exact"/>
        <w:rPr>
          <w:sz w:val="20"/>
          <w:szCs w:val="20"/>
          <w:color w:val="auto"/>
        </w:rPr>
      </w:pPr>
    </w:p>
    <w:p>
      <w:pPr>
        <w:ind w:right="40" w:firstLine="722"/>
        <w:spacing w:after="0" w:line="255" w:lineRule="auto"/>
        <w:rPr>
          <w:sz w:val="20"/>
          <w:szCs w:val="20"/>
          <w:color w:val="auto"/>
        </w:rPr>
      </w:pPr>
      <w:r>
        <w:rPr>
          <w:rFonts w:ascii="Times New Roman" w:cs="Times New Roman" w:eastAsia="Times New Roman" w:hAnsi="Times New Roman"/>
          <w:sz w:val="18"/>
          <w:szCs w:val="18"/>
          <w:color w:val="auto"/>
        </w:rPr>
        <w:t>Our collaboration with UT Southwestern is critical to our business. We entered into the UT Southwestern Agreement with UT Southwestern to discover and develop certain AAV vector-based therapeutics, and the product candidates developed under such collaboration currently represent all of our pipeline and discovery programs. We currently rely exclusively on UT Southwestern for all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 regulatory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ind w:right="140"/>
        <w:spacing w:after="0" w:line="258" w:lineRule="auto"/>
        <w:rPr>
          <w:sz w:val="20"/>
          <w:szCs w:val="20"/>
          <w:color w:val="auto"/>
        </w:rPr>
      </w:pPr>
      <w:r>
        <w:rPr>
          <w:rFonts w:ascii="Times New Roman" w:cs="Times New Roman" w:eastAsia="Times New Roman" w:hAnsi="Times New Roman"/>
          <w:sz w:val="18"/>
          <w:szCs w:val="18"/>
          <w:color w:val="auto"/>
        </w:rPr>
        <w:t>authorities. Although we plan to be the sponsor for each product candidate’s IND, UT Southwestern will be the holder of the Health Canada CTA for TSHA-101.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spacing w:after="0" w:line="29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The term of the research funding portion of the UT Southwestern Agreement, under which we have the ability to acquire exclusive rights to additional gene therapy products for rare, monogenic CNS indications, expires in November 2021, subject to mutual agreement to extend research funding pursuant to sponsored research agreements. If we seek to extend the research portion of our collaboration, we will need to negotiate a new or amended agreement, which may not be available to us on equally favorable terms, if at all.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spacing w:after="0" w:line="302"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spacing w:after="0" w:line="291" w:lineRule="exact"/>
        <w:rPr>
          <w:sz w:val="20"/>
          <w:szCs w:val="20"/>
          <w:color w:val="auto"/>
        </w:rPr>
      </w:pPr>
    </w:p>
    <w:p>
      <w:pPr>
        <w:ind w:right="8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28" w:lineRule="exact"/>
        <w:rPr>
          <w:sz w:val="20"/>
          <w:szCs w:val="20"/>
          <w:color w:val="auto"/>
        </w:rPr>
      </w:pPr>
    </w:p>
    <w:p>
      <w:pPr>
        <w:ind w:right="80" w:firstLine="722"/>
        <w:spacing w:after="0" w:line="253" w:lineRule="auto"/>
        <w:rPr>
          <w:sz w:val="20"/>
          <w:szCs w:val="20"/>
          <w:color w:val="auto"/>
        </w:rPr>
      </w:pPr>
      <w:r>
        <w:rPr>
          <w:rFonts w:ascii="Times New Roman" w:cs="Times New Roman" w:eastAsia="Times New Roman" w:hAnsi="Times New Roman"/>
          <w:sz w:val="18"/>
          <w:szCs w:val="18"/>
          <w:color w:val="auto"/>
        </w:rPr>
        <w:t>We have engaged a CRO for the Phase 1/2 clinical trial of TSHA-101 under a CTA in Canada and intend to engage CROs for our other planned clinical trials.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 interrupted by the ongoing COVID-19 pandemic, including due to travel or quarantine policies, heightened exposure of CRO staff who are healthcare providers to COVID-19 or prioritization of resources toward the pandemic.</w:t>
      </w:r>
    </w:p>
    <w:p>
      <w:pPr>
        <w:spacing w:after="0" w:line="300" w:lineRule="exact"/>
        <w:rPr>
          <w:sz w:val="20"/>
          <w:szCs w:val="20"/>
          <w:color w:val="auto"/>
        </w:rPr>
      </w:pPr>
    </w:p>
    <w:p>
      <w:pPr>
        <w:ind w:right="120" w:firstLine="722"/>
        <w:spacing w:after="0" w:line="255"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297"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2" w:name="page73"/>
    <w:bookmarkEnd w:id="72"/>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284" w:lineRule="exact"/>
        <w:rPr>
          <w:sz w:val="20"/>
          <w:szCs w:val="20"/>
          <w:color w:val="auto"/>
        </w:rPr>
      </w:pPr>
    </w:p>
    <w:p>
      <w:pPr>
        <w:ind w:right="20" w:firstLine="722"/>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TSHA-101, TSHA-118, TSHA-102TSHA-104 or any other product candidates.</w:t>
      </w:r>
    </w:p>
    <w:p>
      <w:pPr>
        <w:spacing w:after="0" w:line="295" w:lineRule="exact"/>
        <w:rPr>
          <w:sz w:val="20"/>
          <w:szCs w:val="20"/>
          <w:color w:val="auto"/>
        </w:rPr>
      </w:pPr>
    </w:p>
    <w:p>
      <w:pPr>
        <w:ind w:right="120" w:firstLine="722"/>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17" w:lineRule="exact"/>
        <w:rPr>
          <w:sz w:val="20"/>
          <w:szCs w:val="20"/>
          <w:color w:val="auto"/>
        </w:rPr>
      </w:pPr>
    </w:p>
    <w:p>
      <w:pPr>
        <w:ind w:left="1080" w:hanging="357"/>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080" w:right="180" w:hanging="357"/>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80" w:right="400" w:hanging="357"/>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80" w:right="400" w:hanging="357"/>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80" w:hanging="357"/>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1080" w:right="400" w:hanging="357"/>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ind w:left="1080" w:right="140" w:hanging="357"/>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1080" w:right="100" w:hanging="357"/>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3" w:name="page74"/>
    <w:bookmarkEnd w:id="73"/>
    <w:p>
      <w:pPr>
        <w:ind w:left="1080" w:hanging="357"/>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080" w:right="140" w:hanging="357"/>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270" w:lineRule="exact"/>
        <w:rPr>
          <w:sz w:val="20"/>
          <w:szCs w:val="20"/>
          <w:color w:val="auto"/>
        </w:rPr>
      </w:pPr>
    </w:p>
    <w:p>
      <w:pPr>
        <w:ind w:right="180" w:firstLine="722"/>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284" w:lineRule="exact"/>
        <w:rPr>
          <w:sz w:val="20"/>
          <w:szCs w:val="20"/>
          <w:color w:val="auto"/>
        </w:rPr>
      </w:pPr>
    </w:p>
    <w:p>
      <w:pPr>
        <w:ind w:right="60" w:firstLine="722"/>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302"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51" w:lineRule="exact"/>
        <w:rPr>
          <w:sz w:val="20"/>
          <w:szCs w:val="20"/>
          <w:color w:val="auto"/>
        </w:rPr>
      </w:pPr>
    </w:p>
    <w:p>
      <w:pPr>
        <w:jc w:val="both"/>
        <w:ind w:right="240" w:firstLine="722"/>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284" w:lineRule="exact"/>
        <w:rPr>
          <w:sz w:val="20"/>
          <w:szCs w:val="20"/>
          <w:color w:val="auto"/>
        </w:rPr>
      </w:pPr>
    </w:p>
    <w:p>
      <w:pPr>
        <w:ind w:right="40" w:firstLine="722"/>
        <w:spacing w:after="0" w:line="253" w:lineRule="auto"/>
        <w:rPr>
          <w:sz w:val="20"/>
          <w:szCs w:val="20"/>
          <w:color w:val="auto"/>
        </w:rPr>
      </w:pPr>
      <w:r>
        <w:rPr>
          <w:rFonts w:ascii="Times New Roman" w:cs="Times New Roman" w:eastAsia="Times New Roman" w:hAnsi="Times New Roman"/>
          <w:sz w:val="18"/>
          <w:szCs w:val="18"/>
          <w:color w:val="auto"/>
        </w:rPr>
        <w:t>As of January 26, 2021, we in-license five pending PCT applications, 27 pending foreign patent applications and 13 pending United States patent applications, of which seven are United States utility patent applications, which, if issued, are expected to expire between 2037 and 2040, without taking into account any possible patent term adjustment, and six are United States provisional patent applications, where patent applications claiming priority to these provisional patent applications, if issued, are expected to expire in 2041, without taking into account any possible patent term adjustment.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302" w:lineRule="exact"/>
        <w:rPr>
          <w:sz w:val="20"/>
          <w:szCs w:val="20"/>
          <w:color w:val="auto"/>
        </w:rPr>
      </w:pPr>
    </w:p>
    <w:p>
      <w:pPr>
        <w:ind w:right="140" w:firstLine="722"/>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95" w:lineRule="exact"/>
        <w:rPr>
          <w:sz w:val="20"/>
          <w:szCs w:val="20"/>
          <w:color w:val="auto"/>
        </w:rPr>
      </w:pPr>
    </w:p>
    <w:p>
      <w:pPr>
        <w:ind w:right="40" w:firstLine="722"/>
        <w:spacing w:after="0" w:line="266"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ind w:right="60"/>
        <w:spacing w:after="0" w:line="255" w:lineRule="auto"/>
        <w:rPr>
          <w:sz w:val="20"/>
          <w:szCs w:val="20"/>
          <w:color w:val="auto"/>
        </w:rPr>
      </w:pPr>
      <w:r>
        <w:rPr>
          <w:rFonts w:ascii="Times New Roman" w:cs="Times New Roman" w:eastAsia="Times New Roman" w:hAnsi="Times New Roman"/>
          <w:sz w:val="18"/>
          <w:szCs w:val="18"/>
          <w:color w:val="auto"/>
        </w:rPr>
        <w:t>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97"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9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67"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9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51" w:lineRule="exact"/>
        <w:rPr>
          <w:sz w:val="20"/>
          <w:szCs w:val="20"/>
          <w:color w:val="auto"/>
        </w:rPr>
      </w:pPr>
    </w:p>
    <w:p>
      <w:pPr>
        <w:ind w:right="80" w:firstLine="722"/>
        <w:spacing w:after="0" w:line="256"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proprietary technology for the development of our product candidates, in particular the UT Southwestern Agreement and our license agreements with Queen’s University and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spacing w:after="0" w:line="295"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302" w:lineRule="exact"/>
        <w:rPr>
          <w:sz w:val="20"/>
          <w:szCs w:val="20"/>
          <w:color w:val="auto"/>
        </w:rPr>
      </w:pPr>
    </w:p>
    <w:p>
      <w:pPr>
        <w:ind w:right="240" w:firstLine="722"/>
        <w:spacing w:after="0" w:line="282" w:lineRule="auto"/>
        <w:rPr>
          <w:sz w:val="20"/>
          <w:szCs w:val="20"/>
          <w:color w:val="auto"/>
        </w:rPr>
      </w:pPr>
      <w:r>
        <w:rPr>
          <w:rFonts w:ascii="Times New Roman" w:cs="Times New Roman" w:eastAsia="Times New Roman" w:hAnsi="Times New Roman"/>
          <w:sz w:val="18"/>
          <w:szCs w:val="18"/>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ind w:right="240"/>
        <w:spacing w:after="0" w:line="282" w:lineRule="auto"/>
        <w:rPr>
          <w:sz w:val="20"/>
          <w:szCs w:val="20"/>
          <w:color w:val="auto"/>
        </w:rPr>
      </w:pPr>
      <w:r>
        <w:rPr>
          <w:rFonts w:ascii="Times New Roman" w:cs="Times New Roman" w:eastAsia="Times New Roman" w:hAnsi="Times New Roman"/>
          <w:sz w:val="18"/>
          <w:szCs w:val="18"/>
          <w:color w:val="auto"/>
        </w:rPr>
        <w:t>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270" w:lineRule="exact"/>
        <w:rPr>
          <w:sz w:val="20"/>
          <w:szCs w:val="20"/>
          <w:color w:val="auto"/>
        </w:rPr>
      </w:pPr>
    </w:p>
    <w:p>
      <w:pPr>
        <w:ind w:right="60" w:firstLine="722"/>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8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51" w:lineRule="exact"/>
        <w:rPr>
          <w:sz w:val="20"/>
          <w:szCs w:val="20"/>
          <w:color w:val="auto"/>
        </w:rPr>
      </w:pPr>
    </w:p>
    <w:p>
      <w:pPr>
        <w:ind w:right="320" w:firstLine="722"/>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291"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or the Leahy-Smith Act, was signed into law. The Leahy-Smith Act included a number of significant changes to United States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303"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 consuming and unsuccessful.</w:t>
      </w:r>
    </w:p>
    <w:p>
      <w:pPr>
        <w:spacing w:after="0" w:line="121"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6" w:name="page77"/>
    <w:bookmarkEnd w:id="76"/>
    <w:p>
      <w:pPr>
        <w:ind w:right="40"/>
        <w:spacing w:after="0" w:line="258" w:lineRule="auto"/>
        <w:rPr>
          <w:sz w:val="20"/>
          <w:szCs w:val="20"/>
          <w:color w:val="auto"/>
        </w:rPr>
      </w:pPr>
      <w:r>
        <w:rPr>
          <w:rFonts w:ascii="Times New Roman" w:cs="Times New Roman" w:eastAsia="Times New Roman" w:hAnsi="Times New Roman"/>
          <w:sz w:val="18"/>
          <w:szCs w:val="18"/>
          <w:color w:val="auto"/>
        </w:rPr>
        <w:t>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291" w:lineRule="exact"/>
        <w:rPr>
          <w:sz w:val="20"/>
          <w:szCs w:val="20"/>
          <w:color w:val="auto"/>
        </w:rPr>
      </w:pPr>
    </w:p>
    <w:p>
      <w:pPr>
        <w:ind w:right="120" w:firstLine="722"/>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295" w:lineRule="exact"/>
        <w:rPr>
          <w:sz w:val="20"/>
          <w:szCs w:val="20"/>
          <w:color w:val="auto"/>
        </w:rPr>
      </w:pPr>
    </w:p>
    <w:p>
      <w:pPr>
        <w:jc w:val="both"/>
        <w:ind w:right="120" w:firstLine="722"/>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51"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w:t>
      </w:r>
    </w:p>
    <w:p>
      <w:pPr>
        <w:spacing w:after="0" w:line="12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TSHA-101, TSHA-118, TSHA-102, TSHA-104 or any future product candidates. In order to successfully challenge the validity of any such United States patent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300"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7" w:name="page78"/>
    <w:bookmarkEnd w:id="77"/>
    <w:p>
      <w:pPr>
        <w:ind w:right="60" w:firstLine="722"/>
        <w:spacing w:after="0" w:line="252" w:lineRule="auto"/>
        <w:rPr>
          <w:sz w:val="20"/>
          <w:szCs w:val="20"/>
          <w:color w:val="auto"/>
        </w:rPr>
      </w:pPr>
      <w:r>
        <w:rPr>
          <w:rFonts w:ascii="Times New Roman" w:cs="Times New Roman" w:eastAsia="Times New Roman" w:hAnsi="Times New Roman"/>
          <w:sz w:val="18"/>
          <w:szCs w:val="18"/>
          <w:color w:val="auto"/>
        </w:rPr>
        <w:t>We are aware of issued patent or patents issued to REGENX that claim AAV vectors that have an AAV9 capsid serotype. If we commercialize any of our product candidates prior to the expiry of those patents in 2026 without a license, the patent owner could bring an action claiming infringement. In August 2020, we received a letter from REGENX that stated REGENX is the owner of or has exclusive licenses to various issued patents or patent applications regarding the use of AAV9 vectors and offered to discuss licensing the applicable patents from them. We intend to review their letter in detail and to take appropriate actions based on our review, which may include, if we deem it appropriate, speaking with REGENX regarding their letter.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303" w:lineRule="exact"/>
        <w:rPr>
          <w:sz w:val="20"/>
          <w:szCs w:val="20"/>
          <w:color w:val="auto"/>
        </w:rPr>
      </w:pPr>
    </w:p>
    <w:p>
      <w:pPr>
        <w:ind w:right="60" w:firstLine="722"/>
        <w:spacing w:after="0" w:line="261"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right="200" w:firstLine="722"/>
        <w:spacing w:after="0" w:line="256"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21"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100" w:firstLine="722"/>
        <w:spacing w:after="0" w:line="254" w:lineRule="auto"/>
        <w:rPr>
          <w:sz w:val="20"/>
          <w:szCs w:val="20"/>
          <w:color w:val="auto"/>
        </w:rPr>
      </w:pPr>
      <w:r>
        <w:rPr>
          <w:rFonts w:ascii="Times New Roman" w:cs="Times New Roman" w:eastAsia="Times New Roman" w:hAnsi="Times New Roman"/>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ind w:right="60"/>
        <w:spacing w:after="0" w:line="282" w:lineRule="auto"/>
        <w:rPr>
          <w:sz w:val="20"/>
          <w:szCs w:val="20"/>
          <w:color w:val="auto"/>
        </w:rPr>
      </w:pPr>
      <w:r>
        <w:rPr>
          <w:rFonts w:ascii="Times New Roman" w:cs="Times New Roman" w:eastAsia="Times New Roman" w:hAnsi="Times New Roman"/>
          <w:sz w:val="18"/>
          <w:szCs w:val="18"/>
          <w:color w:val="auto"/>
        </w:rPr>
        <w:t>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270"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1" w:lineRule="exact"/>
        <w:rPr>
          <w:sz w:val="20"/>
          <w:szCs w:val="20"/>
          <w:color w:val="auto"/>
        </w:rPr>
      </w:pPr>
    </w:p>
    <w:p>
      <w:pPr>
        <w:ind w:right="40" w:firstLine="722"/>
        <w:spacing w:after="0" w:line="258"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291"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288"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95" w:lineRule="exact"/>
        <w:rPr>
          <w:sz w:val="20"/>
          <w:szCs w:val="20"/>
          <w:color w:val="auto"/>
        </w:rPr>
      </w:pPr>
    </w:p>
    <w:p>
      <w:pPr>
        <w:ind w:right="60" w:firstLine="722"/>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6" w:lineRule="exact"/>
        <w:rPr>
          <w:sz w:val="20"/>
          <w:szCs w:val="20"/>
          <w:color w:val="auto"/>
        </w:rPr>
      </w:pPr>
    </w:p>
    <w:p>
      <w:pPr>
        <w:ind w:right="80" w:firstLine="722"/>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284"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80" w:firstLine="722"/>
        <w:spacing w:after="0" w:line="258"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121" w:lineRule="exact"/>
        <w:rPr>
          <w:sz w:val="20"/>
          <w:szCs w:val="20"/>
          <w:color w:val="auto"/>
        </w:rPr>
      </w:pPr>
    </w:p>
    <w:p>
      <w:pPr>
        <w:ind w:right="100" w:firstLine="722"/>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140" w:firstLine="722"/>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080" w:right="40" w:hanging="357"/>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our current or future patents;</w:t>
      </w:r>
    </w:p>
    <w:p>
      <w:pPr>
        <w:spacing w:after="0" w:line="53" w:lineRule="exact"/>
        <w:rPr>
          <w:rFonts w:ascii="Times New Roman" w:cs="Times New Roman" w:eastAsia="Times New Roman" w:hAnsi="Times New Roman"/>
          <w:sz w:val="18"/>
          <w:szCs w:val="18"/>
          <w:color w:val="auto"/>
        </w:rPr>
      </w:pPr>
    </w:p>
    <w:p>
      <w:pPr>
        <w:ind w:left="1080" w:right="640" w:hanging="357"/>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53" w:lineRule="exact"/>
        <w:rPr>
          <w:rFonts w:ascii="Times New Roman" w:cs="Times New Roman" w:eastAsia="Times New Roman" w:hAnsi="Times New Roman"/>
          <w:sz w:val="18"/>
          <w:szCs w:val="18"/>
          <w:color w:val="auto"/>
        </w:rPr>
      </w:pPr>
    </w:p>
    <w:p>
      <w:pPr>
        <w:ind w:left="1080" w:right="20" w:hanging="357"/>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make the inventions covered by our issued or future issued patents or our pending patent applications;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80" w:hanging="357"/>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17" w:lineRule="exact"/>
        <w:rPr>
          <w:rFonts w:ascii="Times New Roman" w:cs="Times New Roman" w:eastAsia="Times New Roman" w:hAnsi="Times New Roman"/>
          <w:sz w:val="18"/>
          <w:szCs w:val="18"/>
          <w:color w:val="auto"/>
        </w:rPr>
      </w:pPr>
    </w:p>
    <w:p>
      <w:pPr>
        <w:ind w:left="1080" w:right="620" w:hanging="357"/>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67" w:lineRule="exact"/>
        <w:rPr>
          <w:sz w:val="20"/>
          <w:szCs w:val="20"/>
          <w:color w:val="auto"/>
        </w:rPr>
      </w:pPr>
    </w:p>
    <w:p>
      <w:pPr>
        <w:ind w:right="60" w:firstLine="722"/>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84" w:lineRule="exact"/>
        <w:rPr>
          <w:sz w:val="20"/>
          <w:szCs w:val="20"/>
          <w:color w:val="auto"/>
        </w:rPr>
      </w:pPr>
    </w:p>
    <w:p>
      <w:pPr>
        <w:ind w:left="1080" w:hanging="357"/>
        <w:spacing w:after="0" w:line="253"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ACA signed into law in 2010, provides that the government may assert that a claim including items or services resulting from a violation of the federal Anti-Kickback Statute constitutes a false or fraudulent claim for purposes of the federal False Claims Act;</w:t>
      </w:r>
    </w:p>
    <w:p>
      <w:pPr>
        <w:spacing w:after="0" w:line="83" w:lineRule="exact"/>
        <w:rPr>
          <w:rFonts w:ascii="Times New Roman" w:cs="Times New Roman" w:eastAsia="Times New Roman" w:hAnsi="Times New Roman"/>
          <w:sz w:val="18"/>
          <w:szCs w:val="18"/>
          <w:color w:val="auto"/>
        </w:rPr>
      </w:pPr>
    </w:p>
    <w:p>
      <w:pPr>
        <w:ind w:left="1080" w:right="20" w:hanging="357"/>
        <w:spacing w:after="0" w:line="254"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80" w:lineRule="exact"/>
        <w:rPr>
          <w:rFonts w:ascii="Times New Roman" w:cs="Times New Roman" w:eastAsia="Times New Roman" w:hAnsi="Times New Roman"/>
          <w:sz w:val="18"/>
          <w:szCs w:val="18"/>
          <w:color w:val="auto"/>
        </w:rPr>
      </w:pPr>
    </w:p>
    <w:p>
      <w:pPr>
        <w:ind w:left="1080" w:right="20" w:hanging="357"/>
        <w:spacing w:after="0" w:line="277" w:lineRule="auto"/>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9" w:lineRule="exact"/>
        <w:rPr>
          <w:rFonts w:ascii="Times New Roman" w:cs="Times New Roman" w:eastAsia="Times New Roman" w:hAnsi="Times New Roman"/>
          <w:sz w:val="17"/>
          <w:szCs w:val="17"/>
          <w:color w:val="auto"/>
        </w:rPr>
      </w:pPr>
    </w:p>
    <w:p>
      <w:pPr>
        <w:ind w:left="1080" w:right="100" w:hanging="357"/>
        <w:spacing w:after="0" w:line="25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ind w:left="1080" w:right="160" w:hanging="357"/>
        <w:spacing w:after="0" w:line="25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w:t>
      </w:r>
    </w:p>
    <w:p>
      <w:pPr>
        <w:spacing w:after="0" w:line="2" w:lineRule="exact"/>
        <w:rPr>
          <w:rFonts w:ascii="Times New Roman" w:cs="Times New Roman" w:eastAsia="Times New Roman" w:hAnsi="Times New Roman"/>
          <w:sz w:val="18"/>
          <w:szCs w:val="18"/>
          <w:color w:val="auto"/>
        </w:rPr>
      </w:pPr>
    </w:p>
    <w:p>
      <w:pPr>
        <w:ind w:left="108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1" w:name="page82"/>
    <w:bookmarkEnd w:id="81"/>
    <w:p>
      <w:pPr>
        <w:ind w:left="1080" w:right="60" w:hanging="357"/>
        <w:spacing w:after="0" w:line="25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297"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296"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TSHA-101, TSHA-118, TSHA-102, TSHA-104 or any future product candidates, they will remain subject to ongoing regulatory oversight.</w:t>
      </w:r>
    </w:p>
    <w:p>
      <w:pPr>
        <w:spacing w:after="0" w:line="51" w:lineRule="exact"/>
        <w:rPr>
          <w:sz w:val="20"/>
          <w:szCs w:val="20"/>
          <w:color w:val="auto"/>
        </w:rPr>
      </w:pPr>
    </w:p>
    <w:p>
      <w:pPr>
        <w:ind w:right="100" w:firstLine="722"/>
        <w:spacing w:after="0" w:line="254" w:lineRule="auto"/>
        <w:rPr>
          <w:sz w:val="20"/>
          <w:szCs w:val="20"/>
          <w:color w:val="auto"/>
        </w:rPr>
      </w:pPr>
      <w:r>
        <w:rPr>
          <w:rFonts w:ascii="Times New Roman" w:cs="Times New Roman" w:eastAsia="Times New Roman" w:hAnsi="Times New Roman"/>
          <w:sz w:val="18"/>
          <w:szCs w:val="18"/>
          <w:color w:val="auto"/>
        </w:rPr>
        <w:t>Even if we obtain any regulatory approval for TSHA-101, TSHA-118, TSHA-102, TSHA-104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TSHA-101, TSHA-118, TSHA-102, TSHA-104 or any future product candidates may also be subject to a REMS,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300" w:lineRule="exact"/>
        <w:rPr>
          <w:sz w:val="20"/>
          <w:szCs w:val="20"/>
          <w:color w:val="auto"/>
        </w:rPr>
      </w:pPr>
    </w:p>
    <w:p>
      <w:pPr>
        <w:ind w:firstLine="722"/>
        <w:spacing w:after="0" w:line="255"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297" w:lineRule="exact"/>
        <w:rPr>
          <w:sz w:val="20"/>
          <w:szCs w:val="20"/>
          <w:color w:val="auto"/>
        </w:rPr>
      </w:pPr>
    </w:p>
    <w:p>
      <w:pPr>
        <w:ind w:right="20" w:firstLine="722"/>
        <w:spacing w:after="0" w:line="256"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295" w:lineRule="exact"/>
        <w:rPr>
          <w:sz w:val="20"/>
          <w:szCs w:val="20"/>
          <w:color w:val="auto"/>
        </w:rPr>
      </w:pPr>
    </w:p>
    <w:p>
      <w:pPr>
        <w:ind w:right="40" w:firstLine="722"/>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TSHA-101, TSHA-118, TSHA-102, TSHA-104 or any future product candidates, a regulatory authority may:</w:t>
      </w:r>
    </w:p>
    <w:p>
      <w:pPr>
        <w:spacing w:after="0" w:line="54" w:lineRule="exact"/>
        <w:rPr>
          <w:sz w:val="20"/>
          <w:szCs w:val="20"/>
          <w:color w:val="auto"/>
        </w:rPr>
      </w:pPr>
    </w:p>
    <w:p>
      <w:pPr>
        <w:ind w:left="1080" w:hanging="357"/>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2" w:name="page83"/>
    <w:bookmarkEnd w:id="82"/>
    <w:p>
      <w:pPr>
        <w:ind w:left="1080" w:hanging="357"/>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080" w:right="80" w:hanging="357"/>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333" w:lineRule="exact"/>
        <w:rPr>
          <w:sz w:val="20"/>
          <w:szCs w:val="20"/>
          <w:color w:val="auto"/>
        </w:rPr>
      </w:pPr>
    </w:p>
    <w:p>
      <w:pPr>
        <w:jc w:val="both"/>
        <w:ind w:right="460" w:firstLine="722"/>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TSHA-101, TSHA-118, TSHA-102, TSHA-104 or any future product candidates and harm our business, financial condition, results of operations and prospects.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51" w:lineRule="exact"/>
        <w:rPr>
          <w:sz w:val="20"/>
          <w:szCs w:val="20"/>
          <w:color w:val="auto"/>
        </w:rPr>
      </w:pPr>
    </w:p>
    <w:p>
      <w:pPr>
        <w:ind w:right="100" w:firstLine="722"/>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270" w:lineRule="exact"/>
        <w:rPr>
          <w:sz w:val="20"/>
          <w:szCs w:val="20"/>
          <w:color w:val="auto"/>
        </w:rPr>
      </w:pPr>
    </w:p>
    <w:p>
      <w:pPr>
        <w:ind w:right="220" w:firstLine="722"/>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288" w:lineRule="exact"/>
        <w:rPr>
          <w:sz w:val="20"/>
          <w:szCs w:val="20"/>
          <w:color w:val="auto"/>
        </w:rPr>
      </w:pPr>
    </w:p>
    <w:p>
      <w:pPr>
        <w:ind w:right="60" w:firstLine="722"/>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jc w:val="both"/>
        <w:ind w:right="120" w:firstLine="722"/>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284"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passed, which substantially changed the way healthcare is financed by both the government and private insurers, and significantly impacts the United States pharmaceutical industry. The ACA, among other things: (i) established an annual, nondeductible fee on any entity that manufactures or imports certain specified branded prescription drugs and biologic agents apportioned among these entities according to their market share in some government healthcare programs; (ii) expanded the entities eligible for discounts under the 340B drug pricing program; (iii) increased the statutory minimum rebates a manufacturer must pay under the Medicaid Drug Rebate Program to 23.1% and 13% of the average manufacturer price, or AMP, for most branded and generic drugs, respectively, and capped the total rebate amount for innovator drugs at 100% of the AMP; (iv) expanded the eligibility criteria for Medicaid programs by, among other things, allowing states to offer Medicaid coverage to additional individuals and by adding new eligibility categories for individuals with income at or below 133% (as calculated, it constitutes 138%) of the federal poverty level, thereby potentially increasing manufacturers’ Medicaid rebate liability; (v) addressed a new methodology by which rebates owed by manufacturers under the Medicaid Drug Rebate Program are calculated for certain drugs and biologics that are inhaled, infused, instilled, implanted or injected; (vi) introduced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(increased from 50%, effective January 1, 2019, pursuant to the Bipartisan Budget Act of 2018); (vii) created a new Patient-Centered Outcomes Research Institute to oversee, identify priorities in, and conduct comparative clinical effectiveness research, along with funding for such research; and (viii) established the Center for Medicare and Medicaid Innovation at CMS to test innovative payment and service delivery models to lower Medicare and Medicaid spending, potentially including prescription drug.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3" w:name="page84"/>
    <w:bookmarkEnd w:id="83"/>
    <w:p>
      <w:pPr>
        <w:ind w:right="40" w:firstLine="722"/>
        <w:spacing w:after="0" w:line="253" w:lineRule="auto"/>
        <w:rPr>
          <w:sz w:val="20"/>
          <w:szCs w:val="20"/>
          <w:color w:val="auto"/>
        </w:rPr>
      </w:pPr>
      <w:r>
        <w:rPr>
          <w:rFonts w:ascii="Times New Roman" w:cs="Times New Roman" w:eastAsia="Times New Roman" w:hAnsi="Times New Roman"/>
          <w:sz w:val="18"/>
          <w:szCs w:val="18"/>
          <w:color w:val="auto"/>
        </w:rPr>
        <w:t>There remain judicial and congressional challenges to certain aspects of the ACA, as well as efforts by the Trump administration to repeal or replace certain aspects of the ACA. While Congress has not passed comprehensive repeal legislation, several bills affecting the implementation of certain taxes under the ACA have been signed into law. The Tax Act includes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On December 14, 2018, a Texas United States District Court Judge ruled that the ACA is unconstitutional in its entirety because the “individual mandate” was repealed by Congress as part of the Tax Act. Additionally, on December 18, 2019, the United States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It is also unclear how such litigation and other efforts to repeal and replace the ACA will impact the ACA and our business.</w:t>
      </w:r>
    </w:p>
    <w:p>
      <w:pPr>
        <w:spacing w:after="0" w:line="300" w:lineRule="exact"/>
        <w:rPr>
          <w:sz w:val="20"/>
          <w:szCs w:val="20"/>
          <w:color w:val="auto"/>
        </w:rPr>
      </w:pPr>
    </w:p>
    <w:p>
      <w:pPr>
        <w:ind w:right="100" w:firstLine="722"/>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COVID-19 pandemic relief legislation suspended the 2% Medicare sequester from May 1, 2020 through March 31, 2021.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w:t>
      </w:r>
    </w:p>
    <w:p>
      <w:pPr>
        <w:spacing w:after="0" w:line="300" w:lineRule="exact"/>
        <w:rPr>
          <w:sz w:val="20"/>
          <w:szCs w:val="20"/>
          <w:color w:val="auto"/>
        </w:rPr>
      </w:pPr>
    </w:p>
    <w:p>
      <w:pPr>
        <w:ind w:firstLine="722"/>
        <w:spacing w:after="0" w:line="251"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2021 includes a $135 billion allowance (over a period of time)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attempt to implement several of the Administration’s proposals. As a result, the FDA released a final rule,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13" w:lineRule="exact"/>
        <w:rPr>
          <w:sz w:val="20"/>
          <w:szCs w:val="20"/>
          <w:color w:val="auto"/>
        </w:rPr>
      </w:pPr>
    </w:p>
    <w:p>
      <w:pPr>
        <w:ind w:right="60" w:firstLine="722"/>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291" w:lineRule="exact"/>
        <w:rPr>
          <w:sz w:val="20"/>
          <w:szCs w:val="20"/>
          <w:color w:val="auto"/>
        </w:rPr>
      </w:pPr>
    </w:p>
    <w:p>
      <w:pPr>
        <w:ind w:right="40" w:firstLine="722"/>
        <w:spacing w:after="0" w:line="255" w:lineRule="auto"/>
        <w:rPr>
          <w:sz w:val="20"/>
          <w:szCs w:val="20"/>
          <w:color w:val="auto"/>
        </w:rPr>
      </w:pPr>
      <w:r>
        <w:rPr>
          <w:rFonts w:ascii="Times New Roman" w:cs="Times New Roman" w:eastAsia="Times New Roman" w:hAnsi="Times New Roman"/>
          <w:sz w:val="18"/>
          <w:szCs w:val="18"/>
          <w:color w:val="auto"/>
        </w:rPr>
        <w:t>In addition, FDA regulations and guidance may be revised or reinterpreted by the FDA in ways that may significantly affect our business and our products. The Trump administration has also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how these requirements will be interpreted and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Any new regulations or guidance, or revisions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ind w:right="160"/>
        <w:spacing w:after="0" w:line="266" w:lineRule="auto"/>
        <w:rPr>
          <w:sz w:val="20"/>
          <w:szCs w:val="20"/>
          <w:color w:val="auto"/>
        </w:rPr>
      </w:pPr>
      <w:r>
        <w:rPr>
          <w:rFonts w:ascii="Times New Roman" w:cs="Times New Roman" w:eastAsia="Times New Roman" w:hAnsi="Times New Roman"/>
          <w:sz w:val="18"/>
          <w:szCs w:val="18"/>
          <w:color w:val="auto"/>
        </w:rPr>
        <w:t>reinterpretations of existing regulations or guidance, may impose additional costs or lengthen FDA review times for TSHA-101, TSHA-118, TSHA-102, TSHA-104 or any future product candidates. We cannot determine how changes in regulations, statutes, policies, or interpretations when and if issued, enacted or adopted, may affect our business in the future. Such changes could, among other things, require:</w:t>
      </w:r>
    </w:p>
    <w:p>
      <w:pPr>
        <w:spacing w:after="0" w:line="68" w:lineRule="exact"/>
        <w:rPr>
          <w:sz w:val="20"/>
          <w:szCs w:val="20"/>
          <w:color w:val="auto"/>
        </w:rPr>
      </w:pPr>
    </w:p>
    <w:p>
      <w:pPr>
        <w:ind w:left="1080" w:hanging="357"/>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333" w:lineRule="exact"/>
        <w:rPr>
          <w:sz w:val="20"/>
          <w:szCs w:val="20"/>
          <w:color w:val="auto"/>
        </w:rPr>
      </w:pPr>
    </w:p>
    <w:p>
      <w:pPr>
        <w:ind w:right="140" w:firstLine="722"/>
        <w:spacing w:after="0" w:line="261"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TSHA-101, TSHA-118, TSHA-102, TSHA-104,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8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40" w:firstLine="722"/>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88" w:lineRule="exact"/>
        <w:rPr>
          <w:sz w:val="20"/>
          <w:szCs w:val="20"/>
          <w:color w:val="auto"/>
        </w:rPr>
      </w:pPr>
    </w:p>
    <w:p>
      <w:pPr>
        <w:ind w:right="80" w:firstLine="722"/>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95"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products while local, national and international conditions warrant. The FDA has developed a rating system to assist in determining when and where it is safest to conduct prioritized domestic inspections. Regulatory authorities outside the U.S. may adopt similar restrictions or other policy measures in response to the COVID-19 pandemic and may experience delays in their regulatory activities.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80" w:firstLine="722"/>
        <w:spacing w:after="0" w:line="266"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particularly RA Session II, our President and Chief Executive Officer. Each of our executive officers may currently terminate their employment with us at any time. We do not maintain “key person” insurance for any of our executives or employees.</w:t>
      </w:r>
    </w:p>
    <w:p>
      <w:pPr>
        <w:spacing w:after="0" w:line="284"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85" w:name="page86"/>
    <w:bookmarkEnd w:id="8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40" w:firstLine="722"/>
        <w:spacing w:after="0" w:line="254" w:lineRule="auto"/>
        <w:rPr>
          <w:sz w:val="20"/>
          <w:szCs w:val="20"/>
          <w:color w:val="auto"/>
        </w:rPr>
      </w:pPr>
      <w:r>
        <w:rPr>
          <w:rFonts w:ascii="Times New Roman" w:cs="Times New Roman" w:eastAsia="Times New Roman" w:hAnsi="Times New Roman"/>
          <w:sz w:val="18"/>
          <w:szCs w:val="18"/>
          <w:color w:val="auto"/>
        </w:rPr>
        <w:t>As of December 31, 2020, we had 38 employees. As our development progresses, we expect to experience significant growth in the number of our employees and the scope of our operations, particularly in the areas of clinical product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w:t>
      </w:r>
    </w:p>
    <w:p>
      <w:pPr>
        <w:spacing w:after="0" w:line="121" w:lineRule="exact"/>
        <w:rPr>
          <w:sz w:val="20"/>
          <w:szCs w:val="20"/>
          <w:color w:val="auto"/>
        </w:rPr>
      </w:pPr>
    </w:p>
    <w:p>
      <w:pPr>
        <w:ind w:right="60" w:firstLine="722"/>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there was no public market for our common stock. Although our common stock is listed on The Nasdaq Global Market, an active trading market for our shares may never develop or be sustained. If an active market for our common stock does not develop or is not sustained, it may be difficult for you to sell shares of our common stock at an attractive price or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may be volatile, and purchasers of our common stock could incur substantial losses.</w:t>
      </w:r>
    </w:p>
    <w:p>
      <w:pPr>
        <w:spacing w:after="0" w:line="121" w:lineRule="exact"/>
        <w:rPr>
          <w:sz w:val="20"/>
          <w:szCs w:val="20"/>
          <w:color w:val="auto"/>
        </w:rPr>
      </w:pPr>
    </w:p>
    <w:p>
      <w:pPr>
        <w:ind w:firstLine="722"/>
        <w:spacing w:after="0" w:line="289" w:lineRule="auto"/>
        <w:rPr>
          <w:sz w:val="20"/>
          <w:szCs w:val="20"/>
          <w:color w:val="auto"/>
        </w:rPr>
      </w:pPr>
      <w:r>
        <w:rPr>
          <w:rFonts w:ascii="Times New Roman" w:cs="Times New Roman" w:eastAsia="Times New Roman" w:hAnsi="Times New Roman"/>
          <w:sz w:val="17"/>
          <w:szCs w:val="17"/>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50" w:lineRule="exact"/>
        <w:rPr>
          <w:sz w:val="20"/>
          <w:szCs w:val="20"/>
          <w:color w:val="auto"/>
        </w:rPr>
      </w:pPr>
    </w:p>
    <w:p>
      <w:pPr>
        <w:ind w:left="1080" w:hanging="357"/>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unfavorable preclinical results;</w:t>
      </w:r>
    </w:p>
    <w:p>
      <w:pPr>
        <w:spacing w:after="0" w:line="117" w:lineRule="exact"/>
        <w:rPr>
          <w:rFonts w:ascii="Times New Roman" w:cs="Times New Roman" w:eastAsia="Times New Roman" w:hAnsi="Times New Roman"/>
          <w:sz w:val="18"/>
          <w:szCs w:val="18"/>
          <w:color w:val="auto"/>
        </w:rPr>
      </w:pPr>
    </w:p>
    <w:p>
      <w:pPr>
        <w:ind w:left="1080" w:right="60" w:hanging="357"/>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clinical trials of TSHA-101, TSHA-118, TSHA-102, TSHA-104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1080" w:right="140" w:hanging="357"/>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TSHA-101, TSHA-118, TSHA-102, TSHA-104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or termination of clinical trials;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TSHA-101, TSHA-118, TSHA-102, TSHA-104 or any other product candidate;</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market price and volume fluctuations of comparable companies and, in particular, those that operate in the biopharmaceutical industry;</w:t>
      </w:r>
    </w:p>
    <w:p>
      <w:pPr>
        <w:spacing w:after="0" w:line="128" w:lineRule="exact"/>
        <w:rPr>
          <w:rFonts w:ascii="Times New Roman" w:cs="Times New Roman" w:eastAsia="Times New Roman" w:hAnsi="Times New Roman"/>
          <w:sz w:val="17"/>
          <w:szCs w:val="17"/>
          <w:color w:val="auto"/>
        </w:rPr>
      </w:pPr>
    </w:p>
    <w:p>
      <w:pPr>
        <w:ind w:left="1080" w:right="400" w:hanging="357"/>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80" w:right="160" w:hanging="357"/>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333" w:lineRule="exact"/>
        <w:rPr>
          <w:sz w:val="20"/>
          <w:szCs w:val="20"/>
          <w:color w:val="auto"/>
        </w:rPr>
      </w:pPr>
    </w:p>
    <w:p>
      <w:pPr>
        <w:ind w:right="100" w:firstLine="722"/>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297" w:lineRule="exact"/>
        <w:rPr>
          <w:sz w:val="20"/>
          <w:szCs w:val="20"/>
          <w:color w:val="auto"/>
        </w:rPr>
      </w:pPr>
    </w:p>
    <w:p>
      <w:pPr>
        <w:ind w:right="140" w:firstLine="722"/>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7" w:name="page88"/>
    <w:bookmarkEnd w:id="8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jc w:val="both"/>
        <w:ind w:right="100" w:firstLine="722"/>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2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of March 3, 2021, we have outstanding 37,761,435 shares of common stock. Of these shares, 9,050,000 shares are freely tradable.</w:t>
      </w:r>
    </w:p>
    <w:p>
      <w:pPr>
        <w:spacing w:after="0" w:line="333"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In addition, we have filed a registration statement on Form S-8 under the Securities Act of 1933, as amended, or the Securities Act, registering the issuance of approximately 7.6 million shares of common stock subject to options or other equity awards issued or reserved for future issuance under our equity incentive plans. Shares registered under this registration statement on Form S-8 will be available for sale in the public market subject to vesting arrangements and exercise of options, the lock-up agreements described above and the restrictions of Rule 144 in the case of our affiliates.</w:t>
      </w:r>
    </w:p>
    <w:p>
      <w:pPr>
        <w:spacing w:after="0" w:line="288" w:lineRule="exact"/>
        <w:rPr>
          <w:sz w:val="20"/>
          <w:szCs w:val="20"/>
          <w:color w:val="auto"/>
        </w:rPr>
      </w:pPr>
    </w:p>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Additionally, the holders of an aggregate of approximately 27.9 million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8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ind w:right="120" w:firstLine="722"/>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080" w:hanging="357"/>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66 2/3% vote and only for cause;</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333" w:lineRule="exact"/>
        <w:rPr>
          <w:sz w:val="20"/>
          <w:szCs w:val="20"/>
          <w:color w:val="auto"/>
        </w:rPr>
      </w:pPr>
    </w:p>
    <w:p>
      <w:pPr>
        <w:ind w:right="160" w:firstLine="722"/>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1" w:lineRule="exact"/>
        <w:rPr>
          <w:sz w:val="20"/>
          <w:szCs w:val="20"/>
          <w:color w:val="auto"/>
        </w:rPr>
      </w:pPr>
    </w:p>
    <w:p>
      <w:pPr>
        <w:ind w:right="140" w:firstLine="722"/>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5% or more of our common stock and their respective affiliates beneficially own a majority of our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8" w:name="page89"/>
    <w:bookmarkEnd w:id="88"/>
    <w:p>
      <w:pPr>
        <w:ind w:right="440" w:firstLine="722"/>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51" w:lineRule="exact"/>
        <w:rPr>
          <w:sz w:val="20"/>
          <w:szCs w:val="20"/>
          <w:color w:val="auto"/>
        </w:rPr>
      </w:pPr>
    </w:p>
    <w:p>
      <w:pPr>
        <w:jc w:val="both"/>
        <w:ind w:right="160" w:firstLine="722"/>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intend to take advantage of some of the exemptions from reporting requirements that are applicable to other public companies that are not emerging growth companies, including:</w:t>
      </w:r>
    </w:p>
    <w:p>
      <w:pPr>
        <w:spacing w:after="0" w:line="68" w:lineRule="exact"/>
        <w:rPr>
          <w:sz w:val="20"/>
          <w:szCs w:val="20"/>
          <w:color w:val="auto"/>
        </w:rPr>
      </w:pPr>
    </w:p>
    <w:p>
      <w:pPr>
        <w:ind w:left="1080" w:hanging="357"/>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80" w:right="360" w:hanging="357"/>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17" w:lineRule="exact"/>
        <w:rPr>
          <w:rFonts w:ascii="Times New Roman" w:cs="Times New Roman" w:eastAsia="Times New Roman" w:hAnsi="Times New Roman"/>
          <w:sz w:val="18"/>
          <w:szCs w:val="18"/>
          <w:color w:val="auto"/>
        </w:rPr>
      </w:pPr>
    </w:p>
    <w:p>
      <w:pPr>
        <w:ind w:left="1080" w:right="600" w:hanging="357"/>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stockholder approval of any golden parachute payments not previously approved.</w:t>
      </w:r>
    </w:p>
    <w:p>
      <w:pPr>
        <w:spacing w:after="0" w:line="270"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December 31, 2025 or, if earlier, (i) the last day of the fiscal year in which we have total annual gross revenue of at least $1.07 billion, (ii) the date on which we are deemed to be a large accelerated filer, which means the market value of our common stock that is held by non-affiliates exceeds $700 million as of the prior June 30th, or (iii) the date on which we have issued more than $1.0 billion in non-convertible debt during the prior three-year period.</w:t>
      </w:r>
    </w:p>
    <w:p>
      <w:pPr>
        <w:spacing w:after="0" w:line="295" w:lineRule="exact"/>
        <w:rPr>
          <w:sz w:val="20"/>
          <w:szCs w:val="20"/>
          <w:color w:val="auto"/>
        </w:rPr>
      </w:pPr>
    </w:p>
    <w:p>
      <w:pPr>
        <w:ind w:right="480" w:firstLine="722"/>
        <w:spacing w:after="0" w:line="266" w:lineRule="auto"/>
        <w:rPr>
          <w:sz w:val="20"/>
          <w:szCs w:val="20"/>
          <w:color w:val="auto"/>
        </w:rPr>
      </w:pPr>
      <w:r>
        <w:rPr>
          <w:rFonts w:ascii="Times New Roman" w:cs="Times New Roman" w:eastAsia="Times New Roman" w:hAnsi="Times New Roman"/>
          <w:sz w:val="18"/>
          <w:szCs w:val="18"/>
          <w:color w:val="auto"/>
        </w:rPr>
        <w:t>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our cash and cash equivalents, including the net proceeds from our initial public offering.</w:t>
      </w:r>
    </w:p>
    <w:p>
      <w:pPr>
        <w:spacing w:after="0" w:line="121" w:lineRule="exact"/>
        <w:rPr>
          <w:sz w:val="20"/>
          <w:szCs w:val="20"/>
          <w:color w:val="auto"/>
        </w:rPr>
      </w:pPr>
    </w:p>
    <w:p>
      <w:pPr>
        <w:ind w:right="240" w:firstLine="722"/>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including the net proceeds from our recent initial public offering.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1" w:lineRule="exact"/>
        <w:rPr>
          <w:sz w:val="20"/>
          <w:szCs w:val="20"/>
          <w:color w:val="auto"/>
        </w:rPr>
      </w:pPr>
    </w:p>
    <w:p>
      <w:pPr>
        <w:ind w:right="80" w:firstLine="722"/>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 w:firstLine="722"/>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080" w:hanging="357"/>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89" w:name="page90"/>
    <w:bookmarkEnd w:id="89"/>
    <w:p>
      <w:pPr>
        <w:ind w:left="1080" w:right="620" w:hanging="357"/>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080" w:right="440" w:hanging="357"/>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restated certificate or our amended and restated bylaws;</w:t>
      </w:r>
    </w:p>
    <w:p>
      <w:pPr>
        <w:spacing w:after="0" w:line="53" w:lineRule="exact"/>
        <w:rPr>
          <w:rFonts w:ascii="Times New Roman" w:cs="Times New Roman" w:eastAsia="Times New Roman" w:hAnsi="Times New Roman"/>
          <w:sz w:val="18"/>
          <w:szCs w:val="18"/>
          <w:color w:val="auto"/>
        </w:rPr>
      </w:pPr>
    </w:p>
    <w:p>
      <w:pPr>
        <w:ind w:left="1080" w:right="20" w:hanging="357"/>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Delaware General Corporation Law confers jurisdiction on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333" w:lineRule="exact"/>
        <w:rPr>
          <w:sz w:val="20"/>
          <w:szCs w:val="20"/>
          <w:color w:val="auto"/>
        </w:rPr>
      </w:pPr>
    </w:p>
    <w:p>
      <w:pPr>
        <w:ind w:right="40" w:firstLine="722"/>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96" w:lineRule="exact"/>
        <w:rPr>
          <w:sz w:val="20"/>
          <w:szCs w:val="20"/>
          <w:color w:val="auto"/>
        </w:rPr>
      </w:pPr>
    </w:p>
    <w:p>
      <w:pPr>
        <w:ind w:right="60" w:firstLine="722"/>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33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stringent and changing privacy and data security laws, contractual obligations, self-regulatory schemes, government regulation, and standards related to data privacy and security. The actual or perceived failure by us, our partners, or vendors to comply with such obligations could harm our reputation, subject us to significant fines and liability, disrupt our clinical trials, or otherwise adversely affect our business.</w:t>
      </w:r>
    </w:p>
    <w:p>
      <w:pPr>
        <w:spacing w:after="0" w:line="49" w:lineRule="exact"/>
        <w:rPr>
          <w:sz w:val="20"/>
          <w:szCs w:val="20"/>
          <w:color w:val="auto"/>
        </w:rPr>
      </w:pPr>
    </w:p>
    <w:p>
      <w:pPr>
        <w:ind w:firstLine="722"/>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use, generate, transfer, disclose, make accessible, protect and share personal information and other information, including information we collect about patients and healthcare providers in connection with clinical trials in the U.S. and abroad, or Process or Processing, necessary to operate our business, for legal and marketing purposes, and for other business-related purposes.</w:t>
      </w:r>
    </w:p>
    <w:p>
      <w:pPr>
        <w:spacing w:after="0" w:line="68" w:lineRule="exact"/>
        <w:rPr>
          <w:sz w:val="20"/>
          <w:szCs w:val="20"/>
          <w:color w:val="auto"/>
        </w:rPr>
      </w:pPr>
    </w:p>
    <w:p>
      <w:pPr>
        <w:ind w:right="220" w:firstLine="722"/>
        <w:spacing w:after="0" w:line="266" w:lineRule="auto"/>
        <w:rPr>
          <w:sz w:val="20"/>
          <w:szCs w:val="20"/>
          <w:color w:val="auto"/>
        </w:rPr>
      </w:pPr>
      <w:r>
        <w:rPr>
          <w:rFonts w:ascii="Times New Roman" w:cs="Times New Roman" w:eastAsia="Times New Roman" w:hAnsi="Times New Roman"/>
          <w:sz w:val="18"/>
          <w:szCs w:val="18"/>
          <w:color w:val="auto"/>
        </w:rPr>
        <w:t>There are numerous federal, state, local, and international laws, regulations, and guidance regarding privacy, information security and Processing, or Data Protection Laws, the number and scope of which is changing, subject to differing applications and interpretations, and which may be inconsistent among jurisdictions, or in conflict with other rules, laws or Data Protection Obligations.</w:t>
      </w:r>
    </w:p>
    <w:p>
      <w:pPr>
        <w:spacing w:after="0" w:line="68"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For example, US States have also begun to introduce more and more comprehensive privacy legislation. The California Consumer Privacy Act of 2018, or CCPA, which went into effect on January 1, 2020, affords consumers expanded privacy protections. Aspects of the CCPA and its interpretation and enforcement remain uncertain. The potential effects of the CCPA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opt-out of certain personal information sharing, and receive detailed information about how their personal information is used. The CCPA provides for civil penalties for violations, as well as a private right of action for data breaches and statutory damages ranging from $100 to $750 per violation, which is expected to increase data breach class action litigation and result in significant exposure to costly legal judgements and settlements. The CCPA will be expanded substantially on January 1, 2023, when the California Privacy Rights Act of 2020, or CPRA becomes fully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w:t>
      </w:r>
    </w:p>
    <w:p>
      <w:pPr>
        <w:spacing w:after="0" w:line="190"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Our operations may be subject to increased scrutiny or attention from foreign data protection authorities. Our clinical trial programs and research collaborations outside the United States may implicate foreign data protection laws, including in Canada and Europe. European data protection laws, including, without limitation, the EU’s the General Data Protection Regulation, or the GDPR, impose stringent data protection requirements on processing the personally identifiable information of individuals residing in the European Economic Area, or EEA, Switzerland, and United Kingdom, or collectively, Europe. Among other things, the GDPR requires us to give detailed disclosures about how we collect, use and share personal information, contractually commit to data protection measures in our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0" w:name="page91"/>
    <w:bookmarkEnd w:id="90"/>
    <w:p>
      <w:pPr>
        <w:ind w:right="80"/>
        <w:spacing w:after="0" w:line="256" w:lineRule="auto"/>
        <w:rPr>
          <w:sz w:val="20"/>
          <w:szCs w:val="20"/>
          <w:color w:val="auto"/>
        </w:rPr>
      </w:pPr>
      <w:r>
        <w:rPr>
          <w:rFonts w:ascii="Times New Roman" w:cs="Times New Roman" w:eastAsia="Times New Roman" w:hAnsi="Times New Roman"/>
          <w:sz w:val="18"/>
          <w:szCs w:val="18"/>
          <w:color w:val="auto"/>
        </w:rPr>
        <w:t>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In addition, the GDPR increases the scrutiny of transfers of personal information from clinical trial sites located in Europe to the United States and other jurisdictions that the European Commission does not recognize as having “adequate” data protection laws. Companies that violate the GDPR can face private litigation, prohibitions on data processing, and imposes substantial fines for breaches and violations (up to the greater of €20 million or 4% of our consolidated annual worldwide gross revenue).</w:t>
      </w:r>
    </w:p>
    <w:p>
      <w:pPr>
        <w:spacing w:after="0" w:line="187" w:lineRule="exact"/>
        <w:rPr>
          <w:sz w:val="20"/>
          <w:szCs w:val="20"/>
          <w:color w:val="auto"/>
        </w:rPr>
      </w:pPr>
    </w:p>
    <w:p>
      <w:pPr>
        <w:ind w:right="120" w:firstLine="722"/>
        <w:spacing w:after="0" w:line="253" w:lineRule="auto"/>
        <w:rPr>
          <w:sz w:val="20"/>
          <w:szCs w:val="20"/>
          <w:color w:val="auto"/>
        </w:rPr>
      </w:pPr>
      <w:r>
        <w:rPr>
          <w:rFonts w:ascii="Times New Roman" w:cs="Times New Roman" w:eastAsia="Times New Roman" w:hAnsi="Times New Roman"/>
          <w:sz w:val="18"/>
          <w:szCs w:val="18"/>
          <w:color w:val="auto"/>
        </w:rPr>
        <w:t>European data protection laws also generally prohibit the transfer of personal information from Europe to the United States and most other countries unless the parties to the transfer have implemented specific safeguards to protect the transferred personal information. One of the primary safeguards used for transfers of personal information from the European Union and Switzerland to the United States until recently was the Privacy Shield framework administered by the U.S. Department of Commerce, which was invalidated by a decision of the European Union’s highest court in July 2020. The same decision also cast doubt on the viability of one of the primary alternatives to the Privacy Shield, namely, the European Commission’s Standard Contractual Clauses, as a vehicle for such transfers. Similarly, the Swiss Federal Data Protection and Information Commissioner has opined that the Privacy Shield is inadequate for transfers of data from Switzerland to the U.S. and raised similar questions regarding the Standard Contractual Clauses. At present, there are few, if any, viable alternatives to the Standard Contractual Clauses and, therefore, there is uncertainty regarding how to lawfully transfer personal information from Europe to the U.S. and other countries. Failure to comply with the GDPR’s cross-border data restrictions may increase our exposure to its heightened sanctions, restrict our clinical trial activities in Europe, and limit our ability to collaborate with partners, third-party service providers and other companies subject to European data protection laws.</w:t>
      </w:r>
    </w:p>
    <w:p>
      <w:pPr>
        <w:spacing w:after="0" w:line="192"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In addition, it is unclear whether the transfer of personal information from the EEA to the United Kingdom will continue to remain lawful under the GDPR following Brexit. Pursuant to a post-Brexit trade deal between the United Kingdom and the EU, transfers of personal information from the EEA to the United Kingdom are not considered restricted transfers under the GDPR for a period of up to six months starting January 1, 2021. However, unless the EU Commission makes an adequacy finding with respect to the United Kingdom before the end of that period, the United Kingdom will be considered a “third country” under the GDPR and transfers of European personal information to the United Kingdom will require an approved compliance mechanism to render such transfers lawful under the GDPR. Although the United Kingdom’s primary data protection legislation is designed to be consistent with the GDPR, uncertainty remains regarding how data transfers to and from the United Kingdom will be regulated after Brexit. We may incur liabilities, expenses, costs, and other operational losses under the GDPR and applicable EU Member States and the United Kingdom data privacy laws in connection with any measures we take to comply with them.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92" w:lineRule="exact"/>
        <w:rPr>
          <w:sz w:val="20"/>
          <w:szCs w:val="20"/>
          <w:color w:val="auto"/>
        </w:rPr>
      </w:pPr>
    </w:p>
    <w:p>
      <w:pPr>
        <w:ind w:right="180" w:firstLine="722"/>
        <w:spacing w:after="0" w:line="255" w:lineRule="auto"/>
        <w:rPr>
          <w:sz w:val="20"/>
          <w:szCs w:val="20"/>
          <w:color w:val="auto"/>
        </w:rPr>
      </w:pPr>
      <w:r>
        <w:rPr>
          <w:rFonts w:ascii="Times New Roman" w:cs="Times New Roman" w:eastAsia="Times New Roman" w:hAnsi="Times New Roman"/>
          <w:sz w:val="18"/>
          <w:szCs w:val="18"/>
          <w:color w:val="auto"/>
        </w:rPr>
        <w:t>We are also subject to the terms of our privacy and security policies, representations, certifications, standards, publications and frameworks, or Privacy Policies, and contractual obligations to third parties related to privacy, information security and Processing, or Data Protection Obligations, including without limitation, operating rules and standards imposed by industry organizations. Data Protection Laws and data protection worldwide are, and are likely to remain, uncertain for the foreseeable future. We strive to comply with applicable Data Protection Laws, Privacy Policies and Data Protection Obligations to the extent possible, but we may at times fail to do so, or may be perceived to have failed to do so. Moreover, despite our efforts, we may not be successful in achieving compliance if our personnel, partners or vendors do not comply with applicable Data Protection Laws, Privacy Policies and Data Protection Obligations.</w:t>
      </w:r>
    </w:p>
    <w:p>
      <w:pPr>
        <w:spacing w:after="0" w:line="189" w:lineRule="exact"/>
        <w:rPr>
          <w:sz w:val="20"/>
          <w:szCs w:val="20"/>
          <w:color w:val="auto"/>
        </w:rPr>
      </w:pPr>
    </w:p>
    <w:p>
      <w:pPr>
        <w:ind w:right="20" w:firstLine="722"/>
        <w:spacing w:after="0" w:line="258" w:lineRule="auto"/>
        <w:rPr>
          <w:sz w:val="20"/>
          <w:szCs w:val="20"/>
          <w:color w:val="auto"/>
        </w:rPr>
      </w:pPr>
      <w:r>
        <w:rPr>
          <w:rFonts w:ascii="Times New Roman" w:cs="Times New Roman" w:eastAsia="Times New Roman" w:hAnsi="Times New Roman"/>
          <w:sz w:val="18"/>
          <w:szCs w:val="18"/>
          <w:color w:val="auto"/>
        </w:rPr>
        <w:t>If we fail, or are perceived to have failed, to address or comply with applicable Data Protection Laws, Privacy Policies and Data Protection Obligations, such failure or perceived failure could: increase our compliance and operational costs; expose us to regulatory scrutiny, actions, fines and penalties; result in reputational harm; interrupt or stop clinical trials; result in litigation and liability; result in an inability to process personal information or to operate in certain jurisdictions; cause a material adverse impact to business operations or financial results, and; otherwise result in other material harm to our business.</w:t>
      </w:r>
    </w:p>
    <w:p>
      <w:pPr>
        <w:spacing w:after="0" w:line="183"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With applicable Data Protection Laws, Privacy Policies and Data Protection Obligations imposing complex and burdensome obligations, and with substantial uncertainty over the interpretation and application of these requirements, we have faced and may face additional challenges in addressing and complying with them, and making necessary changes to our Privacy Policies and practices, and may incur material costs and expenses in an effort to do so, any of which could materially adversely affect our business operations and financial results, and may limit the adoption and use of, and reduce the overall demand for, our products, which could have an adverse impact on our business.</w:t>
      </w:r>
    </w:p>
    <w:p>
      <w:pPr>
        <w:spacing w:after="0" w:line="28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now, or in the future, or the security, confidentiality, integrity or availability of, our information technology, software, services, communications or data is compromised, limited or fails, this could result in material harm to our business, including without limitation, a material interruption to our operations, harm to our reputation, significant fines, penalties and liability, breach or triggering of Data Protection Laws, Privacy Policies and Data Protection Obligations, or material disruption of our clinical trials or other business activity.</w:t>
      </w:r>
    </w:p>
    <w:p>
      <w:pPr>
        <w:spacing w:after="0" w:line="72" w:lineRule="exact"/>
        <w:rPr>
          <w:sz w:val="20"/>
          <w:szCs w:val="20"/>
          <w:color w:val="auto"/>
        </w:rPr>
      </w:pPr>
    </w:p>
    <w:p>
      <w:pPr>
        <w:jc w:val="both"/>
        <w:ind w:right="200" w:firstLine="722"/>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may collect, process and store proprietary, confidential and sensitive information, including personal information (including health information), intellectual property, trade secrets, and proprietary business information owned or controlled by ourselves or other parties.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ind w:right="40" w:firstLine="722"/>
        <w:spacing w:after="0" w:line="254" w:lineRule="auto"/>
        <w:rPr>
          <w:sz w:val="20"/>
          <w:szCs w:val="20"/>
          <w:color w:val="auto"/>
        </w:rPr>
      </w:pPr>
      <w:r>
        <w:rPr>
          <w:rFonts w:ascii="Times New Roman" w:cs="Times New Roman" w:eastAsia="Times New Roman" w:hAnsi="Times New Roman"/>
          <w:sz w:val="18"/>
          <w:szCs w:val="18"/>
          <w:color w:val="auto"/>
        </w:rPr>
        <w:t>We may use third-party service providers and subprocessors to help us operate our business and engage in Processing on our behalf. We may also share sensitive information with our partners or other third parties in conjunction with our business. If we, our service providers, partners or other relevant third parties have experienced, or in the future experience, any security incident(s) that result in, any data loss, deletion or destruction, unauthorized access to, loss of, unauthorized acquisition or disclosure of, or inadvertent exposure or disclosure of, sensitive information, or compromise related to the security, confidentiality, integrity or availability of our information technology, software, services, communications or data (or those of our service providers, partners or other relevant third parties), or collectively a Security Breach, it may have a material adverse effect on our business, including without limitation, regulatory investigations or enforcement actions, litigation, indemnity obligations, negative publicity and financial loss. For example, the loss of clinical trial data from completed or ongoing or planned clinical trials could result in delays in our regulatory approval efforts and could require us to incur substantial cost to recover or reproduce such data.</w:t>
      </w:r>
    </w:p>
    <w:p>
      <w:pPr>
        <w:spacing w:after="0" w:line="80" w:lineRule="exact"/>
        <w:rPr>
          <w:sz w:val="20"/>
          <w:szCs w:val="20"/>
          <w:color w:val="auto"/>
        </w:rPr>
      </w:pPr>
    </w:p>
    <w:p>
      <w:pPr>
        <w:ind w:right="80" w:firstLine="722"/>
        <w:spacing w:after="0" w:line="256"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In addition to traditional computer “hackers,” threat actors, software bugs, malicious code (such as viruses and worms), employee theft or misuse, denial-of-service attacks (such as credential stuffing), and ransomware attacks, sophisticated nation-state and nation-state supported actors now engage in attacks (including advanced persistent threat intrusions). We may also be the subject of phishing attacks, viruses, malware installation, server malfunction, software or hardware failures, loss of data or other computer assets, adware or other similar issues. Moreover, Security Breaches can result in the diversion of funds, and interruptions, delays, or outages in our operations and services, including due to ransomware attacks, which have increased in frequency and severity.</w:t>
      </w:r>
    </w:p>
    <w:p>
      <w:pPr>
        <w:spacing w:after="0" w:line="79"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Applicable Data Protection Laws, Privacy Policies and Data Protection Obligations may require us to implement specific security measures or use industry-standard or reasonable measures to protect against Security Breaches. 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impacts that may arise from such breaches. The recovery systems, security protocols, network protection mechanisms and other 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w:t>
      </w:r>
    </w:p>
    <w:p>
      <w:pPr>
        <w:spacing w:after="0" w:line="80" w:lineRule="exact"/>
        <w:rPr>
          <w:sz w:val="20"/>
          <w:szCs w:val="20"/>
          <w:color w:val="auto"/>
        </w:rPr>
      </w:pPr>
    </w:p>
    <w:p>
      <w:pPr>
        <w:ind w:right="220" w:firstLine="722"/>
        <w:spacing w:after="0" w:line="255" w:lineRule="auto"/>
        <w:rPr>
          <w:sz w:val="20"/>
          <w:szCs w:val="20"/>
          <w:color w:val="auto"/>
        </w:rPr>
      </w:pPr>
      <w:r>
        <w:rPr>
          <w:rFonts w:ascii="Times New Roman" w:cs="Times New Roman" w:eastAsia="Times New Roman" w:hAnsi="Times New Roman"/>
          <w:sz w:val="18"/>
          <w:szCs w:val="18"/>
          <w:color w:val="auto"/>
        </w:rPr>
        <w:t>We have not always been able in the past and may be unable in the future to detect, anticipate, measure or prevent threats or techniques used to detect or exploit vulnerabilities in our (or our third parties’) information technology, services, communications or software, or cause Security Breaches, because such threats and techniques change frequently, are often sophisticated in nature, and may not be detected until after an incident has occurred. In addition, security researchers and other individuals have in the past and will continue in the future to actively search for and exploit actual and potential vulnerabilities in our (or our third parties’) information technology and communications. We cannot be certain that we will be able to address any such vulnerabilities, in whole or part, and there may be delays in developing and deploying patches and other remedial measures to adequately address vulnerabilities.</w:t>
      </w:r>
    </w:p>
    <w:p>
      <w:pPr>
        <w:spacing w:after="0" w:line="81"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Applicable Data Protection Laws, Privacy Policies and Data Protection Obligations may require us to notify relevant stakeholders of Security Breaches, including affected individuals, regulators and credit reporting agencies. Such disclosures are costly, and the disclosures or the failure to comply with such requirements, could lead to material adverse impacts, including without limitation, negative publicity, a loss of confidence in our security measures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79" w:lineRule="exact"/>
        <w:rPr>
          <w:sz w:val="20"/>
          <w:szCs w:val="20"/>
          <w:color w:val="auto"/>
        </w:rPr>
      </w:pPr>
    </w:p>
    <w:p>
      <w:pPr>
        <w:ind w:right="20" w:firstLine="722"/>
        <w:spacing w:after="0" w:line="255" w:lineRule="auto"/>
        <w:rPr>
          <w:sz w:val="20"/>
          <w:szCs w:val="20"/>
          <w:color w:val="auto"/>
        </w:rPr>
      </w:pPr>
      <w:r>
        <w:rPr>
          <w:rFonts w:ascii="Times New Roman" w:cs="Times New Roman" w:eastAsia="Times New Roman" w:hAnsi="Times New Roman"/>
          <w:sz w:val="18"/>
          <w:szCs w:val="18"/>
          <w:color w:val="auto"/>
        </w:rPr>
        <w:t>We may not have adequate insurance coverage in the event of a Security Breach. We cannot assure that our existing coverage will be adequate or otherwise protect us from or adequately mitigate liabilities or damages with respect to claims, costs, expenses, litigation, fines, penalties, business loss, data loss, regulatory actions or material adverse impacts arising out of our privacy and security practices, Processing or Security Breaches we may experience, or that such coverage will continue to be available on acceptable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or FCPA, and similar anti-bribery and anti-corruption laws.</w:t>
      </w:r>
    </w:p>
    <w:p>
      <w:pPr>
        <w:spacing w:after="0" w:line="121" w:lineRule="exact"/>
        <w:rPr>
          <w:sz w:val="20"/>
          <w:szCs w:val="20"/>
          <w:color w:val="auto"/>
        </w:rPr>
      </w:pPr>
    </w:p>
    <w:p>
      <w:pPr>
        <w:ind w:right="80" w:firstLine="722"/>
        <w:spacing w:after="0" w:line="255" w:lineRule="auto"/>
        <w:rPr>
          <w:sz w:val="20"/>
          <w:szCs w:val="20"/>
          <w:color w:val="auto"/>
        </w:rPr>
      </w:pPr>
      <w:r>
        <w:rPr>
          <w:rFonts w:ascii="Times New Roman" w:cs="Times New Roman" w:eastAsia="Times New Roman" w:hAnsi="Times New Roman"/>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2" w:name="page93"/>
    <w:bookmarkEnd w:id="92"/>
    <w:p>
      <w:pPr>
        <w:ind w:right="40"/>
        <w:spacing w:after="0" w:line="253" w:lineRule="auto"/>
        <w:rPr>
          <w:sz w:val="20"/>
          <w:szCs w:val="20"/>
          <w:color w:val="auto"/>
        </w:rPr>
      </w:pPr>
      <w:r>
        <w:rPr>
          <w:rFonts w:ascii="Times New Roman" w:cs="Times New Roman" w:eastAsia="Times New Roman" w:hAnsi="Times New Roman"/>
          <w:sz w:val="18"/>
          <w:szCs w:val="18"/>
          <w:color w:val="auto"/>
        </w:rPr>
        <w:t>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right="100" w:firstLine="722"/>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284" w:lineRule="exact"/>
        <w:rPr>
          <w:sz w:val="20"/>
          <w:szCs w:val="20"/>
          <w:color w:val="auto"/>
        </w:rPr>
      </w:pPr>
    </w:p>
    <w:p>
      <w:pPr>
        <w:ind w:right="100" w:firstLine="722"/>
        <w:spacing w:after="0" w:line="256" w:lineRule="auto"/>
        <w:rPr>
          <w:sz w:val="20"/>
          <w:szCs w:val="20"/>
          <w:color w:val="auto"/>
        </w:rPr>
      </w:pPr>
      <w:r>
        <w:rPr>
          <w:rFonts w:ascii="Times New Roman" w:cs="Times New Roman" w:eastAsia="Times New Roman" w:hAnsi="Times New Roman"/>
          <w:sz w:val="18"/>
          <w:szCs w:val="18"/>
          <w:color w:val="auto"/>
        </w:rPr>
        <w:t>Commencing with our fiscal year ending December 31, 2021,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our initial public offering, we have never been required to test our internal control within a specified period, and, as a result, we may experience difficulty in meeting these reporting requirements in a timely manner.</w:t>
      </w:r>
    </w:p>
    <w:p>
      <w:pPr>
        <w:spacing w:after="0" w:line="295"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91" w:lineRule="exact"/>
        <w:rPr>
          <w:sz w:val="20"/>
          <w:szCs w:val="20"/>
          <w:color w:val="auto"/>
        </w:rPr>
      </w:pPr>
    </w:p>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60" w:firstLine="722"/>
        <w:spacing w:after="0" w:line="255" w:lineRule="auto"/>
        <w:rPr>
          <w:sz w:val="20"/>
          <w:szCs w:val="20"/>
          <w:color w:val="auto"/>
        </w:rPr>
      </w:pPr>
      <w:r>
        <w:rPr>
          <w:rFonts w:ascii="Times New Roman" w:cs="Times New Roman" w:eastAsia="Times New Roman" w:hAnsi="Times New Roman"/>
          <w:sz w:val="18"/>
          <w:szCs w:val="18"/>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w:t>
      </w:r>
    </w:p>
    <w:p>
      <w:pPr>
        <w:spacing w:after="0" w:line="12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We expect to generate significant federal and state net operating loss, or NOL, carryforwards in the future. These NOL carryforwards could expire unused and be unavailable to offset future income tax liabilities. Under the Tax Cuts and Jobs, or the Tax Act, as modified by the Coronavirus Aid, Relief, and Economic Security Act, or CARES Act, federal NOLs incurred in taxable years beginning after December 31, 2017 and in future taxable years may be carried forward indefinitely, but the deductibility of such federal NOLs incurred in the taxable year beginning after December 31, 2020 is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our recent initial public offering, together with private placements and other transactions that have occurred since our inception, may have triggered such an ownership change pursuant to Section 382. We have not yet completed a Section 382 analysis. We may experience ownership changes as a result of subsequent shifts in our stock ownership, some of which may be outside of our control. If an ownership change occurs and our ability to use our NOL carryforwards is materially limited, it would harm our future operating results by effectively increasing our future tax obligations.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upon management as a result of being a public company.</w:t>
      </w:r>
    </w:p>
    <w:p>
      <w:pPr>
        <w:spacing w:after="0" w:line="121" w:lineRule="exact"/>
        <w:rPr>
          <w:sz w:val="20"/>
          <w:szCs w:val="20"/>
          <w:color w:val="auto"/>
        </w:rPr>
      </w:pPr>
    </w:p>
    <w:p>
      <w:pPr>
        <w:ind w:right="20" w:firstLine="722"/>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United States, we will incur significant additional legal, accounting and other costs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96" w:lineRule="exact"/>
        <w:rPr>
          <w:sz w:val="20"/>
          <w:szCs w:val="20"/>
          <w:color w:val="auto"/>
        </w:rPr>
      </w:pPr>
    </w:p>
    <w:p>
      <w:pPr>
        <w:ind w:right="220" w:firstLine="722"/>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As part of our strategic partnership with UT Southwestern, we are provided with office space at UT Southwestern for administrative activities. In addition, in January 2021, we entered into a lease agreement for 15,000 square feet of administrative space in Dallas, Texas, pursuant to a lease agreement that expires approximately ten years after the date on which certain improvements to the office space have been made and it is tendered to us for possession, which we presently anticipate to be delivered on or about April 15, 2021. In December 2020, we entered into a lease agreement for approximately 187,500 square feet of a manufacturing facility in Durham, North Carolina, pursuant to a lease agreement that expires in September 2036. We have two options to extend the term of that lease, each for a period of an additional five years.</w:t>
      </w:r>
    </w:p>
    <w:p>
      <w:pPr>
        <w:spacing w:after="0" w:line="295" w:lineRule="exact"/>
        <w:rPr>
          <w:sz w:val="20"/>
          <w:szCs w:val="20"/>
          <w:color w:val="auto"/>
        </w:rPr>
      </w:pPr>
    </w:p>
    <w:p>
      <w:pPr>
        <w:ind w:right="100" w:firstLine="722"/>
        <w:spacing w:after="0" w:line="312" w:lineRule="auto"/>
        <w:rPr>
          <w:sz w:val="20"/>
          <w:szCs w:val="20"/>
          <w:color w:val="auto"/>
        </w:rPr>
      </w:pPr>
      <w:r>
        <w:rPr>
          <w:rFonts w:ascii="Times New Roman" w:cs="Times New Roman" w:eastAsia="Times New Roman" w:hAnsi="Times New Roman"/>
          <w:sz w:val="17"/>
          <w:szCs w:val="17"/>
          <w:color w:val="auto"/>
        </w:rPr>
        <w:t>We believe that our facilities are suitable and adequate to meet our needs. We intend to add new facilities or expand existing facilities as we add employees, and we believe that suitable additional or substitute space will be available as needed to accommodate any such expansion of our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722"/>
        <w:spacing w:after="0" w:line="261" w:lineRule="auto"/>
        <w:rPr>
          <w:sz w:val="20"/>
          <w:szCs w:val="20"/>
          <w:color w:val="auto"/>
        </w:rPr>
      </w:pPr>
      <w:r>
        <w:rPr>
          <w:rFonts w:ascii="Times New Roman" w:cs="Times New Roman" w:eastAsia="Times New Roman" w:hAnsi="Times New Roman"/>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“TSHA.”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300" w:firstLine="722"/>
        <w:spacing w:after="0" w:line="261" w:lineRule="auto"/>
        <w:rPr>
          <w:sz w:val="20"/>
          <w:szCs w:val="20"/>
          <w:color w:val="auto"/>
        </w:rPr>
      </w:pPr>
      <w:r>
        <w:rPr>
          <w:rFonts w:ascii="Times New Roman" w:cs="Times New Roman" w:eastAsia="Times New Roman" w:hAnsi="Times New Roman"/>
          <w:sz w:val="18"/>
          <w:szCs w:val="18"/>
          <w:color w:val="auto"/>
        </w:rPr>
        <w:t>As of March 3, 2021, we had 115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40" w:firstLine="722"/>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w:t>
      </w:r>
    </w:p>
    <w:p>
      <w:pPr>
        <w:spacing w:after="0" w:line="121"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On September 23, 2020, our Registration Statement on Form S-1, as amended (File No. 333-248559), was declared effective in connection with our initial public offering, pursuant to which we sold an aggregate of 9,050,000 shares of our common stock, including the full exercise of the underwriters’ option to purchase additional shares, at a price to the public of $20.00 per share. The joint book-running managers of our initial public offering were Goldman Sachs &amp; Co. LLC, Morgan Stanley &amp; Co. LLC, Jefferies LLC, and Chardan Capital Markets, LLC acted as lead manager. There has been no material change in the planned use of proceeds from our initial public offering as described in our prospectus filed pursuant to Rule 424(b)(4) under the Securities Act with the SEC on September 25,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20" w:firstLine="722"/>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22"/>
        <w:spacing w:after="0" w:line="252" w:lineRule="auto"/>
        <w:rPr>
          <w:sz w:val="20"/>
          <w:szCs w:val="20"/>
          <w:color w:val="auto"/>
        </w:rPr>
      </w:pPr>
      <w:r>
        <w:rPr>
          <w:rFonts w:ascii="Times New Roman" w:cs="Times New Roman" w:eastAsia="Times New Roman" w:hAnsi="Times New Roman"/>
          <w:sz w:val="18"/>
          <w:szCs w:val="18"/>
          <w:color w:val="auto"/>
        </w:rPr>
        <w:t>We are a patient-centric gene therapy company focused on developing and commercializing AAV-based gene therapies for the treatment of monogenic diseases of the CNS in both rare and large patient populations. We were founded in partnership with UT Southwestern to develop and commercialize transformative gene therapy treatments. Together with UT Southwestern, we are advancing a deep and sustainable product portfolio of 19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A Phase 1/2 clinical trial of TSHA-101 was initiated by Queen’s University under a CTA in Canada and Queen’s University expects to report preliminary safety and biomarker data in the second half of 2021 and preliminary clinical data by the end of 2021. We plan to submit an IND for TSHA-101 for the treatment of GM2 gangliosidosis to the FDA and initiate a Phase 1/2 clinical trial in the United States, each in the second half of 2021. In addition, we plan to submit INDs / CTAs for each of TSHA-102 in Rett syndrome and TSHA-104 in SURF1-associated Leigh syndrome in the second half of 2021 and one of the following programs in 2021: TSHA-103 in SLC6A1 haploinsufficiency, TSHA-105 in SLC13A5 deficiency, TSHA-111-LAFORIN in Lafora disease, TSHA-111-MALIN in Lafora disease, TSHA-112 in APBD and TSHA-119 in GM2 AB variant. We are also developing TSHA-118 for the treatment of CLN1 disease (one of the forms of Batten disease) and intend to initiate a Phase 1/2 clinical trial of TSHA-118 in 2021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88"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clinical or preclinical development stage. We do not have any product candidates approved for sale and have not generated any revenue from product sales. We have funded our operations through the sale of equity, raising an aggregate of $307.0 million of gross proceeds from our initial public offering and private placements of our convertible preferred stock.</w:t>
      </w:r>
    </w:p>
    <w:p>
      <w:pPr>
        <w:spacing w:after="0" w:line="291" w:lineRule="exact"/>
        <w:rPr>
          <w:sz w:val="20"/>
          <w:szCs w:val="20"/>
          <w:color w:val="auto"/>
        </w:rPr>
      </w:pPr>
    </w:p>
    <w:p>
      <w:pPr>
        <w:ind w:right="20" w:firstLine="722"/>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$60.0 million for the year ended December 31, 2020 and $1.1 million for the period from September 20, 2019 (date of inception) through December 31, 2019. As of December 31, 2020, we had an accumulated deficit of $61.1 million. We expect to continue to incur significant expenses and operating losses for the foreseeable future. We anticipate that our expenses will increase significantly in connection with our ongoing activities, as we:</w:t>
      </w:r>
    </w:p>
    <w:p>
      <w:pPr>
        <w:spacing w:after="0" w:line="72" w:lineRule="exact"/>
        <w:rPr>
          <w:sz w:val="20"/>
          <w:szCs w:val="20"/>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17" w:lineRule="exact"/>
        <w:rPr>
          <w:rFonts w:ascii="Times New Roman" w:cs="Times New Roman" w:eastAsia="Times New Roman" w:hAnsi="Times New Roman"/>
          <w:sz w:val="18"/>
          <w:szCs w:val="18"/>
          <w:color w:val="auto"/>
        </w:rPr>
      </w:pPr>
    </w:p>
    <w:p>
      <w:pPr>
        <w:ind w:left="1080" w:right="400" w:hanging="357"/>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clinical trial of TSHA-101, as well as initiate and complete additional clinical trials of TSHA-101, TSHA-118, TSHA-102, TSHA-104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cGMP material for clinical trials or potential commercial sales;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117" w:lineRule="exact"/>
        <w:rPr>
          <w:rFonts w:ascii="Times New Roman" w:cs="Times New Roman" w:eastAsia="Times New Roman" w:hAnsi="Times New Roman"/>
          <w:sz w:val="18"/>
          <w:szCs w:val="18"/>
          <w:color w:val="auto"/>
        </w:rPr>
      </w:pPr>
    </w:p>
    <w:p>
      <w:pPr>
        <w:ind w:left="1080" w:right="100" w:hanging="357"/>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080" w:right="40" w:hanging="357"/>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100" w:firstLine="722"/>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the UT Southwestern Agreement with The Board of Regents of the University of Texas System on behalf of UT Southwestern, as amended in April 2020.</w:t>
      </w:r>
    </w:p>
    <w:p>
      <w:pPr>
        <w:spacing w:after="0" w:line="270" w:lineRule="exact"/>
        <w:rPr>
          <w:sz w:val="20"/>
          <w:szCs w:val="20"/>
          <w:color w:val="auto"/>
        </w:rPr>
      </w:pPr>
    </w:p>
    <w:p>
      <w:pPr>
        <w:ind w:right="60" w:firstLine="722"/>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295" w:lineRule="exact"/>
        <w:rPr>
          <w:sz w:val="20"/>
          <w:szCs w:val="20"/>
          <w:color w:val="auto"/>
        </w:rPr>
      </w:pPr>
    </w:p>
    <w:p>
      <w:pPr>
        <w:ind w:right="40" w:firstLine="722"/>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Queen’s University</w:t>
      </w:r>
    </w:p>
    <w:p>
      <w:pPr>
        <w:spacing w:after="0" w:line="121" w:lineRule="exact"/>
        <w:rPr>
          <w:sz w:val="20"/>
          <w:szCs w:val="20"/>
          <w:color w:val="auto"/>
        </w:rPr>
      </w:pPr>
    </w:p>
    <w:p>
      <w:pPr>
        <w:ind w:right="120" w:firstLine="722"/>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the Queen’s University Agreement with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295"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In connection with the Queen’s University Agreement, we paid Queen’s University a one-time fee of $3.0 million as an upfront fee and approximately $0.2 million to reimburse Queen’s University for certain plasmid production costs. We are obligated to pay Queen’s University up to $10.0 million in the aggregate upon achievement of certain regulatory milestones and up to $10.0 million in the aggregate upon achievement of certain commercial milestones, a low single digit royalty on net sales of licensed products, subject to certain customary reductions, and a percentage of non-royalty sublicensing revenue ranging in the low double digits. Royalties are payable on a licensed product-by-licensed product basis and country-by-country basis until expiration of the last valid claim of a licensed patent covering such licensed product in such country and the expiration of any regulatory exclusivity for such licensed product in such country. Additionally, we are obligated to pay Queen’s University a low double-digit portion of any amounts received by us in connection with the sale of a PRV related to a licensed product, not to exceed a low eight-figure amount.</w:t>
      </w:r>
    </w:p>
    <w:p>
      <w:pPr>
        <w:spacing w:after="0" w:line="300" w:lineRule="exact"/>
        <w:rPr>
          <w:sz w:val="20"/>
          <w:szCs w:val="20"/>
          <w:color w:val="auto"/>
        </w:rPr>
      </w:pPr>
    </w:p>
    <w:p>
      <w:pPr>
        <w:ind w:right="260" w:firstLine="722"/>
        <w:spacing w:after="0" w:line="282" w:lineRule="auto"/>
        <w:rPr>
          <w:sz w:val="20"/>
          <w:szCs w:val="20"/>
          <w:color w:val="auto"/>
        </w:rPr>
      </w:pPr>
      <w:r>
        <w:rPr>
          <w:rFonts w:ascii="Times New Roman" w:cs="Times New Roman" w:eastAsia="Times New Roman" w:hAnsi="Times New Roman"/>
          <w:sz w:val="18"/>
          <w:szCs w:val="18"/>
          <w:color w:val="auto"/>
        </w:rPr>
        <w:t>In connection with a separate research grant agreement with Queen’s University, we reimbursed Queen’s University for certain manufacturing production costs totaling $3.8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right="160" w:firstLine="722"/>
        <w:spacing w:after="0" w:line="261" w:lineRule="auto"/>
        <w:rPr>
          <w:sz w:val="20"/>
          <w:szCs w:val="20"/>
          <w:color w:val="auto"/>
        </w:rPr>
      </w:pPr>
      <w:r>
        <w:rPr>
          <w:rFonts w:ascii="Times New Roman" w:cs="Times New Roman" w:eastAsia="Times New Roman" w:hAnsi="Times New Roman"/>
          <w:sz w:val="18"/>
          <w:szCs w:val="18"/>
          <w:color w:val="auto"/>
        </w:rPr>
        <w:t>In August 2020, we entered into the Abeona CLN1 Agreement with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7" w:name="page98"/>
    <w:bookmarkEnd w:id="97"/>
    <w:p>
      <w:pPr>
        <w:ind w:right="80" w:firstLine="722"/>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w:t>
      </w:r>
    </w:p>
    <w:p>
      <w:pPr>
        <w:spacing w:after="0" w:line="300" w:lineRule="exact"/>
        <w:rPr>
          <w:sz w:val="20"/>
          <w:szCs w:val="20"/>
          <w:color w:val="auto"/>
        </w:rPr>
      </w:pPr>
    </w:p>
    <w:p>
      <w:pPr>
        <w:ind w:right="140" w:firstLine="722"/>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40" w:firstLine="722"/>
        <w:spacing w:after="0" w:line="261" w:lineRule="auto"/>
        <w:rPr>
          <w:sz w:val="20"/>
          <w:szCs w:val="20"/>
          <w:color w:val="auto"/>
        </w:rPr>
      </w:pPr>
      <w:r>
        <w:rPr>
          <w:rFonts w:ascii="Times New Roman" w:cs="Times New Roman" w:eastAsia="Times New Roman" w:hAnsi="Times New Roman"/>
          <w:sz w:val="18"/>
          <w:szCs w:val="18"/>
          <w:color w:val="auto"/>
        </w:rPr>
        <w:t>In October 2020, we entered into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right="360" w:firstLine="722"/>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295" w:lineRule="exact"/>
        <w:rPr>
          <w:sz w:val="20"/>
          <w:szCs w:val="20"/>
          <w:color w:val="auto"/>
        </w:rPr>
      </w:pPr>
    </w:p>
    <w:p>
      <w:pPr>
        <w:ind w:right="140" w:firstLine="722"/>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We have been actively monitoring the COVID-19 situation and its impact globally. Our financial results for the year ended December 31, 2020 were not impacted by COVID-19, and we currently do not expect any material impact on our financial results in 2021. We believe the remote working arrangements and travel restrictions imposed by various governmental jurisdictions have had limited impact on our ability to maintain internal operations during the year ended December 31, 2020. The extent to which COVID-19 may impact our business and operations will depend on future developments that are highly uncertain and cannot be predicted with confidence, such as the duration of the outbreak, the effectiveness of actions to contain and treat COVID-19 and the availability, timing and effectiveness of a vaccine, both domestically and globally. We cannot presently predict the scope and severity of any potential business shutdowns or disruptions, including to our planned clinical trials and preclinical studies. Any such shutdowns or other business interruptions could result in material and negative effects to our ability to conduct our business in the manner and on the timelines presently planned, which could have a material adverse impact on our business, results of operation and financial condition.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722"/>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22"/>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9" w:lineRule="exact"/>
        <w:rPr>
          <w:sz w:val="20"/>
          <w:szCs w:val="20"/>
          <w:color w:val="auto"/>
        </w:rPr>
      </w:pPr>
    </w:p>
    <w:p>
      <w:pPr>
        <w:ind w:left="1080" w:right="660" w:hanging="357"/>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80" w:right="540" w:hanging="357"/>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CMOs;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80" w:right="720" w:hanging="357"/>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270" w:lineRule="exact"/>
        <w:rPr>
          <w:sz w:val="20"/>
          <w:szCs w:val="20"/>
          <w:color w:val="auto"/>
        </w:rPr>
      </w:pPr>
    </w:p>
    <w:p>
      <w:pPr>
        <w:ind w:firstLine="722"/>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historically not tracked our research and development expenses on a program-by-program basis as such costs are deployed across multiple projects under development.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2" w:lineRule="exact"/>
        <w:rPr>
          <w:sz w:val="20"/>
          <w:szCs w:val="20"/>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failing to comply with regulatory requirements or meet their contractual obligations to us in a timely manner, or at all;</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9" w:name="page100"/>
    <w:bookmarkEnd w:id="99"/>
    <w:p>
      <w:pPr>
        <w:ind w:left="1080" w:hanging="357"/>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of our product candidates;</w:t>
      </w:r>
    </w:p>
    <w:p>
      <w:pPr>
        <w:spacing w:after="0" w:line="117" w:lineRule="exact"/>
        <w:rPr>
          <w:rFonts w:ascii="Times New Roman" w:cs="Times New Roman" w:eastAsia="Times New Roman" w:hAnsi="Times New Roman"/>
          <w:sz w:val="18"/>
          <w:szCs w:val="18"/>
          <w:color w:val="auto"/>
        </w:rPr>
      </w:pPr>
    </w:p>
    <w:p>
      <w:pPr>
        <w:jc w:val="both"/>
        <w:ind w:left="1080" w:right="840" w:hanging="357"/>
        <w:spacing w:after="0" w:line="312" w:lineRule="auto"/>
        <w:tabs>
          <w:tab w:leader="none" w:pos="10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IRBs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31" w:lineRule="exact"/>
        <w:rPr>
          <w:rFonts w:ascii="Times New Roman" w:cs="Times New Roman" w:eastAsia="Times New Roman" w:hAnsi="Times New Roman"/>
          <w:sz w:val="17"/>
          <w:szCs w:val="17"/>
          <w:color w:val="auto"/>
        </w:rPr>
      </w:pPr>
    </w:p>
    <w:p>
      <w:pPr>
        <w:ind w:left="1080" w:hanging="357"/>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3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 We began paying salaries and related costs for personnel during the quarter ended June 30, 2020 and granted equity awards to employees and directors during the year ended December 31, 2020.</w:t>
      </w:r>
    </w:p>
    <w:p>
      <w:pPr>
        <w:spacing w:after="0" w:line="288" w:lineRule="exact"/>
        <w:rPr>
          <w:sz w:val="20"/>
          <w:szCs w:val="20"/>
          <w:color w:val="auto"/>
        </w:rPr>
      </w:pPr>
    </w:p>
    <w:p>
      <w:pPr>
        <w:ind w:right="40" w:firstLine="722"/>
        <w:spacing w:after="0" w:line="25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expanded infrastructure, as well as the initiation and continuation of our preclinical studies and clinical trials for our product candidates. We also anticipate that our general and administrative expenses will increase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We anticipate the additional costs for these services will increase our general and administrative expenses by between $6.0 million and $7.0 million on an annual basis, including the cost of director and officer liability insurance.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 Ended December 31, 2020 and the Period from September 20, 2019 (date of inception) through December 31, 2019</w:t>
      </w:r>
    </w:p>
    <w:p>
      <w:pPr>
        <w:spacing w:after="0" w:line="121" w:lineRule="exact"/>
        <w:rPr>
          <w:sz w:val="20"/>
          <w:szCs w:val="20"/>
          <w:color w:val="auto"/>
        </w:rPr>
      </w:pPr>
    </w:p>
    <w:p>
      <w:pPr>
        <w:ind w:right="40" w:firstLine="72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 ended December 31, 2020 and the period from September 20, 2019 (date of inception) through December 31, 2019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w:t>
            </w: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 December</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(17,030)</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35" w:lineRule="exact"/>
        <w:rPr>
          <w:sz w:val="20"/>
          <w:szCs w:val="20"/>
          <w:color w:val="auto"/>
        </w:rPr>
      </w:pPr>
    </w:p>
    <w:p>
      <w:pPr>
        <w:ind w:right="220" w:firstLine="722"/>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$31.9 million for the year ended December 31, 2020, compared to $1.0 million for the period from September 20, 2019 (date of inception) through December 31, 2019. The $30.9 million increase was primarily attributable to $10.0 million of expenses recognized pursuant to the Abeona CLN1 and Rett IP License Agreements, $6.8 million pursuant to the Queen’s University Agreement, which included $3.8 million related to the manufacture of clinical trial materials and a $3.0 million licensing fee. Additionally, we incurred an increase of $3.2 million related to the UT Southwestern Agreement and $1.7 million in other sponsored research agreements for our various product candidates. Additionally, we incurred $2.9 million in research and development manufacturing and other raw material purchases, which included a $1.7 million cell line licensing fee. We also incurred $1.6 million for regulatory and clinical consulting, $1.0 million for all other research and development consulting fees including technical operations support, and employee compensation and benefits expenses of $3.1 million, which included $1.2 million of non-cash stock-based compensation. All other spending for research and development activities totaled $0.6 million.</w:t>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firstLine="72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$11.1 million for the year ended December 31, 2020, compared to $0.1 million for the period from September 20, 2019 (date of inception) through December 31, 2019. The increase of approximately $11.0 million was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0" w:name="page101"/>
    <w:bookmarkEnd w:id="100"/>
    <w:p>
      <w:pPr>
        <w:ind w:right="160"/>
        <w:spacing w:after="0" w:line="258" w:lineRule="auto"/>
        <w:rPr>
          <w:sz w:val="20"/>
          <w:szCs w:val="20"/>
          <w:color w:val="auto"/>
        </w:rPr>
      </w:pPr>
      <w:r>
        <w:rPr>
          <w:rFonts w:ascii="Times New Roman" w:cs="Times New Roman" w:eastAsia="Times New Roman" w:hAnsi="Times New Roman"/>
          <w:sz w:val="18"/>
          <w:szCs w:val="18"/>
          <w:color w:val="auto"/>
        </w:rPr>
        <w:t>primarily attributable to $5.6 million of compensation and benefits related to new hires, which included $2.2 million of non-cash stock-based compensation. Additionally, we incurred $2.1 million in consulting fees, which included patient advocacy consulting fees and personnel recruiting expenses. We also incurred $1.8 million of professional fees, which included $1.1 million in legal expenses related to general corporate matters and $0.7 million in accounting and auditing fees. Finally, we incurred $1.0 million related to insurance expenses and $0.5 million of marketing expenses and other general administrative expenses.</w:t>
      </w:r>
    </w:p>
    <w:p>
      <w:pPr>
        <w:spacing w:after="0" w:line="200" w:lineRule="exact"/>
        <w:rPr>
          <w:sz w:val="20"/>
          <w:szCs w:val="20"/>
          <w:color w:val="auto"/>
        </w:rPr>
      </w:pPr>
    </w:p>
    <w:p>
      <w:pPr>
        <w:spacing w:after="0" w:line="3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Change in Fair Value of Preferred Stock Tranche Liability</w:t>
      </w:r>
    </w:p>
    <w:p>
      <w:pPr>
        <w:spacing w:after="0" w:line="119"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We determined that our obligation to issue, and the investors’ right to purchase, additional shares of Series A convertible preferred stock pursuant to the milestone closings represented a freestanding financial instrument, or the tranche liability. The tranche liability was initially recorded at fair value. We concluded that the tranche liability met the definition of a freestanding financial instrument, as it was legally detachable and separately exercisable from the initial closing of the Series A convertible preferred stock.</w:t>
      </w:r>
    </w:p>
    <w:p>
      <w:pPr>
        <w:spacing w:after="0" w:line="180" w:lineRule="exact"/>
        <w:rPr>
          <w:sz w:val="20"/>
          <w:szCs w:val="20"/>
          <w:color w:val="auto"/>
        </w:rPr>
      </w:pPr>
    </w:p>
    <w:p>
      <w:pPr>
        <w:ind w:right="20" w:firstLine="722"/>
        <w:spacing w:after="0" w:line="258" w:lineRule="auto"/>
        <w:rPr>
          <w:sz w:val="20"/>
          <w:szCs w:val="20"/>
          <w:color w:val="auto"/>
        </w:rPr>
      </w:pPr>
      <w:r>
        <w:rPr>
          <w:rFonts w:ascii="Times New Roman" w:cs="Times New Roman" w:eastAsia="Times New Roman" w:hAnsi="Times New Roman"/>
          <w:sz w:val="18"/>
          <w:szCs w:val="18"/>
          <w:color w:val="auto"/>
        </w:rPr>
        <w:t>On June 30, 2020, ahead of the anticipated closing of the Series B preferred stock financing at a purchase price of $17.00 per share on July 2, 2020, certain investors elected to exercise in full their options to purchase their pro-rata portion of the milestone shares prior to our achievement of the clinical milestones and purchased 200,000 shares of Series A convertible preferred stock. We remeasured the fair value of the entire tranche liability at June 30, 2020, and recognized a non-cash expense of approximately $17.0 million. The tranche liability was extinguished upon the issuance of the Series A milestone shares on July 1, 2020 and July 2, 2020, and no additional changes in fair value were recorded.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80" w:firstLine="722"/>
        <w:spacing w:after="0" w:line="25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As of December 31, 2020, we had cash and cash equivalents of $251.3 million. We have funded our operations through equity financings, raising an aggregate of $307.0 million in gross proceeds from our initial public offering and private placements of convertible preferred stock.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initiate clinical trials of and seek marketing approval for our product candidates. In addition, if we obtain approval for any of our product candidates, we expect to incur significant commercialization expenses related to sales, marketing, manufacturing and distribution. Furthermore, we expect to incur additional costs associated with operating as a public company.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302" w:lineRule="exact"/>
        <w:rPr>
          <w:sz w:val="20"/>
          <w:szCs w:val="20"/>
          <w:color w:val="auto"/>
        </w:rPr>
      </w:pPr>
    </w:p>
    <w:p>
      <w:pPr>
        <w:ind w:right="180" w:firstLine="722"/>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requirements into 2023. We intend to devote our existing cash and cash equivalents to the clinical and preclinical development of our product candidates. We have based this estimate on assumptions that may prove to be imprecise, and we could utilize our available capital resources sooner than we expect.</w:t>
      </w:r>
    </w:p>
    <w:p>
      <w:pPr>
        <w:spacing w:after="0" w:line="284" w:lineRule="exact"/>
        <w:rPr>
          <w:sz w:val="20"/>
          <w:szCs w:val="20"/>
          <w:color w:val="auto"/>
        </w:rPr>
      </w:pPr>
    </w:p>
    <w:p>
      <w:pPr>
        <w:ind w:right="40" w:firstLine="722"/>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1080" w:right="100" w:hanging="357"/>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TSHA-101, TSHA-118, TSHA-102, TSHA-104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80" w:right="520" w:hanging="357"/>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1" w:name="page102"/>
    <w:bookmarkEnd w:id="101"/>
    <w:p>
      <w:pPr>
        <w:ind w:left="1080" w:right="680" w:hanging="357"/>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80" w:right="1000" w:hanging="357"/>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our own commercial-scale cGMP manufacturing facility;</w:t>
      </w:r>
    </w:p>
    <w:p>
      <w:pPr>
        <w:spacing w:after="0" w:line="117" w:lineRule="exact"/>
        <w:rPr>
          <w:rFonts w:ascii="Times New Roman" w:cs="Times New Roman" w:eastAsia="Times New Roman" w:hAnsi="Times New Roman"/>
          <w:sz w:val="18"/>
          <w:szCs w:val="18"/>
          <w:color w:val="auto"/>
        </w:rPr>
      </w:pPr>
    </w:p>
    <w:p>
      <w:pPr>
        <w:ind w:left="1080" w:right="240" w:hanging="357"/>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80" w:right="200" w:hanging="357"/>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33" w:lineRule="exact"/>
        <w:rPr>
          <w:sz w:val="20"/>
          <w:szCs w:val="20"/>
          <w:color w:val="auto"/>
        </w:rPr>
      </w:pPr>
    </w:p>
    <w:p>
      <w:pPr>
        <w:ind w:right="20" w:firstLine="722"/>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300" w:lineRule="exact"/>
        <w:rPr>
          <w:sz w:val="20"/>
          <w:szCs w:val="20"/>
          <w:color w:val="auto"/>
        </w:rPr>
      </w:pPr>
    </w:p>
    <w:p>
      <w:pPr>
        <w:ind w:right="80" w:firstLine="722"/>
        <w:spacing w:after="0" w:line="254" w:lineRule="auto"/>
        <w:rPr>
          <w:sz w:val="20"/>
          <w:szCs w:val="20"/>
          <w:color w:val="auto"/>
        </w:rPr>
      </w:pPr>
      <w:r>
        <w:rPr>
          <w:rFonts w:ascii="Times New Roman" w:cs="Times New Roman" w:eastAsia="Times New Roman" w:hAnsi="Times New Roman"/>
          <w:sz w:val="18"/>
          <w:szCs w:val="18"/>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and the availability, timing and effectiveness of a vaccine, both domestically and globally.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right="100" w:firstLine="722"/>
        <w:spacing w:after="0" w:line="282" w:lineRule="auto"/>
        <w:rPr>
          <w:sz w:val="20"/>
          <w:szCs w:val="20"/>
          <w:color w:val="auto"/>
        </w:rPr>
      </w:pPr>
      <w:r>
        <w:rPr>
          <w:rFonts w:ascii="Times New Roman" w:cs="Times New Roman" w:eastAsia="Times New Roman" w:hAnsi="Times New Roman"/>
          <w:sz w:val="18"/>
          <w:szCs w:val="18"/>
          <w:color w:val="auto"/>
        </w:rPr>
        <w:t>The following table shows a summary of our cash flows for the year ended December 31, 2020 and the period from September 20, 2019 (date of inception) through December 31, 2019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140" w:type="dxa"/>
            <w:vAlign w:val="bottom"/>
          </w:tcPr>
          <w:p>
            <w:pPr>
              <w:spacing w:after="0"/>
              <w:rPr>
                <w:sz w:val="13"/>
                <w:szCs w:val="1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w:t>
            </w:r>
          </w:p>
        </w:tc>
      </w:t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through December</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(9,082)</w:t>
            </w:r>
          </w:p>
        </w:tc>
        <w:tc>
          <w:tcPr>
            <w:tcW w:w="140" w:type="dxa"/>
            <w:vAlign w:val="bottom"/>
          </w:tcPr>
          <w:p>
            <w:pPr>
              <w:spacing w:after="0"/>
              <w:rPr>
                <w:sz w:val="19"/>
                <w:szCs w:val="19"/>
                <w:color w:val="auto"/>
              </w:rPr>
            </w:pPr>
          </w:p>
        </w:tc>
        <w:tc>
          <w:tcPr>
            <w:tcW w:w="15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291,064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251,253</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72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2020, our net cash used in operating activities of $30.7 million primarily consisted of a net loss of $60.0 million, primarily attributable to our spending on research and development expenses. The net loss of $60.0 million was partially offset by $29.4 million in adjustments for non-cash items, primarily due to the change in the fair value of the preferred stock tranche liability of $17.0 million and stock-based compensation expense of $3.4 million, as well as the upfront payment to acquire the license rights pursuant to the Queen’s University Agreement for $3.0 million, and the upfront payments related to the Abeona CLN1 and Rett Agreements for $3.0 million each, all of which were recorded as a component of research and development expenses and are reported as investing cash outflows.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2" w:name="page103"/>
    <w:bookmarkEnd w:id="102"/>
    <w:p>
      <w:pPr>
        <w:jc w:val="both"/>
        <w:ind w:right="180" w:firstLine="722"/>
        <w:spacing w:after="0" w:line="266" w:lineRule="auto"/>
        <w:rPr>
          <w:sz w:val="20"/>
          <w:szCs w:val="20"/>
          <w:color w:val="auto"/>
        </w:rPr>
      </w:pPr>
      <w:r>
        <w:rPr>
          <w:rFonts w:ascii="Times New Roman" w:cs="Times New Roman" w:eastAsia="Times New Roman" w:hAnsi="Times New Roman"/>
          <w:sz w:val="18"/>
          <w:szCs w:val="18"/>
          <w:color w:val="auto"/>
        </w:rPr>
        <w:t>Prior to the issuance and sale of our Series A convertible preferred stock in March 2020, we had no cash. Outstanding accrued expenses of $0.2 million as of December 31, 2019 were paid in 2020 following the receipt of the proceeds from the issuance and sale of our Series A convertible preferred stock.</w:t>
      </w:r>
    </w:p>
    <w:p>
      <w:pPr>
        <w:spacing w:after="0" w:line="2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firstLine="722"/>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investing activities used $9.1 million of cash primarily attributable to the upfront fees paid pursuant to the Queen’s University Agreement, the Abeona CLN1 Agreement and the Abeona Rett Agreement.</w:t>
      </w:r>
    </w:p>
    <w:p>
      <w:pPr>
        <w:spacing w:after="0" w:line="2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firstLine="72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financing activities provided $291.1 million of cash, which was primarily attributable to the receipt of $165.9 million in net proceeds from our initial public offering, $95.8 million in net proceeds from the sale of our Series B convertible preferred stock and $29.4 million in net proceeds from the sale of our Series A convertible preferred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60" w:firstLine="722"/>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722"/>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 accordance with U.S. GAAP, we evaluate our estimates and judgments on an ongoing basis, including those related to research and development expenses, the preferred stock tranche liability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00" w:lineRule="exact"/>
        <w:rPr>
          <w:sz w:val="20"/>
          <w:szCs w:val="20"/>
          <w:color w:val="auto"/>
        </w:rPr>
      </w:pPr>
    </w:p>
    <w:p>
      <w:pPr>
        <w:ind w:firstLine="722"/>
        <w:spacing w:after="0" w:line="258"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located in Part IV, Item 15 of this Annual Report on Form 10-K, we believe the following are the critical accounting policies used in the preparation of our financial statements that require significant estimates and judgments.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35" w:lineRule="exact"/>
        <w:rPr>
          <w:sz w:val="20"/>
          <w:szCs w:val="20"/>
          <w:color w:val="auto"/>
        </w:rPr>
      </w:pPr>
    </w:p>
    <w:p>
      <w:pPr>
        <w:ind w:right="60" w:firstLine="722"/>
        <w:spacing w:after="0" w:line="258" w:lineRule="auto"/>
        <w:rPr>
          <w:sz w:val="20"/>
          <w:szCs w:val="20"/>
          <w:color w:val="auto"/>
        </w:rPr>
      </w:pPr>
      <w:r>
        <w:rPr>
          <w:rFonts w:ascii="Times New Roman" w:cs="Times New Roman" w:eastAsia="Times New Roman" w:hAnsi="Times New Roman"/>
          <w:sz w:val="18"/>
          <w:szCs w:val="18"/>
          <w:color w:val="auto"/>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spacing w:after="0" w:line="332" w:lineRule="exact"/>
        <w:rPr>
          <w:sz w:val="20"/>
          <w:szCs w:val="20"/>
          <w:color w:val="auto"/>
        </w:rPr>
      </w:pPr>
    </w:p>
    <w:p>
      <w:pPr>
        <w:ind w:right="140" w:firstLine="722"/>
        <w:spacing w:after="0" w:line="282" w:lineRule="auto"/>
        <w:rPr>
          <w:sz w:val="20"/>
          <w:szCs w:val="20"/>
          <w:color w:val="auto"/>
        </w:rPr>
      </w:pPr>
      <w:r>
        <w:rPr>
          <w:rFonts w:ascii="Times New Roman" w:cs="Times New Roman" w:eastAsia="Times New Roman" w:hAnsi="Times New Roman"/>
          <w:sz w:val="18"/>
          <w:szCs w:val="18"/>
          <w:color w:val="auto"/>
        </w:rPr>
        <w:t>Research and development costs primarily consist of payroll, stock-based compensation, certain manufacturing costs, laboratory costs and other supplies, and the cost to acquire third-party licenses.</w:t>
      </w:r>
    </w:p>
    <w:p>
      <w:pPr>
        <w:spacing w:after="0" w:line="310" w:lineRule="exact"/>
        <w:rPr>
          <w:sz w:val="20"/>
          <w:szCs w:val="20"/>
          <w:color w:val="auto"/>
        </w:rPr>
      </w:pPr>
    </w:p>
    <w:p>
      <w:pPr>
        <w:ind w:right="540" w:firstLine="722"/>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24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46" w:lineRule="exact"/>
        <w:rPr>
          <w:sz w:val="20"/>
          <w:szCs w:val="20"/>
          <w:color w:val="auto"/>
        </w:rPr>
      </w:pPr>
    </w:p>
    <w:p>
      <w:pPr>
        <w:ind w:right="60" w:firstLine="722"/>
        <w:spacing w:after="0" w:line="255" w:lineRule="auto"/>
        <w:rPr>
          <w:sz w:val="20"/>
          <w:szCs w:val="20"/>
          <w:color w:val="auto"/>
        </w:rPr>
      </w:pPr>
      <w:r>
        <w:rPr>
          <w:rFonts w:ascii="Times New Roman" w:cs="Times New Roman" w:eastAsia="Times New Roman" w:hAnsi="Times New Roman"/>
          <w:sz w:val="18"/>
          <w:szCs w:val="18"/>
          <w:color w:val="auto"/>
        </w:rPr>
        <w:t>We account for all stock-based payments to employees and non-employees, including grants of stock options, restricted stock awards, or “RSAs” and restricted stock units or, “RSUs” based on their respective grant date fair values. We estimate the fair value of stock option grants using the Black-Scholes option pricing model, which is affected principally by the estimated fair value of shares of our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our stock options is determined using the “simplified” method. The risk-free interest rate 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ind w:right="40"/>
        <w:spacing w:after="0" w:line="266" w:lineRule="auto"/>
        <w:rPr>
          <w:sz w:val="20"/>
          <w:szCs w:val="20"/>
          <w:color w:val="auto"/>
        </w:rPr>
      </w:pPr>
      <w:r>
        <w:rPr>
          <w:rFonts w:ascii="Times New Roman" w:cs="Times New Roman" w:eastAsia="Times New Roman" w:hAnsi="Times New Roman"/>
          <w:sz w:val="18"/>
          <w:szCs w:val="18"/>
          <w:color w:val="auto"/>
        </w:rPr>
        <w:t>determined by reference to the U.S. Treasury yield curve in effect at the time of grant of the award for time periods approximately equal to the expected term of the award. Expected dividend yield is zero based on the fact that we have never paid cash dividends and do not expect to pay any cash dividends in the foreseeable future.</w:t>
      </w:r>
    </w:p>
    <w:p>
      <w:pPr>
        <w:spacing w:after="0" w:line="284" w:lineRule="exact"/>
        <w:rPr>
          <w:sz w:val="20"/>
          <w:szCs w:val="20"/>
          <w:color w:val="auto"/>
        </w:rPr>
      </w:pPr>
    </w:p>
    <w:p>
      <w:pPr>
        <w:ind w:right="140" w:firstLine="722"/>
        <w:spacing w:after="0" w:line="261" w:lineRule="auto"/>
        <w:rPr>
          <w:sz w:val="20"/>
          <w:szCs w:val="20"/>
          <w:color w:val="auto"/>
        </w:rPr>
      </w:pPr>
      <w:r>
        <w:rPr>
          <w:rFonts w:ascii="Times New Roman" w:cs="Times New Roman" w:eastAsia="Times New Roman" w:hAnsi="Times New Roman"/>
          <w:sz w:val="18"/>
          <w:szCs w:val="18"/>
          <w:color w:val="auto"/>
        </w:rPr>
        <w:t>Prior to September 23, 2020, the fair value of common stock underlying our stock options, RSAs and RSUs was estimated by our board of directors considering, among other things, contemporaneous valuations of our common stock prepared by unrelated third-party valuation firms. After the IPO, the fair value of common stock is based on the closing price of our common stock on the Nasdaq Global Select Market as reported on the date of the grant.</w:t>
      </w:r>
    </w:p>
    <w:p>
      <w:pPr>
        <w:spacing w:after="0" w:line="288" w:lineRule="exact"/>
        <w:rPr>
          <w:sz w:val="20"/>
          <w:szCs w:val="20"/>
          <w:color w:val="auto"/>
        </w:rPr>
      </w:pPr>
    </w:p>
    <w:p>
      <w:pPr>
        <w:ind w:firstLine="722"/>
        <w:spacing w:after="0" w:line="261" w:lineRule="auto"/>
        <w:rPr>
          <w:sz w:val="20"/>
          <w:szCs w:val="20"/>
          <w:color w:val="auto"/>
        </w:rPr>
      </w:pPr>
      <w:r>
        <w:rPr>
          <w:rFonts w:ascii="Times New Roman" w:cs="Times New Roman" w:eastAsia="Times New Roman" w:hAnsi="Times New Roman"/>
          <w:sz w:val="18"/>
          <w:szCs w:val="18"/>
          <w:color w:val="auto"/>
        </w:rPr>
        <w:t>The RSAs and RSUs are valued based on the fair value of our common stock on the date of grant. The Company expenses stock-based compensation related to stock options, RSAs and RSUs over the requisite service period using the straight-line method. All stock-based compensation costs are recorded in research and development expense or general and administrative expense in the consolidated statements of operations based upon the respective employee’s roles within our Company. Forfeitures are recorded as they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Tranche liability</w:t>
      </w:r>
    </w:p>
    <w:p>
      <w:pPr>
        <w:spacing w:after="0" w:line="337" w:lineRule="exact"/>
        <w:rPr>
          <w:sz w:val="20"/>
          <w:szCs w:val="20"/>
          <w:color w:val="auto"/>
        </w:rPr>
      </w:pPr>
    </w:p>
    <w:p>
      <w:pPr>
        <w:ind w:firstLine="722"/>
        <w:spacing w:after="0" w:line="254" w:lineRule="auto"/>
        <w:rPr>
          <w:sz w:val="20"/>
          <w:szCs w:val="20"/>
          <w:color w:val="auto"/>
        </w:rPr>
      </w:pPr>
      <w:r>
        <w:rPr>
          <w:rFonts w:ascii="Times New Roman" w:cs="Times New Roman" w:eastAsia="Times New Roman" w:hAnsi="Times New Roman"/>
          <w:sz w:val="18"/>
          <w:szCs w:val="18"/>
          <w:color w:val="auto"/>
        </w:rPr>
        <w:t>We determined that our obligation to issue, and the investors’ right to purchase, additional shares of Series A convertible preferred stock pursuant to the milestone closings represent a freestanding financial instrument, or the tranche liability. The tranche liability was initially recorded at fair value. The proceeds from the sale of the convertible preferred stock are first allocated to the fair value of the tranche liability, with the remaining proceeds from the sale of the convertible preferred stock allocated to the Series A convertible preferred stock. The tranche liability is remeasured at each reporting period and upon the exercise or expiration of the obligation, with gains and losses arising from subsequent changes in its fair value recognized as a component of other expense in the consolidated statements of operations. At the time of the exercise or expiration of the tranche liability, any remaining value of the tranche liability is reclassified to convertible preferred stock on the consolidated balance sheet. Between June 30, 2020 and July 2, 2020, all of the 4,000,000 Milestone Shares were issued and the related tranche liability was extinguished in its entirety, and we reclassified the entire tranche liability of $18.1 million to convertible preferred stock on the consolidated balance sheets.</w:t>
      </w:r>
    </w:p>
    <w:p>
      <w:pPr>
        <w:spacing w:after="0" w:line="200" w:lineRule="exact"/>
        <w:rPr>
          <w:sz w:val="20"/>
          <w:szCs w:val="20"/>
          <w:color w:val="auto"/>
        </w:rPr>
      </w:pPr>
    </w:p>
    <w:p>
      <w:pPr>
        <w:spacing w:after="0" w:line="204" w:lineRule="exact"/>
        <w:rPr>
          <w:sz w:val="20"/>
          <w:szCs w:val="20"/>
          <w:color w:val="auto"/>
        </w:rPr>
      </w:pPr>
    </w:p>
    <w:p>
      <w:pPr>
        <w:ind w:right="180" w:firstLine="722"/>
        <w:spacing w:after="0" w:line="255" w:lineRule="auto"/>
        <w:rPr>
          <w:sz w:val="20"/>
          <w:szCs w:val="20"/>
          <w:color w:val="auto"/>
        </w:rPr>
      </w:pPr>
      <w:r>
        <w:rPr>
          <w:rFonts w:ascii="Times New Roman" w:cs="Times New Roman" w:eastAsia="Times New Roman" w:hAnsi="Times New Roman"/>
          <w:sz w:val="18"/>
          <w:szCs w:val="18"/>
          <w:color w:val="auto"/>
        </w:rPr>
        <w:t>We estimated the fair value of the tranche liability using a Monte Carlo simulation at the initial issuance date. As of March 4, 2020, the simulations occurred based on our implied aggregate equity value derived from the Series A convertible preferred stock offering price of $3.00 per share, along with, in part, the following subjective assumptions: risk-free rate of 0.59%, an expected volatility of 80%, the expected term to a liquidity event of one year and a 60% probability of achieving the clinical milestones and timing thereof. Subsequently, we estimated the fair value of the tranche liability using a backsolve approach at June 30, 2020, which was calculated based on our aggregate equity value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0" w:firstLine="721"/>
        <w:spacing w:after="0" w:line="282"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located in Part IV, Item 15 of this Annual Report on Form 10-K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337" w:lineRule="exact"/>
        <w:rPr>
          <w:sz w:val="20"/>
          <w:szCs w:val="20"/>
          <w:color w:val="auto"/>
        </w:rPr>
      </w:pPr>
    </w:p>
    <w:p>
      <w:pPr>
        <w:ind w:right="160" w:firstLine="721"/>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 In addition, as an emerging growth company, we may take advantage of specified reduced disclosure and other requirements that are otherwise applicable generally to public companies. These provisions include:</w:t>
      </w:r>
    </w:p>
    <w:p>
      <w:pPr>
        <w:spacing w:after="0" w:line="79" w:lineRule="exact"/>
        <w:rPr>
          <w:sz w:val="20"/>
          <w:szCs w:val="20"/>
          <w:color w:val="auto"/>
        </w:rPr>
      </w:pPr>
    </w:p>
    <w:p>
      <w:pPr>
        <w:ind w:left="1080" w:hanging="357"/>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1080" w:hanging="357"/>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17" w:lineRule="exact"/>
        <w:rPr>
          <w:rFonts w:ascii="Times New Roman" w:cs="Times New Roman" w:eastAsia="Times New Roman" w:hAnsi="Times New Roman"/>
          <w:sz w:val="18"/>
          <w:szCs w:val="18"/>
          <w:color w:val="auto"/>
        </w:rPr>
      </w:pPr>
    </w:p>
    <w:p>
      <w:pPr>
        <w:ind w:left="1080" w:right="20" w:hanging="357"/>
        <w:spacing w:after="0" w:line="253"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 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Annual Report on Form 10-K and our other filings with the SEC. Accordingly, the information contained herein may be different than you might obtain from other public companies in which you hold equity interests.</w:t>
      </w:r>
    </w:p>
    <w:p>
      <w:pPr>
        <w:spacing w:after="0" w:line="302" w:lineRule="exact"/>
        <w:rPr>
          <w:sz w:val="20"/>
          <w:szCs w:val="20"/>
          <w:color w:val="auto"/>
        </w:rPr>
      </w:pPr>
    </w:p>
    <w:p>
      <w:pPr>
        <w:ind w:right="200" w:firstLine="721"/>
        <w:spacing w:after="0" w:line="276"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 w:lineRule="exact"/>
        <w:rPr>
          <w:sz w:val="20"/>
          <w:szCs w:val="20"/>
          <w:color w:val="auto"/>
        </w:rPr>
      </w:pPr>
    </w:p>
    <w:p>
      <w:pPr>
        <w:ind w:right="60" w:firstLine="8"/>
        <w:spacing w:after="0" w:line="252" w:lineRule="auto"/>
        <w:tabs>
          <w:tab w:leader="none" w:pos="2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3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Taysha Gene Therapies,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firstLine="721"/>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Taysha Gene Therapies, Inc. (the “Company”) as of December 31, 2020 and 2019, the related consolidated statements of operations, stockholders' equity (deficit), and cash flows, for the year ended December 31, 2020 and for the period from September 20, 2019 (date of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September 20, 2019 (date of inception) through December 31, 2019, in conformity with accounting principles generally accepted in the United States of America.</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0" w:firstLine="721"/>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8" w:lineRule="exact"/>
        <w:rPr>
          <w:sz w:val="20"/>
          <w:szCs w:val="20"/>
          <w:color w:val="auto"/>
        </w:rPr>
      </w:pPr>
    </w:p>
    <w:p>
      <w:pPr>
        <w:ind w:right="60" w:firstLine="721"/>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91" w:lineRule="exact"/>
        <w:rPr>
          <w:sz w:val="20"/>
          <w:szCs w:val="20"/>
          <w:color w:val="auto"/>
        </w:rPr>
      </w:pPr>
    </w:p>
    <w:p>
      <w:pPr>
        <w:ind w:right="40" w:firstLine="721"/>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2021</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257,879</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lease asset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258,881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11</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2020; no shares authorized, issued and outstanding as of December 31,</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$0.00001 par value per share; 200,000,000 shares authorized and 37,761,435 issued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2020; 10,895,000 shares authorized, 10,894,999 issued and outstanding</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2019</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312,428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(61,126)</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251,302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258,881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 to</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31,893</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(43,002)</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(17,030)</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(60,011)</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17,665,683</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9,625,679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1080" w:type="dxa"/>
            <w:vAlign w:val="bottom"/>
            <w:gridSpan w:val="3"/>
          </w:tcPr>
          <w:p>
            <w:pPr>
              <w:jc w:val="center"/>
              <w:ind w:left="489"/>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4"/>
          </w:tcPr>
          <w:p>
            <w:pPr>
              <w:jc w:val="center"/>
              <w:ind w:left="489"/>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5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8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1780" w:type="dxa"/>
            <w:vAlign w:val="bottom"/>
            <w:tcBorders>
              <w:right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3100" w:type="dxa"/>
            <w:vAlign w:val="bottom"/>
          </w:tcPr>
          <w:p>
            <w:pPr>
              <w:spacing w:after="0"/>
              <w:rPr>
                <w:sz w:val="14"/>
                <w:szCs w:val="14"/>
                <w:color w:val="auto"/>
              </w:rPr>
            </w:pPr>
          </w:p>
        </w:tc>
        <w:tc>
          <w:tcPr>
            <w:tcW w:w="18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780" w:type="dxa"/>
            <w:vAlign w:val="bottom"/>
            <w:tcBorders>
              <w:right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40" w:type="dxa"/>
            <w:vAlign w:val="bottom"/>
          </w:tcPr>
          <w:p>
            <w:pPr>
              <w:spacing w:after="0"/>
              <w:rPr>
                <w:sz w:val="14"/>
                <w:szCs w:val="14"/>
                <w:color w:val="auto"/>
              </w:rPr>
            </w:pPr>
          </w:p>
        </w:tc>
        <w:tc>
          <w:tcPr>
            <w:tcW w:w="17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86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760" w:type="dxa"/>
            <w:vAlign w:val="bottom"/>
            <w:gridSpan w:val="2"/>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31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September 20, 2019</w:t>
            </w: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(date of inception)</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Founders Shares</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8,715,999</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1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stock for UT Southwestern</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2,179,000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license</w:t>
            </w:r>
          </w:p>
        </w:tc>
        <w:tc>
          <w:tcPr>
            <w:tcW w:w="1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155"/>
        </w:trPr>
        <w:tc>
          <w:tcPr>
            <w:tcW w:w="31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10,894,999</w:t>
            </w:r>
          </w:p>
        </w:tc>
        <w:tc>
          <w:tcPr>
            <w:tcW w:w="2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980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1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Series A convertible preferred stock,</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of offering costs of $605 and issuance of</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28,345</w:t>
            </w:r>
          </w:p>
        </w:tc>
        <w:tc>
          <w:tcPr>
            <w:tcW w:w="2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preferred stock tranche liability of $1,050</w:t>
            </w:r>
          </w:p>
        </w:tc>
        <w:tc>
          <w:tcPr>
            <w:tcW w:w="8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 Series B convertible preferred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5,647,048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95,815</w:t>
            </w: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net of offering costs of $185</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Reclassification of preferred stock tranche</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liability upon issuance of Series A milestone</w:t>
            </w: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18,080</w:t>
            </w:r>
          </w:p>
        </w:tc>
        <w:tc>
          <w:tcPr>
            <w:tcW w:w="2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10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Conversion of Series A and Series B convertible</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(10,000,000)</w:t>
            </w:r>
          </w:p>
        </w:tc>
        <w:tc>
          <w:tcPr>
            <w:tcW w:w="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(46,425)</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(5,647,048)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(95,815)</w:t>
            </w:r>
          </w:p>
        </w:tc>
        <w:tc>
          <w:tcPr>
            <w:tcW w:w="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17,047,378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142,240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142,240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 to common stock</w:t>
            </w:r>
          </w:p>
        </w:tc>
        <w:tc>
          <w:tcPr>
            <w:tcW w:w="1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0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 shares of common stock in initial</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public offering, net of offering costs and</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underwriting discounts and commissions</w:t>
            </w: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9,050,000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165,854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 $15,145</w:t>
            </w:r>
          </w:p>
        </w:tc>
        <w:tc>
          <w:tcPr>
            <w:tcW w:w="10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restricted stock award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769,058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(60,011)</w:t>
            </w:r>
          </w:p>
        </w:tc>
        <w:tc>
          <w:tcPr>
            <w:tcW w:w="0" w:type="dxa"/>
            <w:vAlign w:val="bottom"/>
          </w:tcPr>
          <w:p>
            <w:pPr>
              <w:spacing w:after="0"/>
              <w:rPr>
                <w:sz w:val="1"/>
                <w:szCs w:val="1"/>
                <w:color w:val="auto"/>
              </w:rPr>
            </w:pPr>
          </w:p>
        </w:tc>
      </w:tr>
      <w:tr>
        <w:trPr>
          <w:trHeight w:val="156"/>
        </w:trPr>
        <w:tc>
          <w:tcPr>
            <w:tcW w:w="31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37,761,435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shd w:val="clear" w:color="auto" w:fill="CFF0FC"/>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312,428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(61,126</w:t>
            </w:r>
          </w:p>
        </w:tc>
        <w:tc>
          <w:tcPr>
            <w:tcW w:w="12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251,302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 to</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license expense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licenses</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in initial public offering, net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underwriting discounts and commission and other offering costs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issuances of Series A convertible preferred stock, net of</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B convertible preferred stock, net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notes payable to related party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notes payable to related party</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291,064</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251,253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at the beginning of the period</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251,253</w:t>
            </w:r>
          </w:p>
        </w:tc>
        <w:tc>
          <w:tcPr>
            <w:tcW w:w="2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in 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of preferred stock tranche liability upon share issuance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preferred stock tranche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Series A and Series B convertible preferred stock to common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142,240</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not yet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80" w:firstLine="720"/>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284" w:lineRule="exact"/>
        <w:rPr>
          <w:sz w:val="20"/>
          <w:szCs w:val="20"/>
          <w:color w:val="auto"/>
        </w:rPr>
      </w:pPr>
    </w:p>
    <w:p>
      <w:pPr>
        <w:ind w:right="320" w:firstLine="720"/>
        <w:spacing w:after="0" w:line="282" w:lineRule="auto"/>
        <w:rPr>
          <w:sz w:val="20"/>
          <w:szCs w:val="20"/>
          <w:color w:val="auto"/>
        </w:rPr>
      </w:pPr>
      <w:r>
        <w:rPr>
          <w:rFonts w:ascii="Times New Roman" w:cs="Times New Roman" w:eastAsia="Times New Roman" w:hAnsi="Times New Roman"/>
          <w:sz w:val="18"/>
          <w:szCs w:val="18"/>
          <w:color w:val="auto"/>
        </w:rPr>
        <w:t>Taysha is a patient-centric gene therapy company focused on developing and commercializing AAV-based gene therapies for the treatment of monogenic diseases of the central nervous system (“CNS”) in both rare and large patient populations.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as discussed in Note 7. Accordingly, all share and per share amounts for the periods presented in the accompanying consolidated financial statements and notes thereto have been adjusted retroactively, where applicable, to reflect this stock split and adjustment of the convertible preferred stock conversion ratios. On September 16, 2020, the Company also increased the number of shares of common stock authorized for issuance under the 2020 Equity Incentive Plan (the “Existing Plan”) to 3,845,294.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18"/>
          <w:szCs w:val="18"/>
          <w:color w:val="auto"/>
        </w:rPr>
        <w:t>On September 23, 2020, the Company’s registration statement on Form S-1 (File No. 333-248559) related to the initial public offering (“IPO”) of its common stock became effective and on September 28, 2020, the IPO closed. Pursuant to the IPO, the Company issued and sold 9,050,000 shares of common stock at a public offering price of $20.00 per share, which included 1,180,434 shares of common stock issued upon the exercise in full of the underwriters’ option to purchase additional shares. The Company received net proceeds of $165.9 million after deducting underwriting discounts and commissions and other offering costs. The shares began trading on the Nasdaq Global Select Market on September 24, 2020.</w:t>
      </w:r>
    </w:p>
    <w:p>
      <w:pPr>
        <w:spacing w:after="0" w:line="291"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18"/>
          <w:szCs w:val="18"/>
          <w:color w:val="auto"/>
        </w:rPr>
        <w:t>On September 28, 2020, in connection with the closing of the IPO, 10,000,000 shares of Series A and 5,647,048 shares of Series B convertible preferred stock automatically converted into an aggregate of 17,047,378 shares of common stock with a conversion ratio of 1.0895 shares of common stock for each share of Series A and Series B convertible preferred stock.</w:t>
      </w:r>
    </w:p>
    <w:p>
      <w:pPr>
        <w:spacing w:after="0" w:line="284" w:lineRule="exact"/>
        <w:rPr>
          <w:sz w:val="20"/>
          <w:szCs w:val="20"/>
          <w:color w:val="auto"/>
        </w:rPr>
      </w:pPr>
    </w:p>
    <w:p>
      <w:pPr>
        <w:jc w:val="both"/>
        <w:ind w:right="100" w:firstLine="720"/>
        <w:spacing w:after="0" w:line="266" w:lineRule="auto"/>
        <w:rPr>
          <w:sz w:val="20"/>
          <w:szCs w:val="20"/>
          <w:color w:val="auto"/>
        </w:rPr>
      </w:pPr>
      <w:r>
        <w:rPr>
          <w:rFonts w:ascii="Times New Roman" w:cs="Times New Roman" w:eastAsia="Times New Roman" w:hAnsi="Times New Roman"/>
          <w:sz w:val="18"/>
          <w:szCs w:val="18"/>
          <w:color w:val="auto"/>
        </w:rPr>
        <w:t>As a result of the IPO, including the underwriters’ exercise in full of their option to purchase additional shares, and the conversions of the Series A and B convertible preferred stock, the Company’s total number of outstanding shares increased by 26,097,378 immediately following the closing of the IPO.</w:t>
      </w:r>
    </w:p>
    <w:p>
      <w:pPr>
        <w:spacing w:after="0" w:line="284" w:lineRule="exact"/>
        <w:rPr>
          <w:sz w:val="20"/>
          <w:szCs w:val="20"/>
          <w:color w:val="auto"/>
        </w:rPr>
      </w:pPr>
    </w:p>
    <w:p>
      <w:pPr>
        <w:jc w:val="both"/>
        <w:ind w:right="120" w:firstLine="720"/>
        <w:spacing w:after="0" w:line="266" w:lineRule="auto"/>
        <w:rPr>
          <w:sz w:val="20"/>
          <w:szCs w:val="20"/>
          <w:color w:val="auto"/>
        </w:rPr>
      </w:pPr>
      <w:r>
        <w:rPr>
          <w:rFonts w:ascii="Times New Roman" w:cs="Times New Roman" w:eastAsia="Times New Roman" w:hAnsi="Times New Roman"/>
          <w:sz w:val="18"/>
          <w:szCs w:val="18"/>
          <w:color w:val="auto"/>
        </w:rPr>
        <w:t>Upon the effectiveness of the Company’s registration statement related to the IPO, the Company’s 2020 Stock Incentive Plan (the “New Plan”) and 2020 Employee Stock Purchase Plan became effective. At that time, all shares reserved for issuance under the Existing Plan ceased to be available for issuance under such plan and became available for issuance under the New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As of December 31, 2020, the Company had an accumulated deficit of $61.1 million.</w:t>
      </w:r>
    </w:p>
    <w:p>
      <w:pPr>
        <w:spacing w:after="0" w:line="270" w:lineRule="exact"/>
        <w:rPr>
          <w:sz w:val="20"/>
          <w:szCs w:val="20"/>
          <w:color w:val="auto"/>
        </w:rPr>
      </w:pPr>
    </w:p>
    <w:p>
      <w:pPr>
        <w:ind w:right="120" w:firstLine="720"/>
        <w:spacing w:after="0" w:line="266" w:lineRule="auto"/>
        <w:rPr>
          <w:sz w:val="20"/>
          <w:szCs w:val="20"/>
          <w:color w:val="auto"/>
        </w:rPr>
      </w:pPr>
      <w:r>
        <w:rPr>
          <w:rFonts w:ascii="Times New Roman" w:cs="Times New Roman" w:eastAsia="Times New Roman" w:hAnsi="Times New Roman"/>
          <w:sz w:val="18"/>
          <w:szCs w:val="18"/>
          <w:color w:val="auto"/>
        </w:rPr>
        <w:t>Prior to the closing of the Company’s IPO, between March and July 2020, the Company closed on the sale of an aggregate of 10,000,000 shares of Series A convertible preferred stock for gross proceeds of $30.0 million. Between July and August 2020, the Company closed on the sale of an aggregate of 5,647,048 shares of Series B convertible preferred stock for gross proceeds of $96.0 million.</w:t>
      </w:r>
    </w:p>
    <w:p>
      <w:pPr>
        <w:spacing w:after="0" w:line="284"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18"/>
          <w:szCs w:val="18"/>
          <w:color w:val="auto"/>
        </w:rPr>
        <w:t>Due to the proceeds received from the IPO and the sale of its Series A and Series B convertible preferred stock, management believes that its existing financial resources are sufficient to continue operating activities at least one year past the issuance date of these consolidated financial statements.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18"/>
          <w:szCs w:val="18"/>
          <w:color w:val="auto"/>
        </w:rPr>
        <w:t>During December 2019, the novel coronavirus (“COVID-19”) emerged and subsequently spread worldwide. The World Health Organization declared COVID-19 a global pandemic in March 2020, resulting in federal, state and local governments and private entities implementing various restrictions, including travel restrictions, restrictions on public gatherings, stay at home orders, and advisories and quarantining people who may have been exposed to the virus. The Company has been actively monitoring COVID-19 and its impact globally. Management believes the financial results for the year ended December 31, 2020 were not significantly impacted by COVID-19. In addition, management believes the remote working arrangements and travel restrictions imposed by various governmental jurisdictions have had limited impact on the Company’s ability to maintain internal operations during the year ended December 31, 2020.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COVID-19.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as determined by the Financial Accounting Standards Board (“FASB”) Accounting Standards Codification (“ASC”) and include all adjustments necessary for the fair presentation of the Company’s financial position for the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80" w:firstLine="7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Taysha and its inactive wholly owned U.S. subsidiaries that were incorporated during 2020.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the Company’s financial statements upon adoption. Under the Jumpstart Our Business Startups Act of 2012, as amended, the Company meets the definition of an emerging growth company, and has elected the extended transition period for complying with new or revised accounting standards, which delays the adoption of these accounting standards until they would apply to private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IPO (as an input into stock-based compensation), estimating preclinical manufacturing accruals and accrued or prepaid research and development expenses, and the valuation of the preferred stock tranche liability.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284"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which is the business of developing AAV-based gene therapies for the treatment of rare monogenic diseases of the CNS.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2020 and 2019, the Company did not have assets located outside of the United States.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40" w:firstLine="72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funds held in a standard checking account and a standard savings account. The Company considers all highly liquid investments with an original maturity of three months or less at the date of purchase to be cash equivalents. As of December 31, 2020 and 2019, respectively, the Company had no cash equivalents.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240" w:firstLine="7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accounted for in accordance with ASC 820, Fair Value Measurements and Disclosures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Level 1—Observable inputs, such as quoted prices in active markets for identical assets or liabilities.</w:t>
      </w:r>
    </w:p>
    <w:p>
      <w:pPr>
        <w:spacing w:after="0" w:line="117" w:lineRule="exact"/>
        <w:rPr>
          <w:sz w:val="20"/>
          <w:szCs w:val="20"/>
          <w:color w:val="auto"/>
        </w:rPr>
      </w:pPr>
    </w:p>
    <w:p>
      <w:pPr>
        <w:jc w:val="both"/>
        <w:ind w:right="220" w:firstLine="720"/>
        <w:spacing w:after="0" w:line="266"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Level 3—Unobservable inputs in which there is little or no market data, which require the reporting entity to develop its own assumptions.</w:t>
      </w:r>
    </w:p>
    <w:p>
      <w:pPr>
        <w:spacing w:after="0" w:line="333"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288" w:lineRule="exact"/>
        <w:rPr>
          <w:sz w:val="20"/>
          <w:szCs w:val="20"/>
          <w:color w:val="auto"/>
        </w:rPr>
      </w:pPr>
    </w:p>
    <w:p>
      <w:pPr>
        <w:jc w:val="both"/>
        <w:ind w:right="340" w:firstLine="72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and cash equivalents, prepaid expenses and other current assets, accounts payable, accrued expenses and other current liabilities are reasonable estimates of their fair values due to the short-term nature of these items.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as a reduction of additional paid-in capital generated as a result of an equity financing. Should the in-process equity financing be abandoned, the deferred offering costs will be expensed immediately as a charge to operating expenses in the statements of operations. As of December 31, 2020 and 2019, there was $0 and $15,000, respectively, of deferred offering costs capitalized on the consolidated balance sheets. The $15,000 capitalized as of December 31, 2019 related to the Company’s Series A convertible preferred stock financing that closed in March 2020 (see Note 7).</w:t>
      </w:r>
    </w:p>
    <w:p>
      <w:pPr>
        <w:spacing w:after="0" w:line="295"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18"/>
          <w:szCs w:val="18"/>
          <w:color w:val="auto"/>
        </w:rPr>
        <w:t>Deferred offering costs, consisting of legal, accounting, and filing fees directly relating to the IPO and the Company’s Series A and Series B preferred stock financings, were capitalized and offset against the related proceeds upon the completion of the offerings in 2020. Upon completion of the IPO in September 2020, approximately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 million of deferred offering costs were offset against the IPO proceeds in additional paid-in capital.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solely of computer equipment and laboratory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is recognized using the straight-line method over its estimated useful life of three to five years.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60" w:firstLine="72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 ended December 31, 2020 and the period from Inception to December 31, 2019.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18"/>
          <w:szCs w:val="18"/>
          <w:color w:val="auto"/>
        </w:rPr>
        <w:t>The Company recorded shares of its convertible preferred stock at their respective fair values on the dates of issuance, net of issuance costs. The Company applied the guidance in ASC 480-10-S99-3A, SEC Staff Announcement: Classification and Measurement of Redeemable Securities and therefore classified the Series A convertible preferred stock as mezzanine equity. The convertible preferred stock was recorded outside of stockholders’ deficit because, in the event of certain deemed liquidation events considered not solely within the Company’s control, such as a merger, acquisition and sale of all or substantially all of the Company’s assets (a “Deemed Liquidation Event”), the convertible preferred stock would become redeemable at the option of the holders. In the event of a change of control of the Company, proceeds received from the sale of such shares would have been distributed in accordance with the liquidation preferences set forth in the Company’s Amended and Restated Certificate of Incorporation. The Company determined not to adjust the carrying values of the convertible preferred stock to the liquidation preferences of such shares because of the uncertainty of whether or when such an event would occur. All shares of the Company’s previously issued and outstanding convertible preferred stock were converted into shares of common stock upon the closing of the IPO (see Note 7).</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Liability</w:t>
      </w:r>
    </w:p>
    <w:p>
      <w:pPr>
        <w:spacing w:after="0" w:line="121"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18"/>
          <w:szCs w:val="18"/>
          <w:color w:val="auto"/>
        </w:rPr>
        <w:t>The Company determined that its obligation to issue, and the Company’s investors’ right to purchase, additional shares of Series A convertible preferred stock pursuant to the milestone closings (see Note 7) represented a freestanding financial instrument (the “tranche liability”). The tranche liability was initially recorded at fair value. The proceeds from the sale of the convertible preferred stock were first allocated to the fair value of the tranche liability with the remaining proceeds from the sale of the convertible preferred stock allocated to the Series A convertible preferred stock. The tranche liability was remeasured at each reporting period and upon the exercise or expiration of the obligation, with gains and losses arising from subsequent changes in its fair value recognized in other expense in the consolidated statements of operations. At the time of the exercise or expiration of the tranche liability, any remaining value of the tranche liability was reclassified to convertible preferred stock on the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18"/>
          <w:szCs w:val="18"/>
          <w:color w:val="auto"/>
        </w:rPr>
        <w:t>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consolidated balance sheets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p>
    <w:p>
      <w:pPr>
        <w:spacing w:after="0" w:line="291" w:lineRule="exact"/>
        <w:rPr>
          <w:sz w:val="20"/>
          <w:szCs w:val="20"/>
          <w:color w:val="auto"/>
        </w:rPr>
      </w:pPr>
    </w:p>
    <w:p>
      <w:pPr>
        <w:ind w:right="120" w:firstLine="7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primarily consist of payroll, stock-based compensation, certain manufacturing costs, laboratory costs and other supplies, and the cost to acquire licenses.</w:t>
      </w:r>
    </w:p>
    <w:p>
      <w:pPr>
        <w:spacing w:after="0" w:line="270" w:lineRule="exact"/>
        <w:rPr>
          <w:sz w:val="20"/>
          <w:szCs w:val="20"/>
          <w:color w:val="auto"/>
        </w:rPr>
      </w:pPr>
    </w:p>
    <w:p>
      <w:pPr>
        <w:ind w:right="520" w:firstLine="720"/>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non-employees, including grants of stock options, restricted stock awards, or RSAs, and restricted stock units, or RSUs, based on their respective grant date fair values. The Company estimates the fair value of stock option grants using the Black-Scholes option pricing model, which is affected principally by the estimated fair value of shares of the Company’s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the Company’s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296"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8"/>
          <w:szCs w:val="18"/>
          <w:color w:val="auto"/>
        </w:rPr>
        <w:t>Prior to September 23, 2020, the fair value of common stock underlying the Company’s stock options, RSAs and RSUs was estimated by the Company’s board of directors considering, among other things, contemporaneous valuations of the Company’s common stock prepared by unrelated third-party valuation firms. After the IPO, the fair value of common stock is based on the closing price of the Company’s common stock on the Nasdaq Global Select Market as reported on the date of the grant.</w:t>
      </w:r>
    </w:p>
    <w:p>
      <w:pPr>
        <w:spacing w:after="0" w:line="288" w:lineRule="exact"/>
        <w:rPr>
          <w:sz w:val="20"/>
          <w:szCs w:val="20"/>
          <w:color w:val="auto"/>
        </w:rPr>
      </w:pPr>
    </w:p>
    <w:p>
      <w:pPr>
        <w:ind w:right="160" w:firstLine="720"/>
        <w:spacing w:after="0" w:line="261" w:lineRule="auto"/>
        <w:rPr>
          <w:sz w:val="20"/>
          <w:szCs w:val="20"/>
          <w:color w:val="auto"/>
        </w:rPr>
      </w:pPr>
      <w:r>
        <w:rPr>
          <w:rFonts w:ascii="Times New Roman" w:cs="Times New Roman" w:eastAsia="Times New Roman" w:hAnsi="Times New Roman"/>
          <w:sz w:val="18"/>
          <w:szCs w:val="18"/>
          <w:color w:val="auto"/>
        </w:rPr>
        <w:t>The RSAs and RSUs are valued based on the fair value of the Company’s common stock on the date of grant. The Company expenses stock-based compensation related to stock options, RSAs and RSUs over the requisite service period using the straight-line method. All stock-based compensation costs are recorded in research and development expense or general and administrative expense in the consolidated statements of operations based upon the respective employee’s roles within the Company. Forfeitures are recorded as they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18"/>
          <w:szCs w:val="18"/>
          <w:color w:val="auto"/>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 of the deferred tax assets will not be realized. The Company has recorded a full valuation allowance to reduce its net deferred income tax assets to zero. In the event the Company were to determine that it would be able to realize some or all its deferred income tax assets in the future, an adjustment to the deferred income tax asset valuation allowance would increase income in the period such determination was made.</w:t>
      </w:r>
    </w:p>
    <w:p>
      <w:pPr>
        <w:spacing w:after="0" w:line="296" w:lineRule="exact"/>
        <w:rPr>
          <w:sz w:val="20"/>
          <w:szCs w:val="20"/>
          <w:color w:val="auto"/>
        </w:rPr>
      </w:pPr>
    </w:p>
    <w:p>
      <w:pPr>
        <w:ind w:right="80" w:firstLine="720"/>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At December 31, 2019, the Company had no liability for income tax associated with uncertain tax positions. During the year ended December 31, 2020, the Company recorded gross unrecognized tax benefits that were not significant. The unrecognized tax benefits, if recognized, would not affect the effective income tax rate due to the valuation allowance that currently offsets deferred tax assets. The Company does not expect the unrecognized tax benefits to change significantly over the next 12 months. The Company would recognize any corresponding interest and penalties associated with its income tax positions in income tax expense. There was no income tax interest or penalties incurred for the year ended December 31, 2020 or for the period from Inception to December 31,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60" w:firstLine="720"/>
        <w:spacing w:after="0" w:line="282" w:lineRule="auto"/>
        <w:rPr>
          <w:sz w:val="20"/>
          <w:szCs w:val="20"/>
          <w:color w:val="auto"/>
        </w:rPr>
      </w:pPr>
      <w:r>
        <w:rPr>
          <w:rFonts w:ascii="Times New Roman" w:cs="Times New Roman" w:eastAsia="Times New Roman" w:hAnsi="Times New Roman"/>
          <w:sz w:val="18"/>
          <w:szCs w:val="18"/>
          <w:color w:val="auto"/>
        </w:rPr>
        <w:t>Comprehensive loss is equal to net loss as presented in the accompanying consolidated statements of operations, as the Company did not have any other comprehensive income or loss for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18"/>
          <w:szCs w:val="18"/>
          <w:color w:val="auto"/>
        </w:rPr>
        <w:t>In May 2014, the FASB issued ASC 606, Revenue from Contracts with Customers (“ASC 606”). This guidance applies to any entity that either enters into contracts with customers to transfer goods or services or enters into contracts for the transfer of nonfinancial assets unless those contracts are within the scope of other standards. The core principle of this guidance is that an entity should recognize revenue to depict the transfer of promised goods or services to customers in an amount that reflects the consideration to which the entity expects to be entitled in exchange for those goods or services. This guidance supersedes existing revenue recognition guidance, including most industry-specific guidance, as well as certain related guidance on accounting for contract costs. The Company early adopted ASC 606 upon its Inception. As the Company does not have any contracts with customers, the adoption of this guidance did not have any impact on the Company’s consolidated financial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180" w:firstLine="720"/>
        <w:spacing w:after="0" w:line="254" w:lineRule="auto"/>
        <w:rPr>
          <w:sz w:val="20"/>
          <w:szCs w:val="20"/>
          <w:color w:val="auto"/>
        </w:rPr>
      </w:pPr>
      <w:r>
        <w:rPr>
          <w:rFonts w:ascii="Times New Roman" w:cs="Times New Roman" w:eastAsia="Times New Roman" w:hAnsi="Times New Roman"/>
          <w:sz w:val="18"/>
          <w:szCs w:val="18"/>
          <w:color w:val="auto"/>
        </w:rPr>
        <w:t>In June 2018, the FASB issued Accounting Standards Update (“ASU”) No. 2018-07, Compensation – Stock Compensation (Topic 718) (“ASU 2018-07”). This update is intended to reduce cost and complexity and to improve financial reporting for share-based payments issued to non-employees (for example, service providers, external legal counsel, suppliers, etc.). The ASU expands the scope of Topic 718, Compensation—Stock Compensation, which currently only includes share-based payments issued to employees, to also include share-based payments issued to non-employees for goods and services. Consequently, the accounting for share-based payments to non-employees and employees will be substantially aligned. The Company early adopted ASU 2018-07 upon its Inception. The adoption of this ASU did not have a material effect on the Company’s consolidated financial statements at Inception. The Company applied this accounting pronouncement to the issuance of shares to the Board of Regents of the University of Texas System (see Note 5).</w:t>
      </w:r>
    </w:p>
    <w:p>
      <w:pPr>
        <w:spacing w:after="0" w:line="300"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(ASC Topic 820) (“ASU 2018-13”), which modifies, removes and adds certain disclosure requirements on fair value measurements based on the FASB Concepts Statement, Conceptual Framework for Financial Reporting —Chapter 8: Notes to Financial Statements. The amendments on changes in unrealized gains and losses, the range and weighted-average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ASU 2018-13 as of January 1, 2020 for the annual period. The adoption of the guidance did not have a material impact on the Company’s consolidated financial statements.</w:t>
      </w:r>
    </w:p>
    <w:p>
      <w:pPr>
        <w:spacing w:after="0" w:line="297" w:lineRule="exact"/>
        <w:rPr>
          <w:sz w:val="20"/>
          <w:szCs w:val="20"/>
          <w:color w:val="auto"/>
        </w:rPr>
      </w:pPr>
    </w:p>
    <w:p>
      <w:pPr>
        <w:ind w:right="40" w:firstLine="720"/>
        <w:spacing w:after="0" w:line="273" w:lineRule="auto"/>
        <w:rPr>
          <w:sz w:val="20"/>
          <w:szCs w:val="20"/>
          <w:color w:val="auto"/>
        </w:rPr>
      </w:pPr>
      <w:r>
        <w:rPr>
          <w:rFonts w:ascii="Times New Roman" w:cs="Times New Roman" w:eastAsia="Times New Roman" w:hAnsi="Times New Roman"/>
          <w:sz w:val="17"/>
          <w:szCs w:val="17"/>
          <w:color w:val="auto"/>
        </w:rPr>
        <w:t>In November 2018, the FASB issued ASU No. 2018-18 – Collaborative Arrangements,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The Company early adopted this standard as of January 1, 2020 for the annual period and it will be applied to interim periods after December 31, 2020. This ASU requires retrospective adoption to the date the Company adopted ASC 606, which was upon its Inception, by recognizing a cumulative-effect adjustment to the opening balance of retained earnings of the earliest annual period presented. As the Company does not have any contracts with customers or collaborative arrangements, the adoption of this guidance did not have any impact on the Company’s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Company is currently evaluating the impact of this standard on its consolidated financial statements.</w:t>
      </w:r>
    </w:p>
    <w:p>
      <w:pPr>
        <w:spacing w:after="0" w:line="291"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beginning after December 15, 2021, and interim periods within fiscal years beginning after December 15, 2022, with early adoption permitted. The Company is currently evaluating the impact of this standard on its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3—Property and Equipment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7"/>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9"/>
                <w:szCs w:val="19"/>
                <w:color w:val="auto"/>
              </w:rPr>
            </w:pP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$9,000 for the year ended December 31, 2020. There was no depreciation expense in prior periods.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4—Supplemental Financial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7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7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5—Research, Collaboration, Grant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(“UT System”) on behalf of The University of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297"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295"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284"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88"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140" w:firstLine="720"/>
        <w:spacing w:after="0" w:line="282" w:lineRule="auto"/>
        <w:rPr>
          <w:sz w:val="20"/>
          <w:szCs w:val="20"/>
          <w:color w:val="auto"/>
        </w:rPr>
      </w:pPr>
      <w:r>
        <w:rPr>
          <w:rFonts w:ascii="Times New Roman" w:cs="Times New Roman" w:eastAsia="Times New Roman" w:hAnsi="Times New Roman"/>
          <w:sz w:val="18"/>
          <w:szCs w:val="18"/>
          <w:color w:val="auto"/>
        </w:rPr>
        <w:t>The Company also had the right of first refusal for any shares that UT Southwestern wishes to sell that officially expired upon the closing of the IPO. UT Southwestern did not sell any shares before the closing of the IPO.</w:t>
      </w:r>
    </w:p>
    <w:p>
      <w:pPr>
        <w:spacing w:after="0" w:line="270"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The fair value of the shares issued was determined to be $980,000 which was recorded as an increase to common stock and additional paid-in capital and a corresponding research and development expense during the period from Inception through December 31, 2019. The cost to acquire this license is recorded within research and development expense in the consolidated statements of operations because the license relates to specific preclinical research and development activities that do not have an alternative future use. As the acquisition of the license was settled through the issuance of shares of the Company’s common stock, this transaction fell within the scope of ASC Topic 718 since equity was issued in exchange for goods (the license). Specifically, the Company recorded the cost of the license as a non-employee share based payment, measured at the grant date fair value of the common stock of $0.45 per share. The common shares were equity-classified. The anti-dilution provision was concluded to represent a performance condition tied to a future liquidity event, which was not considered probable of occurring at December 31, 2019 since it was deemed outside of the Company’s control.</w:t>
      </w:r>
    </w:p>
    <w:p>
      <w:pPr>
        <w:spacing w:after="0" w:line="300"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18"/>
          <w:szCs w:val="18"/>
          <w:color w:val="auto"/>
        </w:rPr>
        <w:t>Since there was an absence of a public trading market for the Company’s common stock during the period from Inception to December 31, 2019, the valuation of the common stock issued to UT System was performed using methodologies, approaches, and assumptions consistent with the American Institute of Certified Public Accountants Audit and Accounting Practice Aid Series: Valuation of Privately-Held-Company Equity Securities Issued as Compensation. The estimated fair value of the Company’s common stock was determined with the assistance of a third-party specialist using an Option-Pricing Method (“OPM”). Under the OPM, the Company used a backsolve method so that the enterprise value equaled the contemplated value of the Company determined by the Series A convertible preferred stock financing transaction which initially closed on March 4, 2020 (see Note 7), and giving consideration to any value-generating events that may have occurred between March 4, 2020 and the date the common shares were issued to UT System on November 19, 2019. A discount for lack of marketability (“DLOM”) of 20% was applied to derive the valuation price. The DLOM used was derived from the then-current estimates of the time to a liquidity event made by the Company’s board of directors, with input from the Company’s senior management. The estimates are based, in part, on subjective assumptions.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Queen’s Agreement</w:t>
      </w:r>
    </w:p>
    <w:p>
      <w:pPr>
        <w:spacing w:after="0" w:line="121"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agreed to issue Queen’s a promise-to-pay note whereby any amounts paid directly by Queen’s for the manufacture of the vector for use in the funded research activities, to the extent such amounts have not already been funded by the Company to Queen’s, become a loan obligation for the Company (the “Note”), subject to an interest rate of 6%. Any amounts outstanding under the Note were required to be repaid, along with any accrued interest, by or before June 30, 2020. In the event of default, any amount outstanding shall be deemed immediately payable by RA Session II, the Company’s President and Chief Executive Officer, as a personal guarantor (see Note 6). For the period from Inception through December 31, 2019, the Company did not incur any expenses associated with the Queen’s RGA, and no amounts were due or outstanding under the Note as of December 31, 2019. For the year ended December 31, 2020, the Company paid all expenses associated with the Queen’s RGA, thus no amounts were due or outstanding under the Note as of December 31, 2020, and the promise-to-pay has therefore expired.</w:t>
      </w:r>
    </w:p>
    <w:p>
      <w:pPr>
        <w:spacing w:after="0" w:line="302"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consolidated statements of operations and included as an investing outflow in the consolidated statements of cash flows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(one of the forms of Batten disease). Under the terms of the agreements, the Company made initial cash payments to Abeona of $3.0 million for the upfront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and included the license fee of $3.0 million as an investing outflow in the consolidated statements of cash flows since the acquired license does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20"/>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right="40" w:firstLine="720"/>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is recorded in research and development expenses in the consolidated statements of operations and included as an investing outflow in the consolidated statements of cash flows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300" w:lineRule="exact"/>
        <w:rPr>
          <w:sz w:val="20"/>
          <w:szCs w:val="20"/>
          <w:color w:val="auto"/>
        </w:rPr>
      </w:pPr>
    </w:p>
    <w:p>
      <w:pPr>
        <w:ind w:right="160" w:firstLine="720"/>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Catalent Agreements</w:t>
      </w:r>
    </w:p>
    <w:p>
      <w:pPr>
        <w:spacing w:after="0" w:line="121"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18"/>
          <w:szCs w:val="18"/>
          <w:color w:val="auto"/>
        </w:rPr>
        <w:t>During October and November 2020, the Company entered into two agreements (the “Catalent Agreements”) with Catalent Maryland, Inc. (“Catalent”) to support the development and manufacturing of the Company’s gene therapies for CLN1 and Rett syndrome at Catalent’s Maryland-based gene therapy facilities. The Company engaged Catalent, which is a Contract Development and Manufacturing Organization (CDMO), to conduct services related to technology transfer, process development, analytical development, qualification, project administration and manufacture of CLN1 and Rett syndrome gene therapies suitable for use in nonclinical, United States and European Union Phase 1/2 clinical trials.</w:t>
      </w:r>
    </w:p>
    <w:p>
      <w:pPr>
        <w:spacing w:after="0" w:line="291" w:lineRule="exact"/>
        <w:rPr>
          <w:sz w:val="20"/>
          <w:szCs w:val="20"/>
          <w:color w:val="auto"/>
        </w:rPr>
      </w:pPr>
    </w:p>
    <w:p>
      <w:pPr>
        <w:ind w:right="220" w:firstLine="720"/>
        <w:spacing w:after="0" w:line="266" w:lineRule="auto"/>
        <w:rPr>
          <w:sz w:val="20"/>
          <w:szCs w:val="20"/>
          <w:color w:val="auto"/>
        </w:rPr>
      </w:pPr>
      <w:r>
        <w:rPr>
          <w:rFonts w:ascii="Times New Roman" w:cs="Times New Roman" w:eastAsia="Times New Roman" w:hAnsi="Times New Roman"/>
          <w:sz w:val="18"/>
          <w:szCs w:val="18"/>
          <w:color w:val="auto"/>
        </w:rPr>
        <w:t>In connection with the Catalent Agreements, the Company paid Catalent an upfront project initiation fee of $2.0 million which is recorded as a prepaid expense in the consolidated balance sheets. The fee will be credited toward fees and expenses incurred under the Catalent Agreements. The Company therefore reduces the prepaid expense concurrently with expenses as they are incurred.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6—Related Party Transactions</w:t>
      </w:r>
    </w:p>
    <w:p>
      <w:pPr>
        <w:spacing w:after="0" w:line="121"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18"/>
          <w:szCs w:val="18"/>
          <w:color w:val="auto"/>
        </w:rPr>
        <w:t>RA Session II, President and Chief Executive Officer and a member of the Company’s board of directors, is a guarantor under the Guaranty and Security Agreement between himself, Queen’s and the Company, and in the event of the Company’s failure to fund its obligations under the RGA with Queen’s, has personally guaranteed payments due by the Company to Queen’s.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60" w:firstLine="720"/>
        <w:spacing w:after="0" w:line="261" w:lineRule="auto"/>
        <w:rPr>
          <w:sz w:val="20"/>
          <w:szCs w:val="20"/>
          <w:color w:val="auto"/>
        </w:rPr>
      </w:pPr>
      <w:r>
        <w:rPr>
          <w:rFonts w:ascii="Times New Roman" w:cs="Times New Roman" w:eastAsia="Times New Roman" w:hAnsi="Times New Roman"/>
          <w:sz w:val="18"/>
          <w:szCs w:val="18"/>
          <w:color w:val="auto"/>
        </w:rPr>
        <w:t>In addition, the Company entered into two secured promissory notes with Mr. Session in January 2020 for an aggregate of $1.67 million, with 10% interest. The Company secured the notes with a first priority security interest in certain assets of the Company. As of December 31, 2020, the Company has repaid the notes in full. As a result, Mr. Session released his security interest in the collateral. During the year ended December 31, 2020, the Company incurred and paid approximately $28,000 of interest expense related to the notes.</w:t>
      </w:r>
    </w:p>
    <w:p>
      <w:pPr>
        <w:spacing w:after="0" w:line="288"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18"/>
          <w:szCs w:val="18"/>
          <w:color w:val="auto"/>
        </w:rPr>
        <w:t>In March 2020, the Company entered into a services agreement with PBM Capital Group, LLC (“PBM”), an affiliate of PBM TGT Holdings, LLC whereby PBM provides accounting and other administrative and management services related to payroll administration, human resources, bookkeeping, preparation of financial statements and tax returns, accounts payable and receivable, and other similar functions for a fee of $2,500 per month. Paul B. Manning, a member of the Company’s board of directors and a holder of more than 5% of the Company’s capital stock, is the Chief Executive Officer of PBM Capital Group, LLC and has sole voting and investment power with respect to the shares held by PBM TGT Holdings, LLC.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 As of December 31, 2020, inclusive of certain pass-through direct costs, the Company has approximately $9,800 due to PBM, which is included in accounts payable in the consolidated balance sheets.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 (Deficit), Convertible Preferred Stock and Tranche Liability</w:t>
      </w:r>
    </w:p>
    <w:p>
      <w:pPr>
        <w:spacing w:after="0" w:line="121"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18"/>
          <w:szCs w:val="18"/>
          <w:color w:val="auto"/>
        </w:rPr>
        <w:t>At December 31, 2019, the Company was authorized to issue 10,895,000 shares of common stock with a par value of $0.00001 per share. RA Session II and one other individual were issued 8,661,524 and 54,475 shares of the Company’s common stock (“Founders Shares”), respectively, upon the formation of the Company on September 20, 2019. RA Session II and the other individual had not paid the Company for the aggregate par value, which approximated fair value at Inception, for these Founders Shares as of December 31, 2019. All amounts owed for the issuance of these Founders Shares were settled in July 2020.</w:t>
      </w:r>
    </w:p>
    <w:p>
      <w:pPr>
        <w:spacing w:after="0" w:line="291"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18"/>
          <w:szCs w:val="18"/>
          <w:color w:val="auto"/>
        </w:rPr>
        <w:t>On November 19, 2019, the Company issued 2,179,000 shares of the Company’s common stock to UT System in exchange for a license agreement. The fair value of the shares on the date of issuance was $980,000 in the aggregate. Except for the issuance of common stock to UT System in connection with the UT Southwestern Agreement, the Company did not grant any equity-based awards during the period from its Inception through December 31,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ind w:right="60" w:firstLine="748"/>
        <w:spacing w:after="0" w:line="256" w:lineRule="auto"/>
        <w:rPr>
          <w:sz w:val="20"/>
          <w:szCs w:val="20"/>
          <w:color w:val="auto"/>
        </w:rPr>
      </w:pPr>
      <w:r>
        <w:rPr>
          <w:rFonts w:ascii="Times New Roman" w:cs="Times New Roman" w:eastAsia="Times New Roman" w:hAnsi="Times New Roman"/>
          <w:sz w:val="18"/>
          <w:szCs w:val="18"/>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were designated Series A convertible preferred stock and 5,647,052 were designated Series B convertible preferred stock. On September 28, 2020, the Company amended its certificate of incorporation such that the total number of shares of common stock authorized to be issued was increased to 200,000,000, and the total number of shares of new preferred stock authorized to be issued was 10,000,000. As of December 31, 2020, no shares of preferred stock were issued or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w:t>
      </w:r>
    </w:p>
    <w:p>
      <w:pPr>
        <w:spacing w:after="0" w:line="121"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18"/>
          <w:szCs w:val="18"/>
          <w:color w:val="auto"/>
        </w:rPr>
        <w:t>On September 28, 2020, the Company issued an aggregate of 7,869,566 shares of common stock in the IPO, and on September 29, 2020, the Company issued an aggregate of 1,180,434 shares of common stock upon the underwriters’ exercise in full of their option to purchase additional shares, each at the public offering price of $20.00 per share less underwriting discounts and commissions. In connection with the IPO, the Company received gross proceeds of $181.0 million, which was offset by issuance costs, including underwriters’ discounts and commissions, of approximately $15.1 million.</w:t>
      </w:r>
    </w:p>
    <w:p>
      <w:pPr>
        <w:spacing w:after="0" w:line="288"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IPO, 10,000,000 shares of Series A convertible preferred stock and 5,647,048 shares of Series B convertible preferred stock automatically converted into an aggregate of 17,047,378 shares of common stock with a conversion ratio of 1.0895 shares of common stock for each share of Series A and Series B convertible preferred stock then outstanding.</w:t>
      </w:r>
    </w:p>
    <w:p>
      <w:pPr>
        <w:spacing w:after="0" w:line="284" w:lineRule="exact"/>
        <w:rPr>
          <w:sz w:val="20"/>
          <w:szCs w:val="20"/>
          <w:color w:val="auto"/>
        </w:rPr>
      </w:pPr>
    </w:p>
    <w:p>
      <w:pPr>
        <w:ind w:right="500" w:firstLine="720"/>
        <w:spacing w:after="0" w:line="282" w:lineRule="auto"/>
        <w:rPr>
          <w:sz w:val="20"/>
          <w:szCs w:val="20"/>
          <w:color w:val="auto"/>
        </w:rPr>
      </w:pPr>
      <w:r>
        <w:rPr>
          <w:rFonts w:ascii="Times New Roman" w:cs="Times New Roman" w:eastAsia="Times New Roman" w:hAnsi="Times New Roman"/>
          <w:sz w:val="18"/>
          <w:szCs w:val="18"/>
          <w:color w:val="auto"/>
        </w:rPr>
        <w:t>As a result of the IPO, the underwriters’ exercise of their option, and the conversions of the Series A and B convertible preferred stock, the Company’s total number of outstanding shares increased by 26,097,378 immediately following the closing of the IPO.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and B convertible preferred stock</w:t>
      </w:r>
    </w:p>
    <w:p>
      <w:pPr>
        <w:spacing w:after="0" w:line="121"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18"/>
          <w:szCs w:val="18"/>
          <w:color w:val="auto"/>
        </w:rPr>
        <w:t>On March 4, 2020, the Company entered into a purchase agreement (the “Series A Purchase Agreement”) providing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 Company to issue and sell and the Series A investors to purchase up to a total of 4,000,000 additional shares of Series A convertible preferred stock (the “Milestone Shares”) at the same price per share upon the achievement of certain defined clinical milestones (the “tranche liability”). The determination as to whether the milestone events had been met was subject to certification by the Board of Directors. Each Series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investor had the right, but not the obligation, to purchase all or any portion of the Milestone Shares at any time in its sole option and in its sole and absolute discretion, whether or not the Company had achieved the applicable clinical milestone.</w:t>
      </w:r>
    </w:p>
    <w:p>
      <w:pPr>
        <w:spacing w:after="0" w:line="270"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18"/>
          <w:szCs w:val="18"/>
          <w:color w:val="auto"/>
        </w:rPr>
        <w:t>On June 30, 2020, several affiliated Series A investors elected to exercise in full their options to purchase 200,000 shares, representing all of their remaining pro-rata portion of the Milestone Shares, prior to the Company’s achievement of the clinical milestones for gross proceeds of $0.6 million. The remainder of the Series A investors exercised in full their options to purchase 3,800,000 shares, representing all of their remaining pro-rata portion of the Milestone Shares, prior to the Company’s achievement of the clinical milestones, for gross proceeds of $11.4 million between July 1, 2020 and July 2, 2020. As part of this issuance, the Company issued and sold 3,266,667 shares to PBM TGT Holdings, LLC and 400,000 shares to Nolan Capital, LLC, which stockholders are controlled by certain members of the Company’s board of directors.</w:t>
      </w:r>
    </w:p>
    <w:p>
      <w:pPr>
        <w:spacing w:after="0" w:line="295"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18"/>
          <w:szCs w:val="18"/>
          <w:color w:val="auto"/>
        </w:rPr>
        <w:t>On July 2, 2020, the Company entered into a purchase agreement (the “Series B Purchase Agreement”), as later amended on July 28, 2020, providing for a private placement of up to 5,647,052 shares of Series B convertible preferred stock. The Company sold 5,647,048 shares of Series B convertible preferred stock at a price of $17.00 per share in multiple closings in July and August 2020 for gross proceeds of $96.0 million. The majority of investors that participated in the Series B Purchase Agreement were new investors.</w:t>
      </w:r>
    </w:p>
    <w:p>
      <w:pPr>
        <w:spacing w:after="0" w:line="288"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18"/>
          <w:szCs w:val="18"/>
          <w:color w:val="auto"/>
        </w:rPr>
        <w:t>As described above, in connection with the closing of the IPO, all shares of Series A and Series B convertible preferred stock were automatically converted into an aggregate of 17,047,378 shares of common stock with a conversion ratio, which was adjusted for the stock split, of 1.0895 shares of common stock for each share of Series A and Series B convertible preferred stock then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tranche liability</w:t>
      </w:r>
    </w:p>
    <w:p>
      <w:pPr>
        <w:spacing w:after="0" w:line="121" w:lineRule="exact"/>
        <w:rPr>
          <w:sz w:val="20"/>
          <w:szCs w:val="20"/>
          <w:color w:val="auto"/>
        </w:rPr>
      </w:pPr>
    </w:p>
    <w:p>
      <w:pPr>
        <w:ind w:right="520" w:firstLine="7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tranche liability met the definition of a freestanding financial instrument, as it was legally detachable and separately exercisable from the initial closing of the Series A convertible preferred stock.</w:t>
      </w:r>
    </w:p>
    <w:p>
      <w:pPr>
        <w:spacing w:after="0" w:line="270"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The estimated fair value of the tranche liability was determined using a Monte Carlo simulation at the initial issuance date. As of March 4, 2020, the simulations occurred based on the implied aggregate equity value of the Company derived from the Series A convertible preferred stock offering price of $3.00 per share, along with, in part, the following subjective assumptions: risk-free rate of 0.59%, an expected volatility of 80%, the expected term to a liquidity event of 1 year, and a 60% probability of achieving the clinical milestones and timing thereof. Subsequently, the estimated fair value of the tranche liability was determined using a backsolve approach at June 30, 2020, immediately prior to the issuance of the Milestone Shares, which was calculated based on the aggregate equity value of the Company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300" w:lineRule="exact"/>
        <w:rPr>
          <w:sz w:val="20"/>
          <w:szCs w:val="20"/>
          <w:color w:val="auto"/>
        </w:rPr>
      </w:pPr>
    </w:p>
    <w:p>
      <w:pPr>
        <w:ind w:right="220" w:firstLine="720"/>
        <w:spacing w:after="0" w:line="282" w:lineRule="auto"/>
        <w:rPr>
          <w:sz w:val="20"/>
          <w:szCs w:val="20"/>
          <w:color w:val="auto"/>
        </w:rPr>
      </w:pPr>
      <w:r>
        <w:rPr>
          <w:rFonts w:ascii="Times New Roman" w:cs="Times New Roman" w:eastAsia="Times New Roman" w:hAnsi="Times New Roman"/>
          <w:sz w:val="18"/>
          <w:szCs w:val="18"/>
          <w:color w:val="auto"/>
        </w:rPr>
        <w:t>Based on the analysis, the Company recorded a preferred stock tranche liability of $1.1 million at the issue date to account for the obligation to issue the Milestone Shares at a predetermined fixed price at a future settlement date.</w:t>
      </w:r>
    </w:p>
    <w:p>
      <w:pPr>
        <w:spacing w:after="0" w:line="270"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18"/>
          <w:szCs w:val="18"/>
          <w:color w:val="auto"/>
        </w:rPr>
        <w:t>At June 30, 2020, ahead of the anticipated closing of the Series B Purchase Agreement for $17.00 per share that occurred on July 2, 2020, certain investors elected to exercise in full their options to their pro-rata portion of the Milestone Shares prior to the Company’s achievement of the clinical milestones and purchased 200,000 shares of Series A convertible preferred stock. The Company remeasured the fair value of the entire tranche liability at June 30, 2020 and recognized a non-cash expense of $17.0 million in the consolidated statements of operations. Between June 30, 2020 and July 2, 2020, all of the 4,000,000 Milestone Shares were issued and the related tranche liability was extinguished in its entirety, and the Company reclassified the entire tranche liability of $18.1 million to convertible preferred stock on the consolidated balance sheets.</w:t>
      </w:r>
    </w:p>
    <w:p>
      <w:pPr>
        <w:spacing w:after="0" w:line="18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18"/>
          <w:szCs w:val="18"/>
          <w:color w:val="auto"/>
        </w:rPr>
        <w:t>The Company concluded that no beneficial conversion feature (“BCF”) existed as the effective conversion price of the Series A convertible preferred stock exceeded the fair value of the Company’s common stock at each of the commitment dates. Specifically, at the commitment date of June 30, 2020, when 200,000 Milestone Shares were issued, the deemed proceeds were equal to the cash proceeds received for the shares of Series A convertible preferred stock and the fair value of the tranche liability that related to the Milestone Shares, or $7.52 per share. As the effective conversion price exceeded the fair value of the Company’s common stock at the commitment date, no BCF existed.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preferred stock tranche liability measured at fair value using Level 3 significant unobservable inputs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380" w:type="dxa"/>
            <w:vAlign w:val="bottom"/>
            <w:gridSpan w:val="2"/>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issuance of Series A convertible preferred stock</w:t>
            </w:r>
          </w:p>
        </w:tc>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r>
      <w:tr>
        <w:trPr>
          <w:trHeight w:val="22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00" w:type="dxa"/>
            <w:vAlign w:val="bottom"/>
            <w:shd w:val="clear" w:color="auto" w:fill="CFF0FC"/>
          </w:tcPr>
          <w:p>
            <w:pPr>
              <w:spacing w:after="0"/>
              <w:rPr>
                <w:sz w:val="19"/>
                <w:szCs w:val="19"/>
                <w:color w:val="auto"/>
              </w:rPr>
            </w:pP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preferred stock tranche liability due to issuance of Milestone Shares</w:t>
            </w:r>
          </w:p>
        </w:tc>
        <w:tc>
          <w:tcPr>
            <w:tcW w:w="1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(18,080)</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8—Stock-Based Compensation</w:t>
      </w:r>
    </w:p>
    <w:p>
      <w:pPr>
        <w:spacing w:after="0" w:line="121" w:lineRule="exact"/>
        <w:rPr>
          <w:sz w:val="20"/>
          <w:szCs w:val="20"/>
          <w:color w:val="auto"/>
        </w:rPr>
      </w:pPr>
    </w:p>
    <w:p>
      <w:pPr>
        <w:ind w:right="200" w:firstLine="720"/>
        <w:spacing w:after="0" w:line="261"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Existing Plan which permits the granting of incentive stock options, non-statutory stock options, stock appreciation rights, RSAs, RSUs and other stock-based awards to employees, directors, officers and consultants. On July 1, 2020, 3,529,412 shares of common stock were authorized for issuance under the Existing Plan. On September 16, 2020, the Company increased the number of shares of common stock authorized for issuance under the Existing Plan to 3,845,294.</w:t>
      </w:r>
    </w:p>
    <w:p>
      <w:pPr>
        <w:spacing w:after="0" w:line="288"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New Plan, which became effective upon the execution of the underwriting agreement in connection with the IPO. The number of shares available for future issuance under the New Plan is the sum of (1) 3,390,168 new shares of common stock, (2) 209,841 remaining shares of common stock reserved under the Existing Plan that became available for issuance upon the effectiveness of the New Plan and (3) the number of shares of common stock subject to outstanding awards under the Existing Plan when the New Plan became effective that thereafter expire or are forfeited, canceled, withheld to satisfy tax withholding or to purchase or exercise an award, repurchased by the Company or are otherwise terminated. At December 31, 2020, there were 2,941,509, shares available for future grant under the New Plan. The number of shares of common stock reserved for issuance under the New Plan will automatically increase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w:t>
      </w:r>
    </w:p>
    <w:p>
      <w:pPr>
        <w:spacing w:after="0" w:line="296"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Date and ending on (and including) January 1, 2030, in an amount equal to the lesser of (i) one percent (1.0%) of the total number of shares of capital stock outstanding on December 31st of the preceding calendar year, and (ii) 724,000 shares of common stock. No issuances have been made under the ESPP as of December 31,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18"/>
          <w:szCs w:val="18"/>
          <w:color w:val="auto"/>
        </w:rPr>
        <w:t>On July 1, 2020, options to purchase 2,896,782 shares of common stock under the Existing Plan were awarded to certain employees and consultants of the Company with an exercise price per share of $0.80, which were expected to vest over a four-year period, all of which were subsequently cancelled (the “Cancelled Options”). The grant date fair value of the Cancelled Options was $13.8 million at the original grant date. In exchange, the Company awarded 2,518,932 RSUs on September 2, 2020, which are expected to vest over a four-year term. The Company accounted for the changes in award terms as a modification in accordance with ASC 718 Compensation – Stock Compensation. The modification is accounted for as an exchange of the original award for a new award with total compensation cost equal to the grant-date fair value of the original award plus any incremental value measured on the modification date. The Company determined that there was no incremental value as the fair value of the original award immediately before the modification was greater than the fair value of the new award immediately after the modification. Accordingly, the Company will recognize the remaining compensation cost at the time of the modification of $13.2 million over the vesting period of the RSUs.</w:t>
      </w:r>
    </w:p>
    <w:p>
      <w:pPr>
        <w:spacing w:after="0" w:line="296" w:lineRule="exact"/>
        <w:rPr>
          <w:sz w:val="20"/>
          <w:szCs w:val="20"/>
          <w:color w:val="auto"/>
        </w:rPr>
      </w:pPr>
    </w:p>
    <w:p>
      <w:pPr>
        <w:ind w:right="80" w:firstLine="748"/>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Company’s common stock at July 1, 2020 was $5.28 per share, as determined using information derived from the issuance price of the Company’s Series B convertible preferred stock of $17.00 per share on July 2, 2020. The valuation of the common stock was determined using an option-pricing model under which shares are valued by creating a series of call options with exercise prices based on the liquidation preferences and conversion terms of each equity class, adjusted for a discount for the lack of marketability to account for a lack of access to an active public market.</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Cancelled Options that were granted on July 1, 2020:</w:t>
      </w:r>
    </w:p>
    <w:p>
      <w:pPr>
        <w:sectPr>
          <w:pgSz w:w="11900" w:h="16838" w:orient="portrait"/>
          <w:cols w:equalWidth="0" w:num="1">
            <w:col w:w="11240"/>
          </w:cols>
          <w:pgMar w:left="320" w:top="117" w:right="3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dividend yield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0.31</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-132080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6.3</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80%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4740" w:space="720"/>
            <w:col w:w="5780"/>
          </w:cols>
          <w:pgMar w:left="320" w:top="117" w:right="339" w:bottom="1440" w:gutter="0" w:footer="0" w:header="0"/>
          <w:type w:val="continuous"/>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excluding the Cancelled Options, options to purchase 674,842 shares of common stock were granted with a weighted-average exercise price per share of $20.68. On September 2, 2020, options to purchase 16,342 shares of common stock under the Existing Plan were awarded to certain directors of the Company with an exercise price per share of $14.90, and on various dates beginning at the closing of the IPO through December 31, 2020, 658,500 shares of common stock under the New Plan were awarded with a weighted-average exercise price per share of $20.83. The stock options generally vest over three or four years and have a ten-year contractual term.</w:t>
      </w:r>
    </w:p>
    <w:p>
      <w:pPr>
        <w:spacing w:after="0" w:line="291" w:lineRule="exact"/>
        <w:rPr>
          <w:sz w:val="20"/>
          <w:szCs w:val="20"/>
          <w:color w:val="auto"/>
        </w:rPr>
      </w:pPr>
    </w:p>
    <w:p>
      <w:pPr>
        <w:ind w:right="100" w:firstLine="720"/>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stock options, excluding the Cancelled Options, for the year ended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0.54%</w:t>
            </w: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562"/>
        </w:trPr>
        <w:tc>
          <w:tcPr>
            <w:tcW w:w="11240" w:type="dxa"/>
            <w:vAlign w:val="bottom"/>
            <w:gridSpan w:val="11"/>
          </w:tcPr>
          <w:p>
            <w:pPr>
              <w:ind w:left="720"/>
              <w:spacing w:after="0"/>
              <w:rPr>
                <w:sz w:val="20"/>
                <w:szCs w:val="20"/>
                <w:color w:val="auto"/>
              </w:rPr>
            </w:pPr>
            <w:r>
              <w:rPr>
                <w:rFonts w:ascii="Times New Roman" w:cs="Times New Roman" w:eastAsia="Times New Roman" w:hAnsi="Times New Roman"/>
                <w:sz w:val="18"/>
                <w:szCs w:val="18"/>
                <w:color w:val="auto"/>
              </w:rPr>
              <w:t>The following table summarizes stock option activity, excluding the Cancelled Options, during the year ended December 31, 2020:</w:t>
            </w:r>
          </w:p>
        </w:tc>
      </w:tr>
      <w:tr>
        <w:trPr>
          <w:trHeight w:val="434"/>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73"/>
        </w:trPr>
        <w:tc>
          <w:tcPr>
            <w:tcW w:w="58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674,842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674,842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Vested and expected to vest at December 31, 2020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674,842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December 31, 2020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as of December 31, 2020 and the exercise price of the stock options. The weighted-average grant date fair value per share for the stock option awards, excluding the Cancelled Options, granted during the year ended December 31, 2020 was $13.73. As of December 31, 2020, the total unrecognized compensation related to unvested stock option awards granted was $8.8 million, which the Company expects to recognize over a weighted-average period of approximately 3.6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18"/>
          <w:szCs w:val="18"/>
          <w:color w:val="auto"/>
        </w:rPr>
        <w:t>On September 2, 2020, the Company issued 331,121 RSUs to an employee under the Existing Plan; 25% of the shares of common stock underlying the RSUs vest at each anniversary over a four-year period. The RSUs are subject to a service-based vesting condition. The RSUs were also subject to a liquidity-based performance vesting condition that was met upon the closing of the IPO. The Company at any time may accelerate the vesting of the RSUs. Such shares are not accounted for as outstanding until they vest. As of December 31, 2020, the total unrecognized compensation related to unvested RSUs granted, including the remaining compensation cost associated with the RSUs granted on September 2, 2020 in exchange for the Cancelled Options, was $16.2 million which is expected to be amortized on a straight-line basis over the weighted-average remaining vesting period of approximately 2.1 years. The Company’s RSU activity for the year ended December 31, 2020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 w:type="dxa"/>
            <w:vAlign w:val="bottom"/>
          </w:tcPr>
          <w:p>
            <w:pPr>
              <w:spacing w:after="0"/>
              <w:rPr>
                <w:sz w:val="14"/>
                <w:szCs w:val="14"/>
                <w:color w:val="auto"/>
              </w:rPr>
            </w:pPr>
          </w:p>
        </w:tc>
      </w:tr>
      <w:tr>
        <w:trPr>
          <w:trHeight w:val="173"/>
        </w:trPr>
        <w:tc>
          <w:tcPr>
            <w:tcW w:w="4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5"/>
                <w:szCs w:val="15"/>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2020</w:t>
            </w:r>
          </w:p>
        </w:tc>
        <w:tc>
          <w:tcPr>
            <w:tcW w:w="35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Replacement restricted units granted</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2,518,932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units granted</w:t>
            </w:r>
          </w:p>
        </w:tc>
        <w:tc>
          <w:tcPr>
            <w:tcW w:w="5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331,121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354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354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2,850,053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180" w:type="dxa"/>
            <w:vAlign w:val="bottom"/>
          </w:tcPr>
          <w:p>
            <w:pPr>
              <w:spacing w:after="0"/>
              <w:rPr>
                <w:sz w:val="24"/>
                <w:szCs w:val="24"/>
                <w:color w:val="auto"/>
              </w:rPr>
            </w:pPr>
          </w:p>
        </w:tc>
        <w:tc>
          <w:tcPr>
            <w:tcW w:w="538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F-18</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18"/>
          <w:szCs w:val="18"/>
          <w:color w:val="auto"/>
        </w:rPr>
        <w:t>RA Session II, the Company’s President and Chief Executive Officer, was awarded 769,058 RSAs under the Existing Plan on July 1, 2020, which are expected to vest over a three-year term, subject to continuous employment. As of December 31, 2020, the total unrecognized compensation related to unvested RSAs granted was $3.2 million which is expected to be amortized on a straight-line basis over the weighted-average remaining vesting period of approximately 2.3 years. The fair value of these RSAs at the grant date of July 1, 2020 was $5.28 per share.</w:t>
      </w:r>
    </w:p>
    <w:p>
      <w:pPr>
        <w:spacing w:after="0" w:line="2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Company’s RSA activity for the year ended December 31, 2020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769,058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769,058</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right="140" w:firstLine="7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RSAs and RSUs recorded in the consolidated statements of operations for the year ended December 31, 2020 and for the period from Inception to December 31, 2019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12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9—Net Loss Per Common Share</w:t>
      </w:r>
    </w:p>
    <w:p>
      <w:pPr>
        <w:spacing w:after="0" w:line="121"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the periods presented, basic and diluted net loss per common share are the same.</w:t>
      </w:r>
    </w:p>
    <w:p>
      <w:pPr>
        <w:spacing w:after="0" w:line="284" w:lineRule="exact"/>
        <w:rPr>
          <w:sz w:val="20"/>
          <w:szCs w:val="20"/>
          <w:color w:val="auto"/>
        </w:rPr>
      </w:pPr>
    </w:p>
    <w:p>
      <w:pPr>
        <w:ind w:right="440" w:firstLine="7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for the year ended December 31, 2020 and the period from Inception to December 31, 2019 (in thousands,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12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(60,011)</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 per</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common share, basic and diluted</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17,665,683</w:t>
            </w:r>
          </w:p>
        </w:tc>
        <w:tc>
          <w:tcPr>
            <w:tcW w:w="2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9,625,679</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200" w:firstLine="720"/>
        <w:spacing w:after="0" w:line="235" w:lineRule="exact"/>
        <w:rPr>
          <w:sz w:val="20"/>
          <w:szCs w:val="20"/>
          <w:color w:val="auto"/>
        </w:rPr>
      </w:pPr>
      <w:r>
        <w:rPr>
          <w:rFonts w:ascii="Times New Roman" w:cs="Times New Roman" w:eastAsia="Times New Roman" w:hAnsi="Times New Roman"/>
          <w:sz w:val="18"/>
          <w:szCs w:val="18"/>
          <w:color w:val="auto"/>
        </w:rPr>
        <w:t>The following common stock equivalents outstanding as of December 31, 2020 and 2019, respectively,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2,850,053</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Unvested RSAs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769,058</w:t>
            </w:r>
          </w:p>
        </w:tc>
        <w:tc>
          <w:tcPr>
            <w:tcW w:w="280" w:type="dxa"/>
            <w:vAlign w:val="bottom"/>
          </w:tcPr>
          <w:p>
            <w:pPr>
              <w:spacing w:after="0"/>
              <w:rPr>
                <w:sz w:val="19"/>
                <w:szCs w:val="19"/>
                <w:color w:val="auto"/>
              </w:rPr>
            </w:pPr>
          </w:p>
        </w:tc>
        <w:tc>
          <w:tcPr>
            <w:tcW w:w="16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674,842</w:t>
            </w: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4,293,953</w:t>
            </w:r>
          </w:p>
        </w:tc>
        <w:tc>
          <w:tcPr>
            <w:tcW w:w="280" w:type="dxa"/>
            <w:vAlign w:val="bottom"/>
          </w:tcPr>
          <w:p>
            <w:pPr>
              <w:spacing w:after="0"/>
              <w:rPr>
                <w:sz w:val="19"/>
                <w:szCs w:val="19"/>
                <w:color w:val="auto"/>
              </w:rPr>
            </w:pPr>
          </w:p>
        </w:tc>
        <w:tc>
          <w:tcPr>
            <w:tcW w:w="156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0"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18"/>
          <w:szCs w:val="18"/>
          <w:color w:val="auto"/>
        </w:rPr>
        <w:t>On March 27, 2020, the CARES Act, an economic relief package in response to the COVID-19 pandemic, was signed into law. The CARES Act contains several corporate income tax provisions, including making remaining alternative minimum tax credits immediately refundable; providing a 5-year carryback of NOL carryforwards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The CARES Act did not have a material effect on the realizability of deferred income tax assets or tax expense in 2020.</w:t>
      </w:r>
    </w:p>
    <w:p>
      <w:pPr>
        <w:spacing w:after="0" w:line="2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effective tax rate of the Company's provision (benefit) for income taxes differs from the federal statutory rate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19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19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0" w:type="dxa"/>
            <w:vAlign w:val="bottom"/>
          </w:tcPr>
          <w:p>
            <w:pPr>
              <w:spacing w:after="0"/>
              <w:rPr>
                <w:sz w:val="1"/>
                <w:szCs w:val="1"/>
                <w:color w:val="auto"/>
              </w:rPr>
            </w:pPr>
          </w:p>
        </w:tc>
      </w:tr>
      <w:tr>
        <w:trPr>
          <w:trHeight w:val="173"/>
        </w:trPr>
        <w:tc>
          <w:tcPr>
            <w:tcW w:w="752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1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21.00%</w:t>
            </w: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0.06%</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business credits</w:t>
            </w:r>
          </w:p>
        </w:tc>
        <w:tc>
          <w:tcPr>
            <w:tcW w:w="1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(0.25)%</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(15.91)%</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tranche liability</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5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vMerge w:val="continue"/>
            <w:shd w:val="clear" w:color="auto" w:fill="CFF0FC"/>
          </w:tcPr>
          <w:p>
            <w:pPr>
              <w:spacing w:after="0"/>
              <w:rPr>
                <w:sz w:val="19"/>
                <w:szCs w:val="19"/>
                <w:color w:val="auto"/>
              </w:rPr>
            </w:pPr>
          </w:p>
        </w:tc>
        <w:tc>
          <w:tcPr>
            <w:tcW w:w="1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Deferred tax assets and valuation allowance</w:t>
      </w:r>
    </w:p>
    <w:p>
      <w:pPr>
        <w:spacing w:after="0" w:line="268" w:lineRule="exact"/>
        <w:rPr>
          <w:sz w:val="20"/>
          <w:szCs w:val="20"/>
          <w:color w:val="auto"/>
        </w:rPr>
      </w:pPr>
    </w:p>
    <w:p>
      <w:pPr>
        <w:jc w:val="both"/>
        <w:ind w:right="200" w:firstLine="720"/>
        <w:spacing w:after="0" w:line="266" w:lineRule="auto"/>
        <w:rPr>
          <w:sz w:val="20"/>
          <w:szCs w:val="20"/>
          <w:color w:val="auto"/>
        </w:rPr>
      </w:pPr>
      <w:r>
        <w:rPr>
          <w:rFonts w:ascii="Times New Roman" w:cs="Times New Roman" w:eastAsia="Times New Roman" w:hAnsi="Times New Roman"/>
          <w:sz w:val="18"/>
          <w:szCs w:val="18"/>
          <w:color w:val="auto"/>
        </w:rPr>
        <w:t>Deferred tax assets reflect the tax effects of NOLs, tax credit carryovers, and temporary differences between the carrying amounts of assets and liabilities for financial reporting purposes and the amounts used for income tax purposes. At December 31, 2020 and December 31, 2019, the significant components of the Company’s net deferred tax asset are as follows (in thousands):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 2019</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of inception)</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and start-up costs</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net of allowance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720"/>
        <w:spacing w:after="0" w:line="274" w:lineRule="auto"/>
        <w:rPr>
          <w:sz w:val="20"/>
          <w:szCs w:val="20"/>
          <w:color w:val="auto"/>
        </w:rPr>
      </w:pPr>
      <w:r>
        <w:rPr>
          <w:rFonts w:ascii="Times New Roman" w:cs="Times New Roman" w:eastAsia="Times New Roman" w:hAnsi="Times New Roman"/>
          <w:sz w:val="17"/>
          <w:szCs w:val="17"/>
          <w:color w:val="auto"/>
        </w:rPr>
        <w:t>There are no deferred tax liabilities as of December 31, 2020 and December 31, 2019, respectively. The valuation allowance is equal to the total deferred tax asset amounts as of December 31, 2020 and December 31, 2019 as there are no deferred tax liabilities in the respective periods.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w:t>
      </w:r>
    </w:p>
    <w:p>
      <w:pPr>
        <w:spacing w:after="0" w:line="20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$9.5 million during the year ended December 31, 2020 and by $0.2 million for the period from Inception to December 31, 2019.</w:t>
      </w:r>
    </w:p>
    <w:p>
      <w:pPr>
        <w:spacing w:after="0" w:line="202" w:lineRule="exact"/>
        <w:rPr>
          <w:sz w:val="20"/>
          <w:szCs w:val="20"/>
          <w:color w:val="auto"/>
        </w:rPr>
      </w:pPr>
    </w:p>
    <w:p>
      <w:pPr>
        <w:ind w:right="360" w:firstLine="720"/>
        <w:spacing w:after="0" w:line="261" w:lineRule="auto"/>
        <w:rPr>
          <w:sz w:val="20"/>
          <w:szCs w:val="20"/>
          <w:color w:val="auto"/>
        </w:rPr>
      </w:pPr>
      <w:r>
        <w:rPr>
          <w:rFonts w:ascii="Times New Roman" w:cs="Times New Roman" w:eastAsia="Times New Roman" w:hAnsi="Times New Roman"/>
          <w:sz w:val="18"/>
          <w:szCs w:val="18"/>
          <w:color w:val="auto"/>
        </w:rPr>
        <w:t>There were no net operating loss and tax credit carryforwards as of December 31, 2019. As of December 31, 2020, there were net federal operating losses of $27.7 million, federal tax credit carryforward of $0.9 million, and state tax credit carryforward of less than $0.1 million. The net operating losses and state tax credit carryforward do not expire. The federal tax credit carryforward will expire in 2040. The Company files federal and state income tax returns and, in the normal course of business, the Company is subject to examination by these taxing authorities.</w:t>
      </w:r>
    </w:p>
    <w:p>
      <w:pPr>
        <w:spacing w:after="0" w:line="220"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18"/>
          <w:szCs w:val="18"/>
          <w:color w:val="auto"/>
        </w:rPr>
        <w:t>Pursuant to Section 382 of the Internal Revenue Code, certain substantial changes in the Company's ownership may result in a limitation on the amount of NOL carryforwards and tax credit carryforwards that may be used in future years. Utilization of the NOL and tax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tax credit carryforwards that can be utilized annually to offset future taxable income and tax, respectively. The Company has not completed a study to assess whether an ownership change has occurred, or whether there have been multiple ownership changes since its formation. There could also be additional ownership changes in the future which may result in additional limitations on the utilization of NOL carryforwards and credits.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520" w:firstLine="7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December 31, 2020. The Company does not anticipate recognizing any significant losses relating to these arrangements.</w:t>
      </w:r>
    </w:p>
    <w:p>
      <w:pPr>
        <w:spacing w:after="0" w:line="284"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was not a party to any leasing agreements. On December 17, 2020, the Company entered into a lease agreement (the “Durham Lease”) with Patriot Park Partners II, LLC, a Delaware limited liability company (the “Landlord”), pursuant to which the Company agreed to lease approximately 187,500 square feet of a manufacturing facility located at 5 National Way, Durham, North Carolina (the “Facility”). The Durham Lease commences on April 1, 2021 and is expected to have a term of approximately fifteen years and six months. The Company has two options to extend the term of the Durham Lease, each for a period of an additional five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will be responsible for constructing interior improvements within the Facility. The Company also has a one-time right of first offer during the term of the Durham Lease to purchase the Facility. The Landlord has the right to terminate the Durham Lease upon specified events of default, including the Company’s failure to pay rent in a timely manner and upon the occurrence of certain events of insolvency with respect to the Company.</w:t>
      </w:r>
    </w:p>
    <w:p>
      <w:pPr>
        <w:spacing w:after="0" w:line="2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Company may terminate the Durham Lease if construction of the base building shell of the Facility is not complete by May 16, 2021.</w:t>
      </w:r>
    </w:p>
    <w:p>
      <w:pPr>
        <w:spacing w:after="0" w:line="333" w:lineRule="exact"/>
        <w:rPr>
          <w:sz w:val="20"/>
          <w:szCs w:val="20"/>
          <w:color w:val="auto"/>
        </w:rPr>
      </w:pPr>
    </w:p>
    <w:p>
      <w:pPr>
        <w:jc w:val="both"/>
        <w:ind w:right="320" w:firstLine="720"/>
        <w:spacing w:after="0" w:line="312" w:lineRule="auto"/>
        <w:rPr>
          <w:sz w:val="20"/>
          <w:szCs w:val="20"/>
          <w:color w:val="auto"/>
        </w:rPr>
      </w:pPr>
      <w:r>
        <w:rPr>
          <w:rFonts w:ascii="Times New Roman" w:cs="Times New Roman" w:eastAsia="Times New Roman" w:hAnsi="Times New Roman"/>
          <w:sz w:val="17"/>
          <w:szCs w:val="17"/>
          <w:color w:val="auto"/>
        </w:rPr>
        <w:t>As of December 31, 2020, the Company incurred initial direct costs to enter into the Durham Lease of approximately $0.8 million. The costs have been recorded on the consolidated balance sheets as a deferred lease asset and will be amortized into earnings over the term of the Durham Lease.</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lease commitments as of December 31, 2020 (in thousands):</w:t>
      </w:r>
    </w:p>
    <w:p>
      <w:pPr>
        <w:spacing w:after="0" w:line="235" w:lineRule="exact"/>
        <w:rPr>
          <w:sz w:val="20"/>
          <w:szCs w:val="20"/>
          <w:color w:val="auto"/>
        </w:rPr>
      </w:pPr>
    </w:p>
    <w:tbl>
      <w:tblPr>
        <w:tblLayout w:type="fixed"/>
        <w:tblInd w:w="282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FF0FC"/>
          </w:tcPr>
          <w:p>
            <w:pPr>
              <w:spacing w:after="0"/>
              <w:rPr>
                <w:sz w:val="19"/>
                <w:szCs w:val="19"/>
                <w:color w:val="auto"/>
              </w:rPr>
            </w:pP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shd w:val="clear" w:color="auto" w:fill="CFF0FC"/>
          </w:tcPr>
          <w:p>
            <w:pPr>
              <w:spacing w:after="0"/>
              <w:rPr>
                <w:sz w:val="19"/>
                <w:szCs w:val="19"/>
                <w:color w:val="auto"/>
              </w:rPr>
            </w:pP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shd w:val="clear" w:color="auto" w:fill="CFF0FC"/>
          </w:tcPr>
          <w:p>
            <w:pPr>
              <w:spacing w:after="0"/>
              <w:rPr>
                <w:sz w:val="19"/>
                <w:szCs w:val="19"/>
                <w:color w:val="auto"/>
              </w:rPr>
            </w:pPr>
          </w:p>
        </w:tc>
      </w:tr>
      <w:tr>
        <w:trPr>
          <w:trHeight w:val="229"/>
        </w:trPr>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80" w:type="dxa"/>
            <w:vAlign w:val="bottom"/>
            <w:tcBorders>
              <w:bottom w:val="single" w:sz="8" w:color="CFF0FC"/>
            </w:tcBorders>
          </w:tcPr>
          <w:p>
            <w:pPr>
              <w:spacing w:after="0"/>
              <w:rPr>
                <w:sz w:val="19"/>
                <w:szCs w:val="19"/>
                <w:color w:val="auto"/>
              </w:rPr>
            </w:pPr>
          </w:p>
        </w:tc>
      </w:tr>
      <w:tr>
        <w:trPr>
          <w:trHeight w:val="223"/>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Commitments</w:t>
            </w:r>
          </w:p>
        </w:tc>
        <w:tc>
          <w:tcPr>
            <w:tcW w:w="10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w:t>
      </w:r>
    </w:p>
    <w:p>
      <w:pPr>
        <w:spacing w:after="0" w:line="119"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will lease approximately 15,000 square feet of office space at 3000 Pegasus Park Drive, Dallas, Texas 75247 (the “Office Space”). The Dallas Lease commences on the date on which certain improvements to the Office Space have been made and the Office Space is tendered to the Company for possession, which the Company and the Dallas Landlord presently anticipate to be delivered on or about April 15, 2021, and will have a term of approximately ten years. The Company has an option to extend the term of the Dallas Lease for one additional period of five years. Total future minimum lease payments under the Dallas Lease over the initial 10 year term are approximately $4.9 million. The Company may terminate the Dallas Lease if the Office Space is not delivered with all improvements to be made by the Dallas Landlord pursuant to the Dallas Lease if not substantially completed by May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ind w:right="420" w:firstLine="720"/>
        <w:spacing w:after="0" w:line="282" w:lineRule="auto"/>
        <w:rPr>
          <w:sz w:val="20"/>
          <w:szCs w:val="20"/>
          <w:color w:val="auto"/>
        </w:rPr>
      </w:pPr>
      <w:r>
        <w:rPr>
          <w:rFonts w:ascii="Times New Roman" w:cs="Times New Roman" w:eastAsia="Times New Roman" w:hAnsi="Times New Roman"/>
          <w:sz w:val="18"/>
          <w:szCs w:val="18"/>
          <w:color w:val="auto"/>
        </w:rPr>
        <w:t>In January, February, and March 2021, the Company granted options to purchase an aggregate of 1,621,900 shares of its common stock at a weighted-average exercise price of $28.81 per share.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9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10-K. Based on such evaluation, our Chief Executive Officer and Chief Financial Officer have concluded that as of December 31, 2020,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60" w:firstLine="667"/>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as allowed by the SEC during the transition period for newly public companies.</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quarter ended December 31, 2020 that materially affected, or are reasonably likely to materially affect, our internal control over financial reporting.</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names of our directors and executive officers, their ages as of March 1, 2021 and certain other information about them are set forth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RA Session II</w:t>
      </w:r>
      <w:r>
        <w:rPr>
          <w:rFonts w:ascii="Times New Roman" w:cs="Times New Roman" w:eastAsia="Times New Roman" w:hAnsi="Times New Roman"/>
          <w:sz w:val="18"/>
          <w:szCs w:val="18"/>
          <w:color w:val="auto"/>
        </w:rPr>
        <w:t>, age 42, has served as our President and Chief Executive Officer and a member of our board of directors since our founding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2019. In addition to serving as our President and Chief Executive Officer, Mr. Session currently serves as Entrepreneur-in-Residence of the University of Texas Southwestern Medical Center. He has served on the board of directors of Chardan Healthcare Acquisition 2 Corp. since April 2020. Mr. Session previously served as Chief Business Officer of the gene therapy subsidiaries of BridgeBio Pharma, Inc., a biopharmaceutical company, from January 2019 to April 2020; Senior Vice President, Corporate Strategy and Project Management of AveXis, Inc., a gene therapy company, from March 2017 to May 2018; and in various roles for PTC Therapeutics, Inc., a biopharmaceutical company, from June 2013 to March 2017, most recently as the Vice President of Commercial Development. Mr. Session has also served as an advisor to multiple biotechnology companies, including Alcyone Lifesciences, Inc. from January 2019 to December 2019, 4D Molecular Therapeutics, Inc. from August 2018 to December 2019 and Celenex from June 2018 to September 2018. Mr. Session earned a B.S.B.A. in finance from the University of North Carolina at Charlotte, an M.S.F. in finance from Texas A&amp;M University-Commerce and an M.B.A. from Texas A&amp;M University-Commerce. Our board of directors believes that Mr. Session is qualified to serve as a director based on his role as our Chief Executive Officer and his extensive management experience in the biotechnology industry.</w:t>
      </w:r>
    </w:p>
    <w:p>
      <w:pPr>
        <w:spacing w:after="0" w:line="290"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Kamran Alam</w:t>
      </w:r>
      <w:r>
        <w:rPr>
          <w:rFonts w:ascii="Times New Roman" w:cs="Times New Roman" w:eastAsia="Times New Roman" w:hAnsi="Times New Roman"/>
          <w:sz w:val="18"/>
          <w:szCs w:val="18"/>
          <w:color w:val="auto"/>
        </w:rPr>
        <w:t>, age 43, has served as our Chief Financial Officer since August 2020. Mr. Alam previously served as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and Principal Financial Officer of Rocket Pharmaceuticals, Inc., a biopharmaceutical company, from October 2019 to July 2020 and as Vice President, Finance at AveXis, Inc., a gene therapy company, from April 2016 to October 2019. From 2013 to April 2016, he held positions of increasing responsibility at Aptinyx Inc., a biopharmaceutical company, where at the time of his departure he was a Senior Director, Finance and Accounting. Mr. Alam is a Certified Public Accountant and earned a B.B.A. from the Ross School of Business at University of Michigan and an M.B.A. in finance from the Kelley School of Business at Indiana University.</w:t>
      </w:r>
    </w:p>
    <w:p>
      <w:pPr>
        <w:spacing w:after="0" w:line="29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Suyash Prasad, M.B.B.S., F.F.P.M.</w:t>
      </w:r>
      <w:r>
        <w:rPr>
          <w:rFonts w:ascii="Times New Roman" w:cs="Times New Roman" w:eastAsia="Times New Roman" w:hAnsi="Times New Roman"/>
          <w:sz w:val="18"/>
          <w:szCs w:val="18"/>
          <w:color w:val="auto"/>
        </w:rPr>
        <w:t>, age 50, has served as our Chief Medical Officer and Head of Research and Development since June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Prasad has served as principal of Suyash Prasad Consulting LLC, a consulting firm, since October 2019. He previously served as Senior Vice President and Chief Medical Officer of Audentes Therapeutics, Inc., a gene therapy company, from 2014 to June 2019. Dr. Prasad earned a medical degree from the University of Newcastle-upon-Tyne, United Kingdom, a master’s degree (with distinction) in translational science from Kings College, London, United Kingdom, and a diploma in pharmaceutical medicine from the Faculty of Pharmaceutical Medicine of the Royal Colleges of Physicians of the United Kingdom. Dr. Prasad is a United Kingdom board-certified physician and is a member of the Royal College of Physicians and the Royal College of Pediatrics and Child Health and is a Fellow of the Faculty of Pharmaceutical Medicine of the Royal College of Physicians of the United Kingdom.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Sean P. Nolan</w:t>
      </w:r>
      <w:r>
        <w:rPr>
          <w:rFonts w:ascii="Times New Roman" w:cs="Times New Roman" w:eastAsia="Times New Roman" w:hAnsi="Times New Roman"/>
          <w:sz w:val="18"/>
          <w:szCs w:val="18"/>
          <w:color w:val="auto"/>
        </w:rPr>
        <w:t>, age 53, has served as the Chairman of our board of directors since March 2020. He has served as the President of Nolan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an investment fund, since October 2019. Mr. Nolan most recently served as President, Chief Executive Officer and a member of the board of directors of AveXis, Inc., a gene therapy company, from June 2015 to May 2018 until its acquisition by Novartis International AG. Mr. Nolan has served on the board of directors of Ventas, Inc., a healthcare real estate investment trust company, since July 2019 and previously served on the board of directors of Neoleukin Therapeutics, Inc., a biopharmaceutical company, from February 2015 to June 2020. Mr. Nolan serves on the boards of several privately held companies including Chairman of Encoded Therapeutics and Affinia Therapeutics, and Executive Chairman of Jaguar Gene Therapy, LLC and Istari Oncology. Mr. Nolan earned a B.S. in biology from John Carroll University. Our board of directors believes that Mr. Nolan is qualified to serve as a director based upon his more than 29 years of broad leadership and management experience in the biopharmaceutical industry.</w:t>
      </w:r>
    </w:p>
    <w:p>
      <w:pPr>
        <w:spacing w:after="0" w:line="293" w:lineRule="exact"/>
        <w:rPr>
          <w:sz w:val="20"/>
          <w:szCs w:val="20"/>
          <w:color w:val="auto"/>
        </w:rPr>
      </w:pPr>
    </w:p>
    <w:p>
      <w:pPr>
        <w:jc w:val="both"/>
        <w:ind w:right="2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Phillip B. Donenberg</w:t>
      </w:r>
      <w:r>
        <w:rPr>
          <w:rFonts w:ascii="Times New Roman" w:cs="Times New Roman" w:eastAsia="Times New Roman" w:hAnsi="Times New Roman"/>
          <w:sz w:val="18"/>
          <w:szCs w:val="18"/>
          <w:color w:val="auto"/>
        </w:rPr>
        <w:t>, age 60, has served as a member of our board of directors since August 2020. Mr. Donenberg currently serves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Chief Financial Officer of Jaguar Gene Therapy, LLC, a privately held early-stage gene therapy company, and has served in such role since February 2020. Mr. Donenberg has served on the board of directors and as chairman of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ind w:right="40"/>
        <w:spacing w:after="0" w:line="259" w:lineRule="auto"/>
        <w:rPr>
          <w:sz w:val="20"/>
          <w:szCs w:val="20"/>
          <w:color w:val="auto"/>
        </w:rPr>
      </w:pPr>
      <w:r>
        <w:rPr>
          <w:rFonts w:ascii="Times New Roman" w:cs="Times New Roman" w:eastAsia="Times New Roman" w:hAnsi="Times New Roman"/>
          <w:sz w:val="18"/>
          <w:szCs w:val="18"/>
          <w:color w:val="auto"/>
        </w:rPr>
        <w:t>audit committee of AVROBIO, Inc., a gene therapy company, since June 2018. Previously, Mr. Donenberg served as Chief Financial Officer and Senior Vice President of Assertio Therapeutics, Inc., a pharmaceutical company, from July 2018 to November 2018. He served as Senior Vice President and Chief Financial Officer of AveXis, Inc., a gene therapy company, from October 2017 to June 2018 and as Vice President, Corporate Controller from September 2016 to October 2017. Mr. Donenberg served as Chief Financial Officer of RestorGenex Corporation from 2014 until its merger with Diffusion Pharmaceuticals LLC, a pharmaceutical company, in January 2016, and served as the merged company’s consultant Chief Financial Officer until September 2016. Mr. Donenberg earned a B.S. in accountancy from the University of Illinois Champaign-Urbana College of Business and is a Certified Public Accountant. Our board of directors believes that Mr. Donenberg is qualified to serve as a director based on his financial expertise and his experience as a director and executive of companies in the biotechnology and pharmaceutical industries.</w:t>
      </w:r>
    </w:p>
    <w:p>
      <w:pPr>
        <w:spacing w:after="0" w:line="288"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Paul B. Manning</w:t>
      </w:r>
      <w:r>
        <w:rPr>
          <w:rFonts w:ascii="Times New Roman" w:cs="Times New Roman" w:eastAsia="Times New Roman" w:hAnsi="Times New Roman"/>
          <w:sz w:val="18"/>
          <w:szCs w:val="18"/>
          <w:color w:val="auto"/>
        </w:rPr>
        <w:t>, age 65, has served as a member of our board of directors since March 2020. Mr. Manning currently serves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PBM Capital Group, LLC, a private equity investment firm in the business of investing in healthcare and life-science related companies, which he founded in 2010. Mr. Manning currently serves as Chairman of the board of directors of Verrica Pharmaceuticals Inc., a biopharmaceutical company, and on the board of directors of Liquidia Corporation, a biopharmaceutical company. Additionally, he previously served on the boards of directors of Dova Pharmaceuticals, Inc., a biopharmaceutical company, from September 2016 to November 2019 and AveXis, Inc., a gene therapy company, from April 2014 to May 2018. Mr. Manning earned a B.S. in microbiology from the University of Massachusetts. Our board of directors believes that Mr. Manning is qualified to serve as a director based upon his more than 30 years of managerial and operational experience in the healthcare industry and as an investor in healthcare-related companies.</w:t>
      </w:r>
    </w:p>
    <w:p>
      <w:pPr>
        <w:spacing w:after="0" w:line="29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Sukumar Nagendran, M.D.</w:t>
      </w:r>
      <w:r>
        <w:rPr>
          <w:rFonts w:ascii="Times New Roman" w:cs="Times New Roman" w:eastAsia="Times New Roman" w:hAnsi="Times New Roman"/>
          <w:sz w:val="18"/>
          <w:szCs w:val="18"/>
          <w:color w:val="auto"/>
        </w:rPr>
        <w:t>, age 55, has served as a member of our board of directors since July 2020. Dr. Nagendran currently serves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Research and Development at Jaguar Gene Therapy, LLC, a position he has held since February 2020. Dr. Nagendran has served on the board of directors of Solid Biosciences Inc., a life sciences company, since September 2018 and currently serves as an advisor to Encoded Therapeutics, Inc., a biotechnology company. He previously served on the board of directors of Health Sciences Acquisition Corp., a special purpose acquisition company, from March 2019 to December 2019 prior to its merger with Immunovant, Inc. Dr. Nagendran most recently served as Senior Vice President and Chief Medical Officer of AveXis, Inc., a gene therapy company, from September 2015 to May 2018, and previously served as Vice President, Head of Medical Affairs of U.S. and International Business for Quest Diagnostics Inc., a clinical laboratory, from March 2013 to September 2015. Dr. Nagendran earned a B.A. from Rutgers University and an M.D. from the University of Medicine and Dentistry of New Jersey and trained in Internal Medicine at Mayo Clinic in Rochester, Minnesota. Our board of directors believes that Dr. Nagendran is qualified to serve as a director based upon his more than 30 years of experience with gene therapy development and clinical development strategy.</w:t>
      </w:r>
    </w:p>
    <w:p>
      <w:pPr>
        <w:spacing w:after="0" w:line="29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Kathleen Reape, M.D.</w:t>
      </w:r>
      <w:r>
        <w:rPr>
          <w:rFonts w:ascii="Times New Roman" w:cs="Times New Roman" w:eastAsia="Times New Roman" w:hAnsi="Times New Roman"/>
          <w:sz w:val="18"/>
          <w:szCs w:val="18"/>
          <w:color w:val="auto"/>
        </w:rPr>
        <w:t>, age 55, served as Chief Medical Officer of Spark Therapeutics, Inc. from September 2018 to March 2020 and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Clinical Research and Development of Spark from January 2016 to September 2018. Prior to joining Spark, Dr. Reape served as President of Ark Medical Consulting from August 2015 to January 2016. She served as Senior Vice President, Clinical Development, Global Brands R&amp;D of Allergan plc from March 2015 to July 2015 following its merger with Actavis plc where Dr. Reape served as Vice President, Clinical Development, Global Brands R&amp;D from August 2014 to March 2015. Dr. Reape earned a B.A. in biology and an M.D. from the University of Pennsylvania. Our board of directors believes that Dr. Reape is qualified to serve as a director based upon her extensive experience in gene therapy and clinical research and development as well as her involvement with the regulatory approval of products, including small molecules, biologics, biosimilars and therapeutic devices.</w:t>
      </w:r>
    </w:p>
    <w:p>
      <w:pPr>
        <w:spacing w:after="0" w:line="29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Laura Sepp-Lorenzino, Ph.D.</w:t>
      </w:r>
      <w:r>
        <w:rPr>
          <w:rFonts w:ascii="Times New Roman" w:cs="Times New Roman" w:eastAsia="Times New Roman" w:hAnsi="Times New Roman"/>
          <w:sz w:val="18"/>
          <w:szCs w:val="18"/>
          <w:color w:val="auto"/>
        </w:rPr>
        <w:t>, age 60, has served as Executive Vice President, Chief Scientific Officer of Intellia Therapeutics, Inc. since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From September 2017 to May 2019, Dr. Sepp-Lorenzino served as Vice President, Head of Nucleic Acid Therapies at Vertex Pharmaceuticals, Inc. She served as Vice President, Entrepreneur-in-Residence at Alnylam Pharmaceuticals, Inc. from 2014 to September 2017. She also served in roles of increasing responsibility at Merck &amp; Co. from December 1999 to March 2014, including most recently as Executive Director and Department Head of the RNA Therapeutics Discovery Biology Unit. Dr. Sepp-Lorenzino earned a professional degree in biochemistry from the Universidad de Buenos Aires in Argentina and an M.S. and Ph.D. in biochemistry from New York University. Our board of directors believes that Dr. Sepp-Lorenzino is qualified to serve as a director based upon her extensive experience in research and development of nucleic acid therapies.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or the Exchange Act, requires our directors and executive officers, and persons who own more than ten percent of a registered class of our equity securities, to file with the SEC initial reports of ownership and reports of changes in ownership of common stock and other equity securities of the Company. Officers, directors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greater than ten percent stockholders are required by SEC regulation to furnish the Company with copies of all Section 16(a) forms they file.</w:t>
      </w:r>
    </w:p>
    <w:p>
      <w:pPr>
        <w:spacing w:after="0" w:line="333"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furnished to us and written representations that no other reports were required, during the fiscal year ended December 31, 2020, all Section 16(a) filing requirements applicable to its officers, directors and greater than ten percent beneficial owners were complied with.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 The Audit Committee is comprised of three directors: Mr. Donenberg and Drs. Nagendran and Sepp-Lorenzino, with Mr. Donenberg serving as chair.</w:t>
      </w:r>
    </w:p>
    <w:p>
      <w:pPr>
        <w:spacing w:after="0" w:line="284"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board of directors reviews the Nasdaq Stock Market, or Nasdaq, listing standards definition of independence for Audit Committee members on an annual basis and has determined that all members of the Company’s Audit Committee are independent (as independence is currently defined in Rule 5605(c)(2)(A)(i) and (ii) of the Nasdaq listing standards and Rule 10A-3 of the Exchange Act).</w:t>
      </w:r>
    </w:p>
    <w:p>
      <w:pPr>
        <w:spacing w:after="0" w:line="284"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board of directors has also determined that Mr. Donenberg qualifies as an “audit committee financial expert,” as defined in applicable SEC rules. The board made a qualitative assessment of Mr. Donenberg’s level of knowledge and experience based on a number of factors, including his formal education, that he is a Certified Public Accountant and his experience as a chief financial officer for several public reporting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Director Candidates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Historically, we have not provided a formal process related to stockholder communications with the board of directors.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excellent.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which is applicable to all of our employees, executive officers and directors. This includes our principal executive officer, principal financial officer and principal accounting officer or controller, or persons performing similar functions. The full text of the Code of Business Conduct and Ethics is available on our website at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 We intend to post on our website all disclosures that are required by law or the listing standards of the Nasdaq Stock Market concerning any amendments to, or waivers from, any provision of the Code of Business Conduct and Ethics.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This section provides a summary of the compensation of our “named executive officers,” who are the three executive officers listed in the “Summary Compensation Table” below. In addition to presenting quantitative compensation information in the tables below, this section also provides a qualitative description of the material factors helpful to an understanding of such data.</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and paid to our named executive officers with respect to the year ended December 31,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20" w:type="dxa"/>
            <w:vAlign w:val="bottom"/>
            <w:gridSpan w:val="2"/>
            <w:vMerge w:val="continue"/>
          </w:tcPr>
          <w:p>
            <w:pPr>
              <w:spacing w:after="0"/>
              <w:rPr>
                <w:sz w:val="12"/>
                <w:szCs w:val="12"/>
                <w:color w:val="auto"/>
              </w:rPr>
            </w:pP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20" w:type="dxa"/>
            <w:vAlign w:val="bottom"/>
            <w:gridSpan w:val="2"/>
            <w:vMerge w:val="continue"/>
          </w:tcPr>
          <w:p>
            <w:pPr>
              <w:spacing w:after="0"/>
              <w:rPr>
                <w:sz w:val="12"/>
                <w:szCs w:val="12"/>
                <w:color w:val="auto"/>
              </w:rPr>
            </w:pPr>
          </w:p>
        </w:tc>
        <w:tc>
          <w:tcPr>
            <w:tcW w:w="10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5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Compensation(2)</w:t>
            </w: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gridSpan w:val="2"/>
            <w:vMerge w:val="continue"/>
          </w:tcPr>
          <w:p>
            <w:pPr>
              <w:spacing w:after="0"/>
              <w:rPr>
                <w:sz w:val="15"/>
                <w:szCs w:val="15"/>
                <w:color w:val="auto"/>
              </w:rPr>
            </w:pPr>
          </w:p>
        </w:tc>
        <w:tc>
          <w:tcPr>
            <w:tcW w:w="100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auto"/>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RA Session II</w:t>
            </w:r>
          </w:p>
        </w:tc>
        <w:tc>
          <w:tcPr>
            <w:tcW w:w="10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362,594</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4,060,626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271,878</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4,695,252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Kamran Alam</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142,088(5)</w:t>
            </w:r>
          </w:p>
        </w:tc>
        <w:tc>
          <w:tcPr>
            <w:tcW w:w="220" w:type="dxa"/>
            <w:vAlign w:val="bottom"/>
          </w:tcPr>
          <w:p>
            <w:pPr>
              <w:spacing w:after="0"/>
              <w:rPr>
                <w:sz w:val="20"/>
                <w:szCs w:val="20"/>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4,933,703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85,217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330,153(6)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Suyash Prasad, M.B.B.S, F.F.P.M.</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216,833(7)</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3,668,409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129,975</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4,015,369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120" w:hanging="492"/>
        <w:spacing w:after="0" w:line="253"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of stock awards granted during the year measured pursuant to Financial Accounting Standards Board Accounting Standards Codification Topic 718, or ASC Topic 718, the basis for computing stock-based compensation in our financial statements. This calculation assumes that the named executive officer will perform the requisite service for the award to vest in full as required by SEC rules. The assumptions we used in valuing stock awards are described in Note 8 to our financial statements included herein. These amounts do not reflect the actual economic value that will be realized by the named executive officer upon the settlement of such stock awards or the sale of the common stock issuable upon the settlement of such stock awards.</w:t>
      </w:r>
    </w:p>
    <w:p>
      <w:pPr>
        <w:spacing w:after="0" w:line="5" w:lineRule="exact"/>
        <w:rPr>
          <w:rFonts w:ascii="Times New Roman" w:cs="Times New Roman" w:eastAsia="Times New Roman" w:hAnsi="Times New Roman"/>
          <w:sz w:val="18"/>
          <w:szCs w:val="18"/>
          <w:color w:val="auto"/>
        </w:rPr>
      </w:pPr>
    </w:p>
    <w:p>
      <w:pPr>
        <w:ind w:left="500" w:right="60" w:hanging="492"/>
        <w:spacing w:after="0" w:line="250"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“—Narrative to Summary Compensation Table—Non-Equity Incentive Plan Compensation” below for a description of the material terms of the program pursuant to which this compensation was awarded.</w:t>
      </w:r>
    </w:p>
    <w:p>
      <w:pPr>
        <w:ind w:left="500" w:right="220" w:hanging="492"/>
        <w:spacing w:after="0" w:line="250"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Session is also a member of our board of directors, but did not receive any additional compensation in his capacity as a director. Mr. Session’s employment commenced with us in April 2020. The 2020 salary reported reflects the pro rata portion of Mr. Session’s annual salary earned during 2020 from commencement of his employment through December 31, 2020.</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holiday meal stipend.</w:t>
      </w:r>
    </w:p>
    <w:p>
      <w:pPr>
        <w:spacing w:after="0" w:line="9" w:lineRule="exact"/>
        <w:rPr>
          <w:rFonts w:ascii="Times New Roman" w:cs="Times New Roman" w:eastAsia="Times New Roman" w:hAnsi="Times New Roman"/>
          <w:sz w:val="18"/>
          <w:szCs w:val="18"/>
          <w:color w:val="auto"/>
        </w:rPr>
      </w:pPr>
    </w:p>
    <w:p>
      <w:pPr>
        <w:ind w:left="500" w:right="380" w:hanging="492"/>
        <w:spacing w:after="0" w:line="250"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Alam’s employment with us commenced in August 2020. The 2020 salary reported reflects the pro rata portion of Mr. Alam’s annual salary earned during 2020 from commencement of his employment through December 31, 2020.</w:t>
      </w:r>
    </w:p>
    <w:p>
      <w:pPr>
        <w:ind w:left="500" w:right="60" w:hanging="492"/>
        <w:spacing w:after="0" w:line="250"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a reimbursement of $107,021 for out-of-pocket expenses associated with Mr. Alam repaying his sign-on bonus to his former employer and related gross-up payment in the amount of $106,560 to cover Mr. Alam’s tax liability with respect to such reimbursement, (b) a reimbursement of $63,714 for certain out-of-pocket indemnification expenses associated with Mr. Alam’s resignation from his former employer and related gross-up payment in the amount of $52,704 to cover Mr. Alam’s tax liability with respect to such reimbursement and (c) a holiday meal stipend of $154.</w:t>
      </w:r>
    </w:p>
    <w:p>
      <w:pPr>
        <w:spacing w:after="0" w:line="1" w:lineRule="exact"/>
        <w:rPr>
          <w:rFonts w:ascii="Times New Roman" w:cs="Times New Roman" w:eastAsia="Times New Roman" w:hAnsi="Times New Roman"/>
          <w:sz w:val="18"/>
          <w:szCs w:val="18"/>
          <w:color w:val="auto"/>
        </w:rPr>
      </w:pPr>
    </w:p>
    <w:p>
      <w:pPr>
        <w:ind w:left="500" w:right="460" w:hanging="492"/>
        <w:spacing w:after="0" w:line="260" w:lineRule="auto"/>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Prasad’s employment with us commenced in June 2020. The 2020 salary reported reflects the pro rata portion of Dr. Prasad’s annual salary earned during 2020 from commencement of his employment through December 31, 2020.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of directors has historically determined our executives’ compensation, including the compensation of our named executive officers. Our Compensation Committee typically reviews and discusses management’s proposed compensation with the Chief Executive Officer for all executives other than the Chief Executive Officer. Based on those discussions and its discretion, the Compensation Committee then approves the compensation of each executive officer without members of management present.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21"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2" w:name="page133"/>
    <w:bookmarkEnd w:id="132"/>
    <w:p>
      <w:pPr>
        <w:ind w:right="180"/>
        <w:spacing w:after="0" w:line="282" w:lineRule="auto"/>
        <w:rPr>
          <w:sz w:val="20"/>
          <w:szCs w:val="20"/>
          <w:color w:val="auto"/>
        </w:rPr>
      </w:pPr>
      <w:r>
        <w:rPr>
          <w:rFonts w:ascii="Times New Roman" w:cs="Times New Roman" w:eastAsia="Times New Roman" w:hAnsi="Times New Roman"/>
          <w:sz w:val="18"/>
          <w:szCs w:val="18"/>
          <w:color w:val="auto"/>
        </w:rPr>
        <w:t>assessment of the individual executive’s performance, the recommendations made by the Chief Executive Officer to the Compensation Committee and the competitive market in which we operate for talent.</w:t>
      </w:r>
    </w:p>
    <w:p>
      <w:pPr>
        <w:spacing w:after="0" w:line="270"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Prior to our initial public offering, Mr. Session’s executive employment agreement provided for an annual base salary of $450,000, Mr. Alam’s offer letter provided for an annual base salary of $350,000 and Dr. Prasad’s offer letter provided for an annual base salary of $420,000. In connection with our initial public offering in September 2020, the Compensation Committee approved base salaries of $542,800, $390,000 and $432,600 for each of Messrs. Session and Alam and Dr. Prasad.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incentive compensation based on the satisfaction of individual and corporate performance objectives established by the board. Each named executive officer has a target annual incentive opportunity, calculated as a percentage of annual base salary, and may earn more or less than the target amount based on our company’s and his or her individual performance. For 2020, the target annual incentive opportunities as a percentage of base salary for our named executive officers were 50% for Mr. Session and 40% for each of Mr. Alam and Dr. Prasad. The amounts of any annual incentives earned are determined after the end of the year, based on the achievement of the designated corporate and individual performance objectives, and may be paid in cash or equity. The Compensation Committee determined that the percentage attainment of our corporate goals for 2020 was 150% and approved individual performance achievement payouts for each named executive officer in the amounts reflected in the column of the Summary Compensation Table above entitled “Non-Equity Incentive Plan Compensation.”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Awards</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or to reward executives for exceptional performance. Following the completion of our initial public offering, we grant all equity awards pursuant to our 2020 Stock Incentive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2020</w:t>
      </w:r>
    </w:p>
    <w:p>
      <w:pPr>
        <w:spacing w:after="0" w:line="121"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about outstanding equity awards granted to our named executive officers that were outstanding as of December 31, 2020.</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tcBorders>
              <w:bottom w:val="single" w:sz="8" w:color="auto"/>
            </w:tcBorders>
            <w:gridSpan w:val="3"/>
          </w:tcPr>
          <w:p>
            <w:pPr>
              <w:ind w:left="1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40" w:type="dxa"/>
            <w:vAlign w:val="bottom"/>
            <w:gridSpan w:val="3"/>
          </w:tcPr>
          <w:p>
            <w:pPr>
              <w:jc w:val="center"/>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tcPr>
          <w:p>
            <w:pPr>
              <w:jc w:val="center"/>
              <w:ind w:right="321"/>
              <w:spacing w:after="0" w:line="131"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18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49"/>
        </w:trPr>
        <w:tc>
          <w:tcPr>
            <w:tcW w:w="6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8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0" w:type="dxa"/>
            <w:vAlign w:val="bottom"/>
          </w:tcPr>
          <w:p>
            <w:pPr>
              <w:spacing w:after="0"/>
              <w:rPr>
                <w:sz w:val="1"/>
                <w:szCs w:val="1"/>
                <w:color w:val="auto"/>
              </w:rPr>
            </w:pPr>
          </w:p>
        </w:tc>
      </w:tr>
      <w:tr>
        <w:trPr>
          <w:trHeight w:val="148"/>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8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 Session II</w:t>
            </w:r>
          </w:p>
        </w:tc>
        <w:tc>
          <w:tcPr>
            <w:tcW w:w="180" w:type="dxa"/>
            <w:vAlign w:val="bottom"/>
            <w:tcBorders>
              <w:top w:val="single" w:sz="8" w:color="CFF0FC"/>
            </w:tcBorders>
            <w:shd w:val="clear" w:color="auto" w:fill="CFF0FC"/>
          </w:tcPr>
          <w:p>
            <w:pPr>
              <w:spacing w:after="0"/>
              <w:rPr>
                <w:sz w:val="19"/>
                <w:szCs w:val="19"/>
                <w:color w:val="auto"/>
              </w:rPr>
            </w:pP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769,058</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20,410,799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Kamran Alam</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331,121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Suyash Prasad, M.B.B.S, F.F.P.M.</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668,745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17,748,492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our common stock is based on the closing price of our common stock on the Nasdaq Global Select Market on December 31, 2020.</w:t>
      </w:r>
    </w:p>
    <w:p>
      <w:pPr>
        <w:spacing w:after="0" w:line="334" w:lineRule="exact"/>
        <w:rPr>
          <w:sz w:val="20"/>
          <w:szCs w:val="20"/>
          <w:color w:val="auto"/>
        </w:rPr>
      </w:pPr>
    </w:p>
    <w:p>
      <w:pPr>
        <w:ind w:right="5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Employment Agreements with our Named Executive Officers and Potential Payments and Benefits Upon Termination or Change in Control </w:t>
      </w:r>
      <w:r>
        <w:rPr>
          <w:rFonts w:ascii="Times New Roman" w:cs="Times New Roman" w:eastAsia="Times New Roman" w:hAnsi="Times New Roman"/>
          <w:sz w:val="18"/>
          <w:szCs w:val="18"/>
          <w:i w:val="1"/>
          <w:iCs w:val="1"/>
          <w:color w:val="auto"/>
        </w:rPr>
        <w:t>Amended and Restated Employment Agreement with Mr. Session</w:t>
      </w: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entered into an amended and restated executive employment agreement with Mr. Session, which reflects an initial annual base salary of $542,800, which is subject to adjustment at the discretion of our board of directors, and an annual bonus target equal to 50% of Mr. Session’s annual base salary based upon the achievement of individual and company performance goals as determined by our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3" w:name="page134"/>
    <w:bookmarkEnd w:id="133"/>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executive employment agreement, if we terminate Mr. Session’s employment without “cause,” or if Mr. Session terminates his employment for “good reason” (each, as defined in the executive employment agreement), he will be entitled to continued payment of his base salary for 12 months and his then-outstanding equity awards will vest in full. Such severance and acceleration benefits are conditioned upon Mr. Session’s execution of and compliance with an effective and irrevocable general release, compliance with certain non-competition and non-solicitation obligations, resignation from all positions with us and return of all our property. The amended and restated executive employment agreement further provides that Mr. Session are entitled to the severance benefits described in “—Change in Control Severance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Offer Letters with Mr. Alam and Dr. Prasad</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have entered into amended and restated offer letters with Mr. Alam and Dr. Prasad. For Dr. Prasad, the amended and restated offer letter reflects an initial annual base salary of $432,600, which is subject to adjustment at the discretion of our board of directors, and an annual bonus target equal to 40% of Dr. Prasad’s annual base salary based upon the achievement of individual and company performance goals as determined by our board of directors. For Mr. Alam, the amended and restated offer letter reflects an initial annual base salary of $390,000, which is subject to adjustment at the discretion of our board of directors, and an annual bonus target equal to 40% of Mr. Alam’s annual base salary based upon the achievement of individual and company performance goals as determined by our board of directors.</w:t>
      </w:r>
    </w:p>
    <w:p>
      <w:pPr>
        <w:spacing w:after="0" w:line="29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offer letters, if we terminate Dr. Prasad or Mr. Alam’s employment without “cause,” or if Dr. Prasad or Mr. Alam terminates his employment for “good reason” (each, as to be defined in such executive’s amended and restated offer letter), he will be entitled to continued payment of his base salary for 12 months. Such severance benefits are conditioned upon the executive’s execution of and compliance with an effective and irrevocable general release, compliance with certain non-competition and non-solicitation obligations, resignation from all positions with us and return of all our property. The amended and restated offer letters further provide that Dr. Prasad and Mr. Alam are entitled to the severance benefits described in “—Change in Control Severance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Severance Plan</w:t>
      </w:r>
    </w:p>
    <w:p>
      <w:pPr>
        <w:spacing w:after="0" w:line="11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is eligible to receive severance benefits under the terms of our Change in Control Severance Plan adopted by the board of directors in September 2020.</w:t>
      </w:r>
    </w:p>
    <w:p>
      <w:pPr>
        <w:spacing w:after="0" w:line="27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Change in Control Severance Plan provides for severance benefits upon a “covered termination” that occurs during a “change in control period” (each as described below). Upon a covered termination that occurs during a change in control period, participants will be entitled to a lump sum payment equal to the participant’s base salary for a period of months (18 months for Mr. Session, 12 months for each of Mr. Alam and Dr. Prasad), a lump sum payment equal to a multiple of the participant’s target annual bonus (150% for Mr. Session, 100% for each of Mr. Alam and Dr. Prasad), payment of continued group health benefits for a period of months (18 months for Mr. Session, 12 months for each of Mr. Alam and Dr. Prasad) and full accelerated vesting of all outstanding equity awards (including performance-based awards, which shall vest at 100% of target).</w:t>
      </w:r>
    </w:p>
    <w:p>
      <w:pPr>
        <w:spacing w:after="0" w:line="29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All severance benefits under the Change in Control Severance Plan are subject to the participant’s execution of an effective release of claims against the company and compliance with the terms of any confidential information agreement, proprietary information and inventions agreement and any other agreement between the participant and the company. For purposes of the Change in Control Severance Plan, a “covered termination” is a termination of employment by the company without “cause,” as defined in the Change in Control Severance Plan, or as a result of the participant’s resignation for “good reason,” as defined in the Change in Control Severance Plan, in either case, not as a result of death or disability. For purposes of the Change in Control Severance Plan, a “change in control period” is the period of time beginning on the date on which a “change in control,” as defined in the 2020 Stock Incentive Plan, becomes effective (or, in the case of Mr. Session, the period beginning three months prior to the date on which a change in control becomes effective) and ending on the first anniversary of the effective date of such change in control.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Compensation Policy</w:t>
      </w:r>
    </w:p>
    <w:p>
      <w:pPr>
        <w:spacing w:after="0" w:line="119" w:lineRule="exact"/>
        <w:rPr>
          <w:sz w:val="20"/>
          <w:szCs w:val="20"/>
          <w:color w:val="auto"/>
        </w:rPr>
      </w:pPr>
    </w:p>
    <w:p>
      <w:pPr>
        <w:ind w:right="140" w:firstLine="749"/>
        <w:spacing w:after="0" w:line="312" w:lineRule="auto"/>
        <w:rPr>
          <w:sz w:val="20"/>
          <w:szCs w:val="20"/>
          <w:color w:val="auto"/>
        </w:rPr>
      </w:pPr>
      <w:r>
        <w:rPr>
          <w:rFonts w:ascii="Times New Roman" w:cs="Times New Roman" w:eastAsia="Times New Roman" w:hAnsi="Times New Roman"/>
          <w:sz w:val="17"/>
          <w:szCs w:val="17"/>
          <w:color w:val="auto"/>
        </w:rPr>
        <w:t>Our board of directors has adopted a non-employee director compensation policy, pursuant to which each of our directors who is not an employee or consultant of our company is eligible to receive compensation for service on our board of directors and committees of our board of directors.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4" w:name="page135"/>
    <w:bookmarkEnd w:id="134"/>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Each eligible director will receive an annual cash retainer of $35,000 for serving on our board of directors, and the independent chairperson of the board of directors will receive an additional annual cash retainer of $30,000 for his or her service. The chairperson of the audit committee of our board of directors will be entitled to additional annual cash retainer of $15,000, the chairperson of the compensation committee of our board of directors will be entitled to additional annual cash retainer of $10,000 and the chairperson of the nominating and corporate governance committee of our board of directors will be entitled to additional annual cash retainer of $8,000. The members of the audit committee will be entitled to an additional annual cash retainer of $7,500, the members of the compensation committee of our board of directors will be entitled to additional annual cash retainer of $5,000 and the members of the nominating and corporate governance committee of our board of directors will be entitled to an additional annual cash retainer of $4,000; however, in each case such cash retainer is payable only to members who are not the chairperson of such committee.</w:t>
      </w:r>
    </w:p>
    <w:p>
      <w:pPr>
        <w:spacing w:after="0" w:line="30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addition, upon the pricing of our initial public offering, each eligible director was granted a non-statutory stock option to purchase 31,000 shares of our common stock at the initial public offering price under our 2020 Stock Incentive Plan, with the shares vesting in 36 equal monthly installments, subject to continued service as a director through the vesting date. Each new eligible director who joins our board of directors will be granted a non-statutory stock option to purchase 31,000 shares of our common stock under our 2020 Stock Incentive Plan, with the shares vesting in 36 equal monthly installments, subject to continued service as a director through the vesting date.</w:t>
      </w:r>
    </w:p>
    <w:p>
      <w:pPr>
        <w:spacing w:after="0" w:line="291"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On the date of each annual meeting of our stockholders, each eligible director who continues to serve as a director of our company following the meeting will be granted a non-statutory stock option to purchase 15,500 shares of our common stock under our 2020 Stock Incentive Plan, with the shares vesting on the earlier of the first anniversary of the date of grant or the next annual stockholders meeting, subject to continued service as a director though the applicable vesting date.</w:t>
      </w:r>
    </w:p>
    <w:p>
      <w:pPr>
        <w:spacing w:after="0" w:line="288"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Each option awarded to eligible directors under the non-employee director compensation policy will be subject to accelerated vesting upon a Change in Control (as defined in the 2020 Stock Incentive Plan).</w:t>
      </w:r>
    </w:p>
    <w:p>
      <w:pPr>
        <w:spacing w:after="0" w:line="27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exercise price per share of each stock option granted under the non-employee director compensation policy will be equal to the closing price of our common stock on the Nasdaq Global Select Market on the date of grant. Each stock option will have a term of ten years from the date of grant, subject to earlier termination in connection with a termination of the eligible directors continuous service with us (provided that upon a termination of service other than for death, disability or cause, the post-termination exercise period will be 12 months from the date of termination).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Compensation Table</w:t>
      </w:r>
    </w:p>
    <w:p>
      <w:pPr>
        <w:spacing w:after="0" w:line="11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our board of directors in 2020 by our non-employee directors. RA Session II, our President and Chief Executive Officer, is also a member of our board of directors but did not receive any additional compensation for service as a director.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60" w:type="dxa"/>
            <w:vAlign w:val="bottom"/>
            <w:gridSpan w:val="2"/>
            <w:vMerge w:val="continue"/>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(1)(2)</w:t>
            </w:r>
          </w:p>
        </w:tc>
        <w:tc>
          <w:tcPr>
            <w:tcW w:w="240" w:type="dxa"/>
            <w:vAlign w:val="bottom"/>
          </w:tcPr>
          <w:p>
            <w:pPr>
              <w:spacing w:after="0"/>
              <w:rPr>
                <w:sz w:val="15"/>
                <w:szCs w:val="15"/>
                <w:color w:val="auto"/>
              </w:rPr>
            </w:pPr>
          </w:p>
        </w:tc>
        <w:tc>
          <w:tcPr>
            <w:tcW w:w="13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Claire Aldridge, Ph.D.(3)</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519,079</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432,140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Sukumar Nagendran, M.D.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518,916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Sean P. Nolan</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432,140</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Reape, M.D.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430,484</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Laura Sepp-Lorenzino, Ph.D.</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430,484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51" w:lineRule="exact"/>
        <w:rPr>
          <w:sz w:val="20"/>
          <w:szCs w:val="20"/>
          <w:color w:val="auto"/>
        </w:rPr>
      </w:pPr>
    </w:p>
    <w:p>
      <w:pPr>
        <w:ind w:left="500" w:right="280" w:hanging="492"/>
        <w:spacing w:after="0" w:line="266"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the stock options granted under our 2020 Stock Incentive Plan or our 2020 Equity Incentive Plan, computed in accordance with ASC Topic 718. The assumptions we used in valuing options are described in Note 8 to our financial statements included herein. This amount does not reflect the actual economic value that may be realized by such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5" w:name="page136"/>
    <w:bookmarkEnd w:id="135"/>
    <w:p>
      <w:pPr>
        <w:ind w:left="500" w:right="420" w:hanging="492"/>
        <w:spacing w:after="0" w:line="282"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shows the aggregate number of option awards outstanding for each of our directors who is not a named executive officer, as of December 31,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9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9260" w:type="dxa"/>
            <w:vAlign w:val="bottom"/>
            <w:gridSpan w:val="2"/>
            <w:vMerge w:val="continue"/>
          </w:tcPr>
          <w:p>
            <w:pPr>
              <w:spacing w:after="0"/>
              <w:rPr>
                <w:sz w:val="15"/>
                <w:szCs w:val="15"/>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Claire Aldridge, Ph.D.</w:t>
            </w:r>
          </w:p>
        </w:tc>
        <w:tc>
          <w:tcPr>
            <w:tcW w:w="22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B. Manning</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Sukumar Nagendran, M.D.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Sean P. Nolan</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Reape, M.D.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Laura Sepp-Lorenzino, Ph.D.</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60" w:hanging="852"/>
        <w:spacing w:after="0"/>
        <w:tabs>
          <w:tab w:leader="none" w:pos="8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Aldridge resigned from our board of directors in July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80"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center"/>
        <w:ind w:right="272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capital stock by:</w:t>
      </w:r>
    </w:p>
    <w:p>
      <w:pPr>
        <w:spacing w:after="0" w:line="117" w:lineRule="exact"/>
        <w:rPr>
          <w:sz w:val="20"/>
          <w:szCs w:val="20"/>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333"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37,761,435 shares of common stock outstanding as of February 15, 2021. In computing the number of shares beneficially owned by an individual or entity and the percentage ownership of that person, shares of common stock subject to options held by such person that are currently exercisable or will become exercisable within 60 days of February 15, 2021 are considered outstanding, although these shares are not considered outstanding for purposes of computing the percentage ownership of any other person.</w:t>
      </w:r>
    </w:p>
    <w:p>
      <w:pPr>
        <w:spacing w:after="0" w:line="2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Unless noted otherwise, the address of all listed stockholders is c/o Taysha Gene Therapies, Inc., 2280 Inwood Road, Dallas, Texas 75235.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73"/>
        </w:trPr>
        <w:tc>
          <w:tcPr>
            <w:tcW w:w="7680" w:type="dxa"/>
            <w:vAlign w:val="bottom"/>
            <w:gridSpan w:val="2"/>
            <w:vMerge w:val="continue"/>
          </w:tcPr>
          <w:p>
            <w:pPr>
              <w:spacing w:after="0"/>
              <w:rPr>
                <w:sz w:val="15"/>
                <w:szCs w:val="15"/>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23"/>
        </w:trPr>
        <w:tc>
          <w:tcPr>
            <w:tcW w:w="7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RA Session II(1)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9,430,582</w:t>
            </w: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FMR LLC(2)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5,664,215</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BlackRock, Inc.(3)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2,229,816</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UT Southwestern(4)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2,179,000</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RA Session II(1)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9,430,582</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Kamran Alam</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Suyash Prasad, M.B.B.S, F.F.P.M.(5)</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Phillip B. Donenberg(6)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Paul B. Manning(7)</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5,220,473</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Sean P. Nolan(8)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1,096,267</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Sukumar Nagendran, M.D.(9)</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24,392</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Kathleen Reape, M.D.(10)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Laura Sepp-Lorenzino, Ph.D.(11)</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(9 persons)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15,787,612</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23742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46"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00" w:right="60" w:hanging="492"/>
        <w:spacing w:after="0" w:line="250"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9,148,402 shares of common stock (including 769,058 shares of unvested restricted common stock), (b) 141,090 shares of common stock held by the Session 2020 Annuity Trust I, of which Mr. Session is the trustee and has sole voting and investment power with respect to the shares held by such trust and (c) 141,090 shares of common stock held by the Session 2020 Annuity Trust II, of which Mr. Session is the trustee and has sole voting and investment power with respect to the shares held by such trust.</w:t>
      </w:r>
    </w:p>
    <w:p>
      <w:pPr>
        <w:spacing w:after="0" w:line="1" w:lineRule="exact"/>
        <w:rPr>
          <w:rFonts w:ascii="Times New Roman" w:cs="Times New Roman" w:eastAsia="Times New Roman" w:hAnsi="Times New Roman"/>
          <w:sz w:val="18"/>
          <w:szCs w:val="18"/>
          <w:color w:val="auto"/>
        </w:rPr>
      </w:pPr>
    </w:p>
    <w:p>
      <w:pPr>
        <w:ind w:left="500" w:right="40" w:hanging="492"/>
        <w:spacing w:after="0" w:line="250"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13G/A filed on February 16, 2021 by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of FMR LLC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of 1940, or the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business address for FMR LLC is 245 Summer Street, Boston, Massachusetts 02110.</w:t>
      </w:r>
    </w:p>
    <w:p>
      <w:pPr>
        <w:spacing w:after="0" w:line="4" w:lineRule="exact"/>
        <w:rPr>
          <w:rFonts w:ascii="Times New Roman" w:cs="Times New Roman" w:eastAsia="Times New Roman" w:hAnsi="Times New Roman"/>
          <w:sz w:val="18"/>
          <w:szCs w:val="18"/>
          <w:color w:val="auto"/>
        </w:rPr>
      </w:pPr>
    </w:p>
    <w:p>
      <w:pPr>
        <w:ind w:left="500" w:right="60" w:hanging="492"/>
        <w:spacing w:after="0" w:line="250"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February 2, 2021 by BlackRock, Inc., pursuant to which BlackRock, Inc. reported having sole voting power over 2,221,008 shares, shared voting power over no shares, sole dispositive power over 2,229,816 shares and shared dispositive power over no shares. The address of BlackRock, Inc. is 55 East 52nd Street, New York, NY 10055.</w:t>
      </w:r>
    </w:p>
    <w:p>
      <w:pPr>
        <w:spacing w:after="0" w:line="1" w:lineRule="exact"/>
        <w:rPr>
          <w:rFonts w:ascii="Times New Roman" w:cs="Times New Roman" w:eastAsia="Times New Roman" w:hAnsi="Times New Roman"/>
          <w:sz w:val="18"/>
          <w:szCs w:val="18"/>
          <w:color w:val="auto"/>
        </w:rPr>
      </w:pPr>
    </w:p>
    <w:p>
      <w:pPr>
        <w:ind w:left="500" w:right="220" w:hanging="492"/>
        <w:spacing w:after="0" w:line="250"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13G filed on February 16, 2021 by entities and individuals associated with The University of Texas/Texas A&amp;M Investment Management Company. Consists of 2,179,000 shares of common stock held by The Board of Regents of the University of Texas System on behalf of UT Southwestern. The business address for The Board of Regents of the University of Texas System is 5323 Harry Hines Boulevard, Dallas, Texas 75390-9094.</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3,844 shares of common stock.</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5,166 shares of common stock issuable upon the exercise of options within 60 days of February 15, 2021.</w:t>
      </w:r>
    </w:p>
    <w:p>
      <w:pPr>
        <w:spacing w:after="0" w:line="9" w:lineRule="exact"/>
        <w:rPr>
          <w:rFonts w:ascii="Times New Roman" w:cs="Times New Roman" w:eastAsia="Times New Roman" w:hAnsi="Times New Roman"/>
          <w:sz w:val="18"/>
          <w:szCs w:val="18"/>
          <w:color w:val="auto"/>
        </w:rPr>
      </w:pPr>
    </w:p>
    <w:p>
      <w:pPr>
        <w:jc w:val="both"/>
        <w:ind w:left="500" w:right="100" w:hanging="492"/>
        <w:spacing w:after="0" w:line="250"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3,195,205 shares of common stock held by The Paul B. Manning Revocable Trust dated May 10, 2000, of which Mr. Manning is the trustee and has sole voting and investment power with respect to the shares held by such trust, (b) 2,020,102 shares of common stock held by BKB Growth Investments, LLC and (c) 5,166 shares of common stock issuable upon the exercise of options within 60 days of February 15, 2021.</w:t>
      </w:r>
    </w:p>
    <w:p>
      <w:pPr>
        <w:spacing w:after="0" w:line="1" w:lineRule="exact"/>
        <w:rPr>
          <w:rFonts w:ascii="Times New Roman" w:cs="Times New Roman" w:eastAsia="Times New Roman" w:hAnsi="Times New Roman"/>
          <w:sz w:val="18"/>
          <w:szCs w:val="18"/>
          <w:color w:val="auto"/>
        </w:rPr>
      </w:pPr>
    </w:p>
    <w:p>
      <w:pPr>
        <w:ind w:left="50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Manning is a co-manager of Tiger Lily Capital, LLC, the manager of BKB Growth Investments, LLC, and has shared voting and investment power with respect to the shares held by BKB Growth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ind w:left="500" w:right="280"/>
        <w:spacing w:after="0" w:line="261" w:lineRule="auto"/>
        <w:rPr>
          <w:sz w:val="20"/>
          <w:szCs w:val="20"/>
          <w:color w:val="auto"/>
        </w:rPr>
      </w:pPr>
      <w:r>
        <w:rPr>
          <w:rFonts w:ascii="Times New Roman" w:cs="Times New Roman" w:eastAsia="Times New Roman" w:hAnsi="Times New Roman"/>
          <w:sz w:val="18"/>
          <w:szCs w:val="18"/>
          <w:color w:val="auto"/>
        </w:rPr>
        <w:t>Investments, LLC. The business address for each person and entity named in this footnote is 200 Garrett Street, Suite S, Charlottesville, Virginia 22902.</w:t>
      </w:r>
    </w:p>
    <w:p>
      <w:pPr>
        <w:ind w:left="500" w:right="100" w:hanging="492"/>
        <w:spacing w:after="0" w:line="258"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1,091,101 shares of common stock held by Nolan Capital, LLC and (b) 5,166 shares of common stock issuable upon the exercise of options within 60 days of February 15, 2021. Mr. Nolan is the President of Nolan Capital, LLC and has shared voting and investment power with respect to the shares held by Nolan Capital, LLC. The business address for each person and entity named in this footnote is 8 The Green, Ste. R, Dover, Delaware 19901.</w:t>
      </w:r>
    </w:p>
    <w:p>
      <w:pPr>
        <w:ind w:left="500" w:right="520" w:hanging="492"/>
        <w:spacing w:after="0" w:line="250"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19,226 shares of common stock and (b) 5,166 shares of common stock issuable upon the exercise of options within 60 days of February 15, 2021.</w:t>
      </w:r>
    </w:p>
    <w:p>
      <w:pPr>
        <w:ind w:left="500" w:hanging="492"/>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3,444 shares of common stock issuable upon the exercise of options within 60 days of February 15, 2021.</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3,444 shares of common stock issuable upon the exercise of options within 60 days of February 15, 2021.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Related-Person Transactions Policy and Procedures</w:t>
      </w:r>
    </w:p>
    <w:p>
      <w:pPr>
        <w:spacing w:after="0" w:line="12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September 2020, we adopted a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29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84" w:lineRule="exact"/>
        <w:rPr>
          <w:sz w:val="20"/>
          <w:szCs w:val="20"/>
          <w:color w:val="auto"/>
        </w:rPr>
      </w:pPr>
    </w:p>
    <w:p>
      <w:pPr>
        <w:ind w:left="1120" w:hanging="370"/>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17" w:lineRule="exact"/>
        <w:rPr>
          <w:rFonts w:ascii="Times New Roman" w:cs="Times New Roman" w:eastAsia="Times New Roman" w:hAnsi="Times New Roman"/>
          <w:sz w:val="18"/>
          <w:szCs w:val="18"/>
          <w:color w:val="auto"/>
        </w:rPr>
      </w:pPr>
    </w:p>
    <w:p>
      <w:pPr>
        <w:ind w:left="1120" w:right="20" w:hanging="370"/>
        <w:spacing w:after="0" w:line="282" w:lineRule="auto"/>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33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Relationship with UT Southwestern</w:t>
      </w:r>
    </w:p>
    <w:p>
      <w:pPr>
        <w:spacing w:after="0" w:line="11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November 2019, we entered into the UT Southwestern Agreement with UT Southwestern, a beneficial owner of more than 5% of our capital stock. Claire Aldridge, Ph.D., a former member of our board of directors, was the Associate Vice President of Commercialization and Business Development at UT Southwestern. In accordance with the terms of, and as consideration for, the UT Southwestern Agreement, we issued 2,179,000 shares of our common stock to UT Southwestern in November 2019. We do not have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38" w:name="page139"/>
    <w:bookmarkEnd w:id="138"/>
    <w:p>
      <w:pPr>
        <w:ind w:right="460"/>
        <w:spacing w:after="0" w:line="282" w:lineRule="auto"/>
        <w:rPr>
          <w:sz w:val="20"/>
          <w:szCs w:val="20"/>
          <w:color w:val="auto"/>
        </w:rPr>
      </w:pPr>
      <w:r>
        <w:rPr>
          <w:rFonts w:ascii="Times New Roman" w:cs="Times New Roman" w:eastAsia="Times New Roman" w:hAnsi="Times New Roman"/>
          <w:sz w:val="18"/>
          <w:szCs w:val="18"/>
          <w:color w:val="auto"/>
        </w:rPr>
        <w:t>any future milestone or royalty obligations to UT Southwestern under the UT Southwestern Agreement. See “Business—Research, Collaboration and License Agreement with the University of Texas Southwestern Medical Center” for additional information.</w:t>
      </w:r>
    </w:p>
    <w:p>
      <w:pPr>
        <w:spacing w:after="0" w:line="270"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are also obligated to provide research and development funding pursuant to certain sponsored research agreements entered into beginning in April 2020 in connection with the UT Southwestern Agreement. We paid an aggregate of $3.6 million to UT Southwestern under the sponsored research agreements during the year ended December 31, 2020.</w:t>
      </w:r>
    </w:p>
    <w:p>
      <w:pPr>
        <w:spacing w:after="0" w:line="28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January 2021, we launched an innovation fund with UT Southwestern, pursuant to which we support UT Southwestern’s gene therapy discovery activities. We will have an exclusive option on new programs and intellectual property associated with, and arising from, the research conducted under this arrangement.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RA Session II</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 and Security Agreement</w:t>
      </w:r>
    </w:p>
    <w:p>
      <w:pPr>
        <w:spacing w:after="0" w:line="11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December 2019, Mr. Session, our President and Chief Executive Officer and a member of our board of directors, entered into a guarantee and security agreement by and among Queen’s University, our company and himself, pursuant to which Mr. Session has personally guaranteed payments due by us to Queen’s University in the event that we fail to fund our obligations under a research grant agreement by and between Queen’s University and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Agreement</w:t>
      </w:r>
    </w:p>
    <w:p>
      <w:pPr>
        <w:spacing w:after="0" w:line="117"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In January 2020, Mr. Session loaned us the principal amount of approximately $1.7 million with interest accruing at a rate of 10% per annum, and we granted Mr. Session a first priority security interest in certain of our assets as collateral for the loan. We repaid Mr. Session an aggregate of approximately $1.7 million, including interest, in payments made in March 2020 and July 2020, and Mr. Session released his security interest in the collateral.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 of Our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 Convertible Preferred Stock Financing</w:t>
      </w:r>
    </w:p>
    <w:p>
      <w:pPr>
        <w:spacing w:after="0" w:line="11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In March 2020, we entered into a preferred stock purchase agreement with certain investors, including beneficial owners of greater than 5% of our capital stock and affiliates of members of our board of directors, pursuant to which we issued and sold to such investors an aggregate of 6,000,000 shares of our Series A convertible preferred stock at a purchase price of $3.00 per share for aggregate gross proceeds of $18.0 million.</w:t>
      </w:r>
    </w:p>
    <w:p>
      <w:pPr>
        <w:spacing w:after="0" w:line="28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Under the agreement, such investors were required to purchase up to an aggregate of 4,000,000 additional shares of our Series A convertible preferred stock upon our achievement of certain milestones. Moreover, such investors had the right, in their sole discretion, to purchase any or all of such additional shares whether or not we achieved the specified milestones. In June and July 2020, such investors exercised in full their option to purchase these additional shares prior to our achievement of such milestones, and we issued and sold to such investors an aggregate of 4,000,000 shares of Series A convertible preferred stock at a purchase price of $3.00 per share for aggregate gross proceeds of $12.0 million.</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A convertible preferred stock issued to our related parties in this financing: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772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PBM TGT Holdings, LLC(1)</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8,166,667</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24,500,001.00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Nolan Capital, LLC(2)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23742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46" w:lineRule="exact"/>
        <w:rPr>
          <w:sz w:val="20"/>
          <w:szCs w:val="20"/>
          <w:color w:val="auto"/>
        </w:rPr>
      </w:pPr>
    </w:p>
    <w:p>
      <w:pPr>
        <w:ind w:left="500" w:right="200" w:hanging="492"/>
        <w:spacing w:after="0" w:line="255"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B. Manning, a member of our board of directors and a holder of more than 5% of our capital stock, is the Chief Executive Officer of PBM Capital Group, LLC and has sole voting and investment power with respect to the shares held by PBM TGT Holdings, LLC.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w:t>
      </w:r>
    </w:p>
    <w:p>
      <w:pPr>
        <w:spacing w:after="0" w:line="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Nolan, the Chairman of our board of directors, is the President of Nolan Capital, 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auto"/>
        </w:rPr>
        <w:t>Series B Convertible Preferred Stock Financing</w:t>
      </w:r>
    </w:p>
    <w:p>
      <w:pPr>
        <w:spacing w:after="0" w:line="11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5,647,048 shares of our Series B convertible preferred stock at a purchase price of $17.00 per share for aggregate gross proceeds of $96.0 million. The financing closed in July and August 2020.</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sets forth the aggregate number of shares of Series B convertible preferred stock issued to our related parties in this financing: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7720" w:type="dxa"/>
            <w:vAlign w:val="bottom"/>
            <w:gridSpan w:val="2"/>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Entities affiliated with FMR, LLC(1)</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1,705,882</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28,999,994.00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PBM Capital Group, LLC(2)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117,647</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Sukumar Nagendran, M.D.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299,999.00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Suyash Prasad, M.B.B.S., F.F.P.M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Nolan Capital, LLC(3)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51"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FMR, LLC collectively hold more than 5% of our capital stock.</w:t>
      </w:r>
    </w:p>
    <w:p>
      <w:pPr>
        <w:spacing w:after="0" w:line="27" w:lineRule="exact"/>
        <w:rPr>
          <w:rFonts w:ascii="Times New Roman" w:cs="Times New Roman" w:eastAsia="Times New Roman" w:hAnsi="Times New Roman"/>
          <w:sz w:val="18"/>
          <w:szCs w:val="18"/>
          <w:color w:val="auto"/>
        </w:rPr>
      </w:pPr>
    </w:p>
    <w:p>
      <w:pPr>
        <w:ind w:left="500" w:right="380" w:hanging="492"/>
        <w:spacing w:after="0" w:line="250"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B. Manning, a member of our board of directors, and a holder of more than 5% of our capital stock, is the Chief Executive Officer of PBM Capital Group, LLC.</w:t>
      </w: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Nolan, the Chairman of our board of directors, is the President of Nolan Capital, LLC.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PBM Capital Group, LLC</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March 2020, we entered into a services agreement with PBM Capital Group, LLC, or the PBM Services Agreement. Under the PBM Services Agreement, PBM Capital Group, LLC provides accounting and other administrative and management services related to payroll administration, human resources, bookkeeping, preparation of financial statements and tax returns, accounts payable and receivable, and other similar functions for a fee of $2,500 per month. We paid PBM Capital Group, LLC an aggregate of $127,000, which includes certain passthrough costs under the PBM Services Agreement during the year ended December 31, 2020.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or offer letter agreements with certain of our executive officers. For more information regarding our employment agreements with our named executive officers, see “Executive Compensation—Employment Agreements.”</w:t>
      </w:r>
    </w:p>
    <w:p>
      <w:pPr>
        <w:spacing w:after="0" w:line="27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We also employ Patrick Nolan as our Business Development Manager. Patrick Nolan is the son of Sean P. Nolan, the Chairman of our board of directors. We expect that total compensation for Patrick Nolan will exceed $120,000 in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provide indemnification for our directors and executive officers so that they will be free from undue concern about personal liability in connection with their service to our company. Under our amended and restated bylaws, we are required to indemnify our directors and executive officers to the extent not prohibited under Delaware law. We have also entered into indemnity agreements with our executive officers and directors. These agreements provide, among other things, that we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our company, and otherwise to the fullest extent permitted under Delaware law and our amended and restated bylaws.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Applicable Nasdaq rules, or the Nasdaq Listing Rules, require a majority of a listed company’s board of directors to be comprised of independent directors.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p>
      <w:pPr>
        <w:ind w:right="60"/>
        <w:spacing w:after="0" w:line="258" w:lineRule="auto"/>
        <w:rPr>
          <w:sz w:val="20"/>
          <w:szCs w:val="20"/>
          <w:color w:val="auto"/>
        </w:rPr>
      </w:pPr>
      <w:r>
        <w:rPr>
          <w:rFonts w:ascii="Times New Roman" w:cs="Times New Roman" w:eastAsia="Times New Roman" w:hAnsi="Times New Roman"/>
          <w:sz w:val="18"/>
          <w:szCs w:val="18"/>
          <w:color w:val="auto"/>
        </w:rPr>
        <w:t>Exchange Act. The Nasdaq independence definition 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all of our directors other than Mr. Session, representing six of our seven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independence, including the beneficial ownership of our capital stock by each director and the transactions described in this section.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 ended December 31, 2020 by Deloitte &amp; Touche LLP, our principal accountant. No fees were billed to us by Deloitte &amp; Touche LLP during the period from September 2, 2019 (date of our inception) through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3"/>
        </w:trPr>
        <w:tc>
          <w:tcPr>
            <w:tcW w:w="9040" w:type="dxa"/>
            <w:vAlign w:val="bottom"/>
            <w:tcBorders>
              <w:top w:val="single" w:sz="8" w:color="CFF0FC"/>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1,311,459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2"/>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20" w:type="dxa"/>
            <w:vAlign w:val="bottom"/>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1,311,459</w:t>
            </w:r>
          </w:p>
        </w:tc>
        <w:tc>
          <w:tcPr>
            <w:tcW w:w="100" w:type="dxa"/>
            <w:vAlign w:val="bottom"/>
          </w:tcPr>
          <w:p>
            <w:pPr>
              <w:spacing w:after="0"/>
              <w:rPr>
                <w:sz w:val="20"/>
                <w:szCs w:val="20"/>
                <w:color w:val="auto"/>
              </w:rPr>
            </w:pPr>
          </w:p>
        </w:tc>
      </w:tr>
    </w:tbl>
    <w:p>
      <w:pPr>
        <w:spacing w:after="0" w:line="189" w:lineRule="exact"/>
        <w:rPr>
          <w:sz w:val="20"/>
          <w:szCs w:val="20"/>
          <w:color w:val="auto"/>
        </w:rPr>
      </w:pPr>
    </w:p>
    <w:p>
      <w:pPr>
        <w:jc w:val="both"/>
        <w:ind w:left="500" w:right="80" w:hanging="492"/>
        <w:spacing w:after="0" w:line="266"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provided in connection with the audit of our annual financial statements, the review of our quarterly financial statements and audit services that are normally provided by the independent registered public accounting firm in connection with regulatory filings. The audit fees also include fees for professional services provided in connection with our initial public offering in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Deloitte &amp; Touche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29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Deloitte &amp; Touche LLP is compatible with maintaining the principal accountant’s independence.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1" w:name="page142"/>
    <w:bookmarkEnd w:id="14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report and financial statements of the Company are included in this Annual Report on Form 10-K:</w:t>
      </w:r>
    </w:p>
    <w:p>
      <w:pPr>
        <w:spacing w:after="0" w:line="274" w:lineRule="exact"/>
        <w:rPr>
          <w:sz w:val="20"/>
          <w:szCs w:val="20"/>
          <w:color w:val="auto"/>
        </w:rPr>
      </w:pPr>
    </w:p>
    <w:p>
      <w:pPr>
        <w:ind w:left="1120" w:hanging="370"/>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Convertible Preferred Stock and Stockholders’ Equity (Deficit)</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 of Cash Flows</w:t>
      </w:r>
    </w:p>
    <w:p>
      <w:pPr>
        <w:spacing w:after="0" w:line="11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Schedules</w:t>
      </w:r>
    </w:p>
    <w:p>
      <w:pPr>
        <w:spacing w:after="0" w:line="121"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they are not applicable, or the required information is included in the financial statements or notes to the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60" w:type="dxa"/>
            <w:vAlign w:val="bottom"/>
            <w:gridSpan w:val="2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60" w:type="dxa"/>
            <w:vAlign w:val="bottom"/>
            <w:gridSpan w:val="2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5"/>
                <w:szCs w:val="15"/>
                <w:color w:val="auto"/>
              </w:rPr>
            </w:pPr>
          </w:p>
        </w:tc>
        <w:tc>
          <w:tcPr>
            <w:tcW w:w="10100" w:type="dxa"/>
            <w:vAlign w:val="bottom"/>
            <w:tcBorders>
              <w:top w:val="single" w:sz="8" w:color="auto"/>
              <w:bottom w:val="single" w:sz="8" w:color="0000EE"/>
            </w:tcBorders>
            <w:gridSpan w:val="27"/>
          </w:tcPr>
          <w:p>
            <w:pPr>
              <w:spacing w:after="0" w:line="182"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Amended and Restated Certificate of Incorporation (incorporated by reference to Exhibit 3.1 to the Company’s Current Report on Form 8-K</w:t>
              </w:r>
            </w:hyperlink>
          </w:p>
        </w:tc>
        <w:tc>
          <w:tcPr>
            <w:tcW w:w="100" w:type="dxa"/>
            <w:vAlign w:val="bottom"/>
            <w:tcBorders>
              <w:top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(File No. 001-39536), filed with the Securities and Exchange Commission on September 29,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97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Amended and Restated Bylaws (incorporated by reference to Exhibit 3.4 to the Company’s to the Company’s Registration Statement on</w:t>
              </w:r>
            </w:hyperlink>
          </w:p>
        </w:tc>
        <w:tc>
          <w:tcPr>
            <w:tcW w:w="420" w:type="dxa"/>
            <w:vAlign w:val="bottom"/>
            <w:gridSpan w:val="1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 xml:space="preserve">Form S-1 (File No. 333-248559), filed with the </w:t>
              </w:r>
              <w:r>
                <w:rPr>
                  <w:rFonts w:ascii="Times New Roman" w:cs="Times New Roman" w:eastAsia="Times New Roman" w:hAnsi="Times New Roman"/>
                  <w:sz w:val="18"/>
                  <w:szCs w:val="18"/>
                  <w:color w:val="0000EE"/>
                  <w:highlight w:val="white"/>
                </w:rPr>
                <w:t>Securities and Exchange Commission on September 17,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95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Amended and Restated Investors’ Rights Agreement, by and among the Company and certain of its stockholders, dated July 2, 2020</w:t>
              </w:r>
            </w:hyperlink>
          </w:p>
        </w:tc>
        <w:tc>
          <w:tcPr>
            <w:tcW w:w="680" w:type="dxa"/>
            <w:vAlign w:val="bottom"/>
            <w:gridSpan w:val="1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(incorporated by reference to Exhibit 4.1 to the Company’s Registration Statement on Form S-1 (File No. 333-248559),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Securities and Exchange Commission on September 2, 2020)</w:t>
              </w:r>
            </w:hyperlink>
          </w:p>
        </w:tc>
        <w:tc>
          <w:tcPr>
            <w:tcW w:w="6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0"/>
                <w:szCs w:val="20"/>
                <w:color w:val="auto"/>
              </w:rPr>
            </w:pPr>
          </w:p>
        </w:tc>
        <w:tc>
          <w:tcPr>
            <w:tcW w:w="4400" w:type="dxa"/>
            <w:vAlign w:val="bottom"/>
            <w:tcBorders>
              <w:top w:val="single" w:sz="8" w:color="0000EE"/>
            </w:tcBorders>
            <w:gridSpan w:val="6"/>
          </w:tcPr>
          <w:p>
            <w:pPr>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Description of the Company’s Common Stock.</w:t>
              </w:r>
            </w:hyperlink>
          </w:p>
        </w:tc>
        <w:tc>
          <w:tcPr>
            <w:tcW w:w="5800" w:type="dxa"/>
            <w:vAlign w:val="bottom"/>
            <w:gridSpan w:val="2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jc w:val="center"/>
              <w:ind w:right="240"/>
              <w:spacing w:after="0" w:line="199" w:lineRule="exact"/>
              <w:rPr>
                <w:sz w:val="20"/>
                <w:szCs w:val="20"/>
                <w:color w:val="auto"/>
              </w:rPr>
            </w:pPr>
            <w:r>
              <w:rPr>
                <w:rFonts w:ascii="Times New Roman" w:cs="Times New Roman" w:eastAsia="Times New Roman" w:hAnsi="Times New Roman"/>
                <w:sz w:val="18"/>
                <w:szCs w:val="18"/>
                <w:color w:val="auto"/>
                <w:w w:val="96"/>
              </w:rPr>
              <w:t>10.1</w:t>
            </w:r>
            <w:r>
              <w:rPr>
                <w:rFonts w:ascii="Arial" w:cs="Arial" w:eastAsia="Arial" w:hAnsi="Arial"/>
                <w:sz w:val="18"/>
                <w:szCs w:val="18"/>
                <w:color w:val="auto"/>
                <w:w w:val="96"/>
              </w:rPr>
              <w:t>†</w:t>
            </w:r>
          </w:p>
        </w:tc>
        <w:tc>
          <w:tcPr>
            <w:tcW w:w="10200" w:type="dxa"/>
            <w:vAlign w:val="bottom"/>
            <w:gridSpan w:val="29"/>
          </w:tcPr>
          <w:p>
            <w:pPr>
              <w:spacing w:after="0" w:line="198"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Research, Collaboration &amp; License Agreement, by and between the Company and The Board of Regents of the University of Texas System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on behalf of The University of Texas Southwestern Medical Center, dated as of November 19, 2019 (incorporated by reference to Exhibit</w:t>
              </w:r>
            </w:hyperlink>
          </w:p>
        </w:tc>
        <w:tc>
          <w:tcPr>
            <w:tcW w:w="120" w:type="dxa"/>
            <w:vAlign w:val="bottom"/>
            <w:tcBorders>
              <w:top w:val="single" w:sz="8" w:color="0000EE"/>
            </w:tcBorders>
            <w:gridSpan w:val="3"/>
          </w:tcPr>
          <w:p>
            <w:pPr>
              <w:spacing w:after="0"/>
              <w:rPr>
                <w:sz w:val="17"/>
                <w:szCs w:val="17"/>
                <w:color w:val="auto"/>
              </w:rPr>
            </w:pPr>
          </w:p>
        </w:tc>
        <w:tc>
          <w:tcPr>
            <w:tcW w:w="1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Registration Statement on Form S-1 (File No. 333-248559), filed with the </w:t>
              </w:r>
              <w:r>
                <w:rPr>
                  <w:rFonts w:ascii="Times New Roman" w:cs="Times New Roman" w:eastAsia="Times New Roman" w:hAnsi="Times New Roman"/>
                  <w:sz w:val="18"/>
                  <w:szCs w:val="18"/>
                  <w:color w:val="0000EE"/>
                  <w:highlight w:val="white"/>
                </w:rPr>
                <w:t>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6"/>
              </w:rPr>
              <w:t>10.2</w:t>
            </w:r>
            <w:r>
              <w:rPr>
                <w:rFonts w:ascii="Arial" w:cs="Arial" w:eastAsia="Arial" w:hAnsi="Arial"/>
                <w:sz w:val="18"/>
                <w:szCs w:val="18"/>
                <w:color w:val="auto"/>
                <w:w w:val="96"/>
              </w:rPr>
              <w:t>†</w:t>
            </w:r>
          </w:p>
        </w:tc>
        <w:tc>
          <w:tcPr>
            <w:tcW w:w="1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09">
              <w:r>
                <w:rPr>
                  <w:rFonts w:ascii="Times New Roman" w:cs="Times New Roman" w:eastAsia="Times New Roman" w:hAnsi="Times New Roman"/>
                  <w:sz w:val="18"/>
                  <w:szCs w:val="18"/>
                  <w:color w:val="0000EE"/>
                  <w:w w:val="98"/>
                </w:rPr>
                <w:t>September 2, 2020).</w:t>
              </w:r>
            </w:hyperlink>
          </w:p>
        </w:tc>
        <w:tc>
          <w:tcPr>
            <w:tcW w:w="55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top w:val="single" w:sz="8" w:color="0000EE"/>
            </w:tcBorders>
            <w:gridSpan w:val="15"/>
          </w:tcPr>
          <w:p>
            <w:pPr>
              <w:spacing w:after="0"/>
              <w:rPr>
                <w:sz w:val="17"/>
                <w:szCs w:val="17"/>
                <w:color w:val="auto"/>
              </w:rPr>
            </w:pPr>
          </w:p>
        </w:tc>
        <w:tc>
          <w:tcPr>
            <w:tcW w:w="2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0" w:type="dxa"/>
            <w:vAlign w:val="bottom"/>
            <w:gridSpan w:val="2"/>
            <w:vMerge w:val="continue"/>
          </w:tcPr>
          <w:p>
            <w:pPr>
              <w:spacing w:after="0"/>
              <w:rPr>
                <w:sz w:val="18"/>
                <w:szCs w:val="18"/>
                <w:color w:val="auto"/>
              </w:rPr>
            </w:pPr>
          </w:p>
        </w:tc>
        <w:tc>
          <w:tcPr>
            <w:tcW w:w="10200" w:type="dxa"/>
            <w:vAlign w:val="bottom"/>
            <w:gridSpan w:val="29"/>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Amendment to Research, Collaboration &amp; License Agreement, by and between the Registrant and The Board of Regents of the University of</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Texas System on behalf of The University of Texas Southwestern Medical Center, dated as of April 2, 2020 (incorporated by reference to</w:t>
              </w:r>
            </w:hyperlink>
          </w:p>
        </w:tc>
        <w:tc>
          <w:tcPr>
            <w:tcW w:w="260" w:type="dxa"/>
            <w:vAlign w:val="bottom"/>
            <w:tcBorders>
              <w:top w:val="single" w:sz="8" w:color="0000EE"/>
            </w:tcBorders>
            <w:gridSpan w:val="7"/>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Exhibit 10.2 to the Company’s Registration Statement on Form S-1 (File No. 333-248559), filed with the Securities and Exchange</w:t>
              </w:r>
            </w:hyperlink>
          </w:p>
        </w:tc>
        <w:tc>
          <w:tcPr>
            <w:tcW w:w="8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6"/>
              </w:rPr>
              <w:t>10.3</w:t>
            </w:r>
            <w:r>
              <w:rPr>
                <w:rFonts w:ascii="Arial" w:cs="Arial" w:eastAsia="Arial" w:hAnsi="Arial"/>
                <w:sz w:val="18"/>
                <w:szCs w:val="18"/>
                <w:color w:val="auto"/>
                <w:w w:val="96"/>
              </w:rPr>
              <w:t>†</w:t>
            </w:r>
          </w:p>
        </w:tc>
        <w:tc>
          <w:tcPr>
            <w:tcW w:w="2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Commission on September 2, 2020).</w:t>
              </w:r>
            </w:hyperlink>
          </w:p>
        </w:tc>
        <w:tc>
          <w:tcPr>
            <w:tcW w:w="75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0" w:type="dxa"/>
            <w:vAlign w:val="bottom"/>
            <w:gridSpan w:val="2"/>
            <w:vMerge w:val="continue"/>
          </w:tcPr>
          <w:p>
            <w:pPr>
              <w:spacing w:after="0"/>
              <w:rPr>
                <w:sz w:val="18"/>
                <w:szCs w:val="18"/>
                <w:color w:val="auto"/>
              </w:rPr>
            </w:pPr>
          </w:p>
        </w:tc>
        <w:tc>
          <w:tcPr>
            <w:tcW w:w="10200" w:type="dxa"/>
            <w:vAlign w:val="bottom"/>
            <w:gridSpan w:val="29"/>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License Agreement, by and between the Company and Queen’s University at Kingston, dated as of February 21, 2020 (incorporated by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 xml:space="preserve">reference to Exhibit 10.3 to the Company’s Registration Statement on Form S-1 (File No. 333-248559), filed with the </w:t>
              </w:r>
              <w:r>
                <w:rPr>
                  <w:rFonts w:ascii="Times New Roman" w:cs="Times New Roman" w:eastAsia="Times New Roman" w:hAnsi="Times New Roman"/>
                  <w:sz w:val="18"/>
                  <w:szCs w:val="18"/>
                  <w:color w:val="0000EE"/>
                  <w:highlight w:val="white"/>
                  <w:w w:val="99"/>
                </w:rPr>
                <w:t>Securities and</w:t>
              </w:r>
            </w:hyperlink>
          </w:p>
        </w:tc>
        <w:tc>
          <w:tcPr>
            <w:tcW w:w="200" w:type="dxa"/>
            <w:vAlign w:val="bottom"/>
            <w:tcBorders>
              <w:top w:val="single" w:sz="8" w:color="0000EE"/>
            </w:tcBorders>
            <w:gridSpan w:val="4"/>
          </w:tcPr>
          <w:p>
            <w:pPr>
              <w:spacing w:after="0"/>
              <w:rPr>
                <w:sz w:val="17"/>
                <w:szCs w:val="17"/>
                <w:color w:val="auto"/>
              </w:rPr>
            </w:pPr>
          </w:p>
        </w:tc>
        <w:tc>
          <w:tcPr>
            <w:tcW w:w="4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10.4</w:t>
            </w:r>
            <w:r>
              <w:rPr>
                <w:rFonts w:ascii="Arial" w:cs="Arial" w:eastAsia="Arial" w:hAnsi="Arial"/>
                <w:sz w:val="18"/>
                <w:szCs w:val="18"/>
                <w:color w:val="auto"/>
              </w:rPr>
              <w:t>†#</w:t>
            </w: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Exchange Commission on September 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continu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2"/>
            <w:vMerge w:val="continue"/>
          </w:tcPr>
          <w:p>
            <w:pPr>
              <w:spacing w:after="0"/>
              <w:rPr>
                <w:sz w:val="18"/>
                <w:szCs w:val="18"/>
                <w:color w:val="auto"/>
              </w:rPr>
            </w:pPr>
          </w:p>
        </w:tc>
        <w:tc>
          <w:tcPr>
            <w:tcW w:w="100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License Agreement, by and between the Company and Abeona Therapeutics Inc., dated as of August 14, 2020 (incorporated by reference to</w:t>
              </w:r>
            </w:hyperlink>
          </w:p>
        </w:tc>
        <w:tc>
          <w:tcPr>
            <w:tcW w:w="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Exhibit 10.4 to the Company’s Registration Statement on Form S-1 (File No. 333-248559), filed with the Securities and Exchange</w:t>
              </w:r>
            </w:hyperlink>
          </w:p>
        </w:tc>
        <w:tc>
          <w:tcPr>
            <w:tcW w:w="82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10.5</w:t>
            </w:r>
            <w:r>
              <w:rPr>
                <w:rFonts w:ascii="Arial" w:cs="Arial" w:eastAsia="Arial" w:hAnsi="Arial"/>
                <w:sz w:val="18"/>
                <w:szCs w:val="18"/>
                <w:color w:val="auto"/>
              </w:rPr>
              <w:t>†#*</w:t>
            </w:r>
          </w:p>
        </w:tc>
        <w:tc>
          <w:tcPr>
            <w:tcW w:w="2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Commission on September 2, 2020).</w:t>
              </w:r>
            </w:hyperlink>
          </w:p>
        </w:tc>
        <w:tc>
          <w:tcPr>
            <w:tcW w:w="7560" w:type="dxa"/>
            <w:vAlign w:val="bottom"/>
            <w:gridSpan w:val="2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040" w:type="dxa"/>
            <w:vAlign w:val="bottom"/>
            <w:gridSpan w:val="2"/>
            <w:vMerge w:val="continue"/>
          </w:tcPr>
          <w:p>
            <w:pPr>
              <w:spacing w:after="0"/>
              <w:rPr>
                <w:sz w:val="21"/>
                <w:szCs w:val="21"/>
                <w:color w:val="auto"/>
              </w:rPr>
            </w:pPr>
          </w:p>
        </w:tc>
        <w:tc>
          <w:tcPr>
            <w:tcW w:w="10200" w:type="dxa"/>
            <w:vAlign w:val="bottom"/>
            <w:gridSpan w:val="29"/>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License Agreement, by and between the Company and Abeona Therapeutics Inc., dated as of October 29, 2020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10.6+</w:t>
            </w:r>
          </w:p>
        </w:tc>
        <w:tc>
          <w:tcPr>
            <w:tcW w:w="240" w:type="dxa"/>
            <w:vAlign w:val="bottom"/>
          </w:tcPr>
          <w:p>
            <w:pPr>
              <w:spacing w:after="0"/>
              <w:rPr>
                <w:sz w:val="16"/>
                <w:szCs w:val="16"/>
                <w:color w:val="auto"/>
              </w:rPr>
            </w:pPr>
          </w:p>
        </w:tc>
        <w:tc>
          <w:tcPr>
            <w:tcW w:w="10200" w:type="dxa"/>
            <w:vAlign w:val="bottom"/>
            <w:gridSpan w:val="29"/>
          </w:tcPr>
          <w:p>
            <w:pPr>
              <w:spacing w:after="0" w:line="194"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2020 Equity Incentive Plan and Forms of Stock Option Grant Notice, Stock Option Agreement and Restricted Stock Award Grant Notice</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(incorporated by reference to Exhibit 10.5 to the Company’s Registration Statement on Form S-1 (File No. 333-248559), filed with the</w:t>
              </w:r>
            </w:hyperlink>
          </w:p>
        </w:tc>
        <w:tc>
          <w:tcPr>
            <w:tcW w:w="160" w:type="dxa"/>
            <w:vAlign w:val="bottom"/>
            <w:tcBorders>
              <w:top w:val="single" w:sz="8" w:color="0000EE"/>
            </w:tcBorders>
            <w:gridSpan w:val="3"/>
          </w:tcPr>
          <w:p>
            <w:pPr>
              <w:spacing w:after="0"/>
              <w:rPr>
                <w:sz w:val="17"/>
                <w:szCs w:val="17"/>
                <w:color w:val="auto"/>
              </w:rPr>
            </w:pPr>
          </w:p>
        </w:tc>
        <w:tc>
          <w:tcPr>
            <w:tcW w:w="3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Securities and Exchange Commission on September 17, 2020).</w:t>
              </w:r>
            </w:hyperlink>
          </w:p>
        </w:tc>
        <w:tc>
          <w:tcPr>
            <w:tcW w:w="56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40" w:type="dxa"/>
            <w:vAlign w:val="bottom"/>
          </w:tcPr>
          <w:p>
            <w:pPr>
              <w:spacing w:after="0"/>
              <w:rPr>
                <w:sz w:val="18"/>
                <w:szCs w:val="18"/>
                <w:color w:val="auto"/>
              </w:rPr>
            </w:pPr>
          </w:p>
        </w:tc>
        <w:tc>
          <w:tcPr>
            <w:tcW w:w="10200" w:type="dxa"/>
            <w:vAlign w:val="bottom"/>
            <w:gridSpan w:val="29"/>
          </w:tcPr>
          <w:p>
            <w:pPr>
              <w:spacing w:after="0"/>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2020 Stock Incentive Plan and Forms of Stock Option Grant Notice, Stock Option Agreement, Restricted Stock Unit Grant Notice and</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Restricted Stock Unit Award Agreement (incorporated by reference to Exhibit 10.6 to the Company’s Registration Statement on Form S-1</w:t>
              </w:r>
            </w:hyperlink>
          </w:p>
        </w:tc>
        <w:tc>
          <w:tcPr>
            <w:tcW w:w="2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 xml:space="preserve">(File No. 333-248559), filed with the </w:t>
              </w:r>
              <w:r>
                <w:rPr>
                  <w:rFonts w:ascii="Times New Roman" w:cs="Times New Roman" w:eastAsia="Times New Roman" w:hAnsi="Times New Roman"/>
                  <w:sz w:val="18"/>
                  <w:szCs w:val="18"/>
                  <w:color w:val="0000EE"/>
                  <w:highlight w:val="white"/>
                </w:rPr>
                <w:t>Securities and Exchange Commission on September 17,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tcBorders>
              <w:top w:val="single" w:sz="8" w:color="0000EE"/>
            </w:tcBorders>
            <w:gridSpan w:val="3"/>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top w:val="single" w:sz="8" w:color="0000EE"/>
            </w:tcBorders>
            <w:gridSpan w:val="4"/>
          </w:tcPr>
          <w:p>
            <w:pPr>
              <w:jc w:val="right"/>
              <w:ind w:right="2228"/>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42" w:name="page143"/>
    <w:bookmarkEnd w:id="142"/>
    <w:tbl>
      <w:tblPr>
        <w:tblLayout w:type="fixed"/>
        <w:tblInd w:w="60" w:type="dxa"/>
        <w:tblCellMar>
          <w:top w:w="0" w:type="dxa"/>
          <w:left w:w="0" w:type="dxa"/>
          <w:bottom w:w="0" w:type="dxa"/>
          <w:right w:w="0" w:type="dxa"/>
        </w:tblCellMar>
      </w:tblPr>
      <w:tr>
        <w:trPr>
          <w:trHeight w:val="207"/>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10.8+</w:t>
            </w:r>
          </w:p>
        </w:tc>
        <w:tc>
          <w:tcPr>
            <w:tcW w:w="10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2020 Employee Stock Purchase Plan (incorporated by reference to Exhibit 10.7 to the Company’s Registration Statement on Form S-1 (File</w:t>
              </w:r>
            </w:hyperlink>
          </w:p>
        </w:tc>
        <w:tc>
          <w:tcPr>
            <w:tcW w:w="1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7">
              <w:r>
                <w:rPr>
                  <w:rFonts w:ascii="Times New Roman" w:cs="Times New Roman" w:eastAsia="Times New Roman" w:hAnsi="Times New Roman"/>
                  <w:sz w:val="18"/>
                  <w:szCs w:val="18"/>
                  <w:color w:val="0000EE"/>
                  <w:w w:val="99"/>
                </w:rPr>
                <w:t>No. 333-248559), filed with the Securities and Exchange Commission on September 17, 2020).</w:t>
              </w:r>
            </w:hyperlink>
          </w:p>
        </w:tc>
        <w:tc>
          <w:tcPr>
            <w:tcW w:w="3280" w:type="dxa"/>
            <w:vAlign w:val="bottom"/>
            <w:gridSpan w:val="8"/>
          </w:tcPr>
          <w:p>
            <w:pPr>
              <w:spacing w:after="0"/>
              <w:rPr>
                <w:sz w:val="17"/>
                <w:szCs w:val="17"/>
                <w:color w:val="auto"/>
              </w:rPr>
            </w:pPr>
          </w:p>
        </w:tc>
      </w:tr>
      <w:tr>
        <w:trPr>
          <w:trHeight w:val="209"/>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10.9+</w:t>
            </w:r>
          </w:p>
        </w:tc>
        <w:tc>
          <w:tcPr>
            <w:tcW w:w="10160" w:type="dxa"/>
            <w:vAlign w:val="bottom"/>
            <w:gridSpan w:val="12"/>
          </w:tcPr>
          <w:p>
            <w:pPr>
              <w:spacing w:after="0"/>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Form of Indemnification Agreement with Executive Officers and Directors ((incorporated by reference to Exhibit 10.8 to the Company’s</w:t>
              </w:r>
            </w:hyperlink>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980" w:type="dxa"/>
            <w:vAlign w:val="bottom"/>
          </w:tcPr>
          <w:p>
            <w:pPr>
              <w:spacing w:after="0"/>
              <w:rPr>
                <w:sz w:val="20"/>
                <w:szCs w:val="20"/>
                <w:color w:val="auto"/>
              </w:rPr>
            </w:pPr>
          </w:p>
        </w:tc>
        <w:tc>
          <w:tcPr>
            <w:tcW w:w="10160" w:type="dxa"/>
            <w:vAlign w:val="bottom"/>
            <w:gridSpan w:val="12"/>
          </w:tcPr>
          <w:p>
            <w:pPr>
              <w:spacing w:after="0"/>
              <w:rPr>
                <w:rFonts w:ascii="Times New Roman" w:cs="Times New Roman" w:eastAsia="Times New Roman" w:hAnsi="Times New Roman"/>
                <w:sz w:val="18"/>
                <w:szCs w:val="18"/>
                <w:u w:val="single" w:color="auto"/>
                <w:color w:val="0000EE"/>
              </w:rPr>
            </w:pPr>
            <w:hyperlink r:id="rId218">
              <w:r>
                <w:rPr>
                  <w:rFonts w:ascii="Times New Roman" w:cs="Times New Roman" w:eastAsia="Times New Roman" w:hAnsi="Times New Roman"/>
                  <w:sz w:val="18"/>
                  <w:szCs w:val="18"/>
                  <w:u w:val="single" w:color="auto"/>
                  <w:color w:val="0000EE"/>
                </w:rPr>
                <w:t>Registration Statement on Form S-1 (File No. 333-248559), filed with the Securities and Exchange Commission on September 17, 2020).</w:t>
              </w:r>
            </w:hyperlink>
          </w:p>
        </w:tc>
      </w:tr>
      <w:tr>
        <w:trPr>
          <w:trHeight w:val="194"/>
        </w:trPr>
        <w:tc>
          <w:tcPr>
            <w:tcW w:w="98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1016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Non-Employee Director Compensation Policy (incorporated by reference to Exhibit 10.10 to the Company’s Registration Statement on Form</w:t>
              </w:r>
            </w:hyperlink>
          </w:p>
        </w:tc>
      </w:tr>
      <w:tr>
        <w:trPr>
          <w:trHeight w:val="196"/>
        </w:trPr>
        <w:tc>
          <w:tcPr>
            <w:tcW w:w="980" w:type="dxa"/>
            <w:vAlign w:val="bottom"/>
          </w:tcPr>
          <w:p>
            <w:pPr>
              <w:spacing w:after="0"/>
              <w:rPr>
                <w:sz w:val="17"/>
                <w:szCs w:val="17"/>
                <w:color w:val="auto"/>
              </w:rPr>
            </w:pPr>
          </w:p>
        </w:tc>
        <w:tc>
          <w:tcPr>
            <w:tcW w:w="10160" w:type="dxa"/>
            <w:vAlign w:val="bottom"/>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 xml:space="preserve">S-1 (File No. 333-248559), filed with the </w:t>
              </w:r>
              <w:r>
                <w:rPr>
                  <w:rFonts w:ascii="Times New Roman" w:cs="Times New Roman" w:eastAsia="Times New Roman" w:hAnsi="Times New Roman"/>
                  <w:sz w:val="18"/>
                  <w:szCs w:val="18"/>
                  <w:color w:val="0000EE"/>
                  <w:highlight w:val="white"/>
                </w:rPr>
                <w:t>Securities and Exchange Commission on September 17, 2020).</w:t>
              </w:r>
            </w:hyperlink>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10.11+</w:t>
            </w:r>
          </w:p>
        </w:tc>
        <w:tc>
          <w:tcPr>
            <w:tcW w:w="10160" w:type="dxa"/>
            <w:vAlign w:val="bottom"/>
            <w:gridSpan w:val="12"/>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Change in Control Severance Plan and Form of Participation Agreement (incorporated by reference to Exhibit 10.11 to the Company’s</w:t>
              </w:r>
            </w:hyperlink>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5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980" w:type="dxa"/>
            <w:vAlign w:val="bottom"/>
          </w:tcPr>
          <w:p>
            <w:pPr>
              <w:spacing w:after="0"/>
              <w:rPr>
                <w:sz w:val="20"/>
                <w:szCs w:val="20"/>
                <w:color w:val="auto"/>
              </w:rPr>
            </w:pPr>
          </w:p>
        </w:tc>
        <w:tc>
          <w:tcPr>
            <w:tcW w:w="10160" w:type="dxa"/>
            <w:vAlign w:val="bottom"/>
            <w:gridSpan w:val="12"/>
          </w:tcPr>
          <w:p>
            <w:pPr>
              <w:spacing w:after="0"/>
              <w:rPr>
                <w:rFonts w:ascii="Times New Roman" w:cs="Times New Roman" w:eastAsia="Times New Roman" w:hAnsi="Times New Roman"/>
                <w:sz w:val="18"/>
                <w:szCs w:val="18"/>
                <w:u w:val="single" w:color="auto"/>
                <w:color w:val="0000EE"/>
              </w:rPr>
            </w:pPr>
            <w:hyperlink r:id="rId220">
              <w:r>
                <w:rPr>
                  <w:rFonts w:ascii="Times New Roman" w:cs="Times New Roman" w:eastAsia="Times New Roman" w:hAnsi="Times New Roman"/>
                  <w:sz w:val="18"/>
                  <w:szCs w:val="18"/>
                  <w:u w:val="single" w:color="auto"/>
                  <w:color w:val="0000EE"/>
                </w:rPr>
                <w:t>Registration Statement on Form S-1 (File No. 333-248559), filed with the Securities and Exchange Commission on September 17, 2020).</w:t>
              </w:r>
            </w:hyperlink>
          </w:p>
        </w:tc>
      </w:tr>
      <w:tr>
        <w:trPr>
          <w:trHeight w:val="194"/>
        </w:trPr>
        <w:tc>
          <w:tcPr>
            <w:tcW w:w="98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10160" w:type="dxa"/>
            <w:vAlign w:val="bottom"/>
            <w:gridSpan w:val="12"/>
          </w:tcPr>
          <w:p>
            <w:pPr>
              <w:spacing w:after="0" w:line="194"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Amended and Restated Executive Employment Agreement, effective as of September 24, 2020, by and between the Company and RA</w:t>
              </w:r>
            </w:hyperlink>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5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160" w:type="dxa"/>
            <w:vAlign w:val="bottom"/>
            <w:gridSpan w:val="12"/>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Session II (incorporated by reference to Exhibit 10.7 to the Company’s Quarterly Report on Form 10-Q (File No. 001-39536), filed with the</w:t>
              </w:r>
            </w:hyperlink>
          </w:p>
        </w:tc>
      </w:tr>
      <w:tr>
        <w:trPr>
          <w:trHeight w:val="196"/>
        </w:trPr>
        <w:tc>
          <w:tcPr>
            <w:tcW w:w="980" w:type="dxa"/>
            <w:vAlign w:val="bottom"/>
          </w:tcPr>
          <w:p>
            <w:pPr>
              <w:spacing w:after="0"/>
              <w:rPr>
                <w:sz w:val="17"/>
                <w:szCs w:val="17"/>
                <w:color w:val="auto"/>
              </w:rPr>
            </w:pPr>
          </w:p>
        </w:tc>
        <w:tc>
          <w:tcPr>
            <w:tcW w:w="100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Securities and Exchange Commission on November 12, 2020).</w:t>
              </w:r>
            </w:hyperlink>
          </w:p>
        </w:tc>
        <w:tc>
          <w:tcPr>
            <w:tcW w:w="1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45"/>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10.13+*</w:t>
            </w:r>
          </w:p>
        </w:tc>
        <w:tc>
          <w:tcPr>
            <w:tcW w:w="10160" w:type="dxa"/>
            <w:vAlign w:val="bottom"/>
            <w:gridSpan w:val="12"/>
          </w:tcPr>
          <w:p>
            <w:pPr>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Amended and Restated Offer Letter, effective as of September 24, 2020, by and between the Company and Kamran Alam.</w:t>
              </w:r>
            </w:hyperlink>
          </w:p>
        </w:tc>
      </w:tr>
      <w:tr>
        <w:trPr>
          <w:trHeight w:val="230"/>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10.14+*</w:t>
            </w:r>
          </w:p>
        </w:tc>
        <w:tc>
          <w:tcPr>
            <w:tcW w:w="10160" w:type="dxa"/>
            <w:vAlign w:val="bottom"/>
            <w:gridSpan w:val="12"/>
          </w:tcPr>
          <w:p>
            <w:pPr>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Amended and Restated Offer Letter, effective as of September 24, 2020, by and between the Company and Suyash Prasad.</w:t>
              </w:r>
            </w:hyperlink>
          </w:p>
        </w:tc>
      </w:tr>
      <w:tr>
        <w:trPr>
          <w:trHeight w:val="234"/>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6"/>
              </w:rPr>
              <w:t>10.15*</w:t>
            </w:r>
          </w:p>
        </w:tc>
        <w:tc>
          <w:tcPr>
            <w:tcW w:w="10160" w:type="dxa"/>
            <w:vAlign w:val="bottom"/>
            <w:gridSpan w:val="12"/>
          </w:tcPr>
          <w:p>
            <w:pPr>
              <w:spacing w:after="0"/>
              <w:rPr>
                <w:rFonts w:ascii="Times New Roman" w:cs="Times New Roman" w:eastAsia="Times New Roman" w:hAnsi="Times New Roman"/>
                <w:sz w:val="18"/>
                <w:szCs w:val="18"/>
                <w:color w:val="0000EE"/>
              </w:rPr>
            </w:pPr>
            <w:hyperlink w:anchor="page203">
              <w:r>
                <w:rPr>
                  <w:rFonts w:ascii="Times New Roman" w:cs="Times New Roman" w:eastAsia="Times New Roman" w:hAnsi="Times New Roman"/>
                  <w:sz w:val="18"/>
                  <w:szCs w:val="18"/>
                  <w:u w:val="single" w:color="auto"/>
                  <w:color w:val="0000EE"/>
                </w:rPr>
                <w:t>Lease, dated December 17, 2020, by and between Patriot Park Partners II, LLC and the Company</w:t>
              </w:r>
              <w:r>
                <w:rPr>
                  <w:rFonts w:ascii="Times New Roman" w:cs="Times New Roman" w:eastAsia="Times New Roman" w:hAnsi="Times New Roman"/>
                  <w:sz w:val="18"/>
                  <w:szCs w:val="18"/>
                  <w:color w:val="0000EE"/>
                </w:rPr>
                <w:t>.</w:t>
              </w:r>
            </w:hyperlink>
          </w:p>
        </w:tc>
      </w:tr>
      <w:tr>
        <w:trPr>
          <w:trHeight w:val="454"/>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23.1*</w:t>
            </w:r>
          </w:p>
        </w:tc>
        <w:tc>
          <w:tcPr>
            <w:tcW w:w="10160" w:type="dxa"/>
            <w:vAlign w:val="bottom"/>
            <w:gridSpan w:val="12"/>
          </w:tcPr>
          <w:p>
            <w:pPr>
              <w:spacing w:after="0"/>
              <w:rPr>
                <w:rFonts w:ascii="Times New Roman" w:cs="Times New Roman" w:eastAsia="Times New Roman" w:hAnsi="Times New Roman"/>
                <w:sz w:val="18"/>
                <w:szCs w:val="18"/>
                <w:u w:val="single" w:color="auto"/>
                <w:color w:val="0000EE"/>
              </w:rPr>
            </w:pPr>
            <w:hyperlink w:anchor="page250">
              <w:r>
                <w:rPr>
                  <w:rFonts w:ascii="Times New Roman" w:cs="Times New Roman" w:eastAsia="Times New Roman" w:hAnsi="Times New Roman"/>
                  <w:sz w:val="18"/>
                  <w:szCs w:val="18"/>
                  <w:u w:val="single" w:color="auto"/>
                  <w:color w:val="0000EE"/>
                </w:rPr>
                <w:t>Consent of Deloitte &amp; Touche LLP</w:t>
              </w:r>
            </w:hyperlink>
          </w:p>
        </w:tc>
      </w:tr>
      <w:tr>
        <w:trPr>
          <w:trHeight w:val="194"/>
        </w:trPr>
        <w:tc>
          <w:tcPr>
            <w:tcW w:w="98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color w:val="auto"/>
                <w:w w:val="98"/>
              </w:rPr>
              <w:t>31.1*</w:t>
            </w:r>
          </w:p>
        </w:tc>
        <w:tc>
          <w:tcPr>
            <w:tcW w:w="10160" w:type="dxa"/>
            <w:vAlign w:val="bottom"/>
            <w:gridSpan w:val="12"/>
          </w:tcPr>
          <w:p>
            <w:pPr>
              <w:spacing w:after="0" w:line="194" w:lineRule="exact"/>
              <w:rPr>
                <w:rFonts w:ascii="Times New Roman" w:cs="Times New Roman" w:eastAsia="Times New Roman" w:hAnsi="Times New Roman"/>
                <w:sz w:val="18"/>
                <w:szCs w:val="18"/>
                <w:color w:val="0000EE"/>
              </w:rPr>
            </w:pPr>
            <w:hyperlink w:anchor="page251">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hyperlink>
          </w:p>
        </w:tc>
      </w:tr>
      <w:tr>
        <w:trPr>
          <w:trHeight w:val="196"/>
        </w:trPr>
        <w:tc>
          <w:tcPr>
            <w:tcW w:w="98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51">
              <w:r>
                <w:rPr>
                  <w:rFonts w:ascii="Times New Roman" w:cs="Times New Roman" w:eastAsia="Times New Roman" w:hAnsi="Times New Roman"/>
                  <w:sz w:val="18"/>
                  <w:szCs w:val="18"/>
                  <w:color w:val="0000EE"/>
                  <w:w w:val="99"/>
                </w:rPr>
                <w:t>Adopted Pursuant to Section 302 of the Sarbanes-Oxley Act of 2002.</w:t>
              </w:r>
            </w:hyperlink>
          </w:p>
        </w:tc>
        <w:tc>
          <w:tcPr>
            <w:tcW w:w="4680" w:type="dxa"/>
            <w:vAlign w:val="bottom"/>
            <w:tcBorders>
              <w:top w:val="single" w:sz="8" w:color="0000EE"/>
            </w:tcBorders>
            <w:gridSpan w:val="4"/>
          </w:tcPr>
          <w:p>
            <w:pPr>
              <w:spacing w:after="0"/>
              <w:rPr>
                <w:sz w:val="17"/>
                <w:szCs w:val="17"/>
                <w:color w:val="auto"/>
              </w:rPr>
            </w:pPr>
          </w:p>
        </w:tc>
        <w:tc>
          <w:tcPr>
            <w:tcW w:w="500" w:type="dxa"/>
            <w:vAlign w:val="bottom"/>
            <w:gridSpan w:val="5"/>
          </w:tcPr>
          <w:p>
            <w:pPr>
              <w:spacing w:after="0"/>
              <w:rPr>
                <w:sz w:val="17"/>
                <w:szCs w:val="17"/>
                <w:color w:val="auto"/>
              </w:rPr>
            </w:pPr>
          </w:p>
        </w:tc>
      </w:tr>
      <w:tr>
        <w:trPr>
          <w:trHeight w:val="209"/>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31.2*</w:t>
            </w:r>
          </w:p>
        </w:tc>
        <w:tc>
          <w:tcPr>
            <w:tcW w:w="9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52">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hyperlink>
          </w:p>
        </w:tc>
        <w:tc>
          <w:tcPr>
            <w:tcW w:w="600" w:type="dxa"/>
            <w:vAlign w:val="bottom"/>
            <w:gridSpan w:val="6"/>
          </w:tcPr>
          <w:p>
            <w:pPr>
              <w:spacing w:after="0"/>
              <w:rPr>
                <w:sz w:val="18"/>
                <w:szCs w:val="18"/>
                <w:color w:val="auto"/>
              </w:rPr>
            </w:pPr>
          </w:p>
        </w:tc>
      </w:tr>
      <w:tr>
        <w:trPr>
          <w:trHeight w:val="196"/>
        </w:trPr>
        <w:tc>
          <w:tcPr>
            <w:tcW w:w="98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252">
              <w:r>
                <w:rPr>
                  <w:rFonts w:ascii="Times New Roman" w:cs="Times New Roman" w:eastAsia="Times New Roman" w:hAnsi="Times New Roman"/>
                  <w:sz w:val="18"/>
                  <w:szCs w:val="18"/>
                  <w:color w:val="0000EE"/>
                  <w:w w:val="99"/>
                </w:rPr>
                <w:t>Adopted Pursuant to Section 302 of the Sarbanes-Oxley Act of 2002.</w:t>
              </w:r>
            </w:hyperlink>
          </w:p>
        </w:tc>
        <w:tc>
          <w:tcPr>
            <w:tcW w:w="5180" w:type="dxa"/>
            <w:vAlign w:val="bottom"/>
            <w:gridSpan w:val="9"/>
          </w:tcPr>
          <w:p>
            <w:pPr>
              <w:spacing w:after="0"/>
              <w:rPr>
                <w:sz w:val="17"/>
                <w:szCs w:val="17"/>
                <w:color w:val="auto"/>
              </w:rPr>
            </w:pPr>
          </w:p>
        </w:tc>
      </w:tr>
      <w:tr>
        <w:trPr>
          <w:trHeight w:val="210"/>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53">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hyperlink>
          </w:p>
        </w:tc>
        <w:tc>
          <w:tcPr>
            <w:tcW w:w="120" w:type="dxa"/>
            <w:vAlign w:val="bottom"/>
            <w:gridSpan w:val="2"/>
          </w:tcPr>
          <w:p>
            <w:pPr>
              <w:spacing w:after="0"/>
              <w:rPr>
                <w:sz w:val="18"/>
                <w:szCs w:val="18"/>
                <w:color w:val="auto"/>
              </w:rPr>
            </w:pPr>
          </w:p>
        </w:tc>
      </w:tr>
      <w:tr>
        <w:trPr>
          <w:trHeight w:val="196"/>
        </w:trPr>
        <w:tc>
          <w:tcPr>
            <w:tcW w:w="98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53">
              <w:r>
                <w:rPr>
                  <w:rFonts w:ascii="Times New Roman" w:cs="Times New Roman" w:eastAsia="Times New Roman" w:hAnsi="Times New Roman"/>
                  <w:sz w:val="18"/>
                  <w:szCs w:val="18"/>
                  <w:color w:val="0000EE"/>
                  <w:w w:val="97"/>
                </w:rPr>
                <w:t>Act of 2002.</w:t>
              </w:r>
            </w:hyperlink>
          </w:p>
        </w:tc>
        <w:tc>
          <w:tcPr>
            <w:tcW w:w="9260" w:type="dxa"/>
            <w:vAlign w:val="bottom"/>
            <w:gridSpan w:val="11"/>
          </w:tcPr>
          <w:p>
            <w:pPr>
              <w:spacing w:after="0"/>
              <w:rPr>
                <w:sz w:val="17"/>
                <w:szCs w:val="17"/>
                <w:color w:val="auto"/>
              </w:rPr>
            </w:pPr>
          </w:p>
        </w:tc>
      </w:tr>
      <w:tr>
        <w:trPr>
          <w:trHeight w:val="209"/>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32.2*##</w:t>
            </w:r>
          </w:p>
        </w:tc>
        <w:tc>
          <w:tcPr>
            <w:tcW w:w="10160" w:type="dxa"/>
            <w:vAlign w:val="bottom"/>
            <w:gridSpan w:val="12"/>
          </w:tcPr>
          <w:p>
            <w:pPr>
              <w:spacing w:after="0"/>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r>
      <w:tr>
        <w:trPr>
          <w:trHeight w:val="196"/>
        </w:trPr>
        <w:tc>
          <w:tcPr>
            <w:tcW w:w="98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54">
              <w:r>
                <w:rPr>
                  <w:rFonts w:ascii="Times New Roman" w:cs="Times New Roman" w:eastAsia="Times New Roman" w:hAnsi="Times New Roman"/>
                  <w:sz w:val="18"/>
                  <w:szCs w:val="18"/>
                  <w:color w:val="0000EE"/>
                  <w:w w:val="97"/>
                </w:rPr>
                <w:t>Act of 2002.</w:t>
              </w:r>
            </w:hyperlink>
          </w:p>
        </w:tc>
        <w:tc>
          <w:tcPr>
            <w:tcW w:w="9080" w:type="dxa"/>
            <w:vAlign w:val="bottom"/>
            <w:tcBorders>
              <w:top w:val="single" w:sz="8" w:color="0000EE"/>
            </w:tcBorders>
            <w:gridSpan w:val="8"/>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245"/>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101.INS</w:t>
            </w:r>
          </w:p>
        </w:tc>
        <w:tc>
          <w:tcPr>
            <w:tcW w:w="10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101.DEF</w:t>
            </w:r>
          </w:p>
        </w:tc>
        <w:tc>
          <w:tcPr>
            <w:tcW w:w="10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101.PRE</w:t>
            </w:r>
          </w:p>
        </w:tc>
        <w:tc>
          <w:tcPr>
            <w:tcW w:w="10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00" w:right="200" w:hanging="492"/>
        <w:spacing w:after="0" w:line="282" w:lineRule="auto"/>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agreement (indicated by asterisks) have been omitted because the registrant has determined they are not material and would likely cause competitive harm to the registrant if publicly disclosed.</w:t>
      </w:r>
    </w:p>
    <w:p>
      <w:pPr>
        <w:spacing w:after="0" w:line="54" w:lineRule="exact"/>
        <w:rPr>
          <w:sz w:val="20"/>
          <w:szCs w:val="20"/>
          <w:color w:val="auto"/>
        </w:rPr>
      </w:pPr>
    </w:p>
    <w:p>
      <w:pPr>
        <w:ind w:left="500" w:right="120" w:hanging="492"/>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601(b)(2) of Regulation S-K. A copy of any omitted schedules will be furnished supplementally to the SEC upon request.</w:t>
      </w:r>
    </w:p>
    <w:p>
      <w:pPr>
        <w:spacing w:after="0" w:line="54" w:lineRule="exact"/>
        <w:rPr>
          <w:sz w:val="20"/>
          <w:szCs w:val="20"/>
          <w:color w:val="auto"/>
        </w:rPr>
      </w:pPr>
    </w:p>
    <w:p>
      <w:pPr>
        <w:ind w:left="500" w:hanging="492"/>
        <w:spacing w:after="0"/>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sz w:val="20"/>
          <w:szCs w:val="20"/>
          <w:color w:val="auto"/>
        </w:rPr>
      </w:pPr>
    </w:p>
    <w:p>
      <w:pPr>
        <w:ind w:left="500" w:right="460" w:hanging="492"/>
        <w:spacing w:after="0" w:line="266"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3" w:name="page144"/>
    <w:bookmarkEnd w:id="1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112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37" w:lineRule="exact"/>
        <w:rPr>
          <w:sz w:val="20"/>
          <w:szCs w:val="20"/>
          <w:color w:val="auto"/>
        </w:rPr>
      </w:pPr>
    </w:p>
    <w:p>
      <w:pPr>
        <w:ind w:left="60"/>
        <w:spacing w:after="0"/>
        <w:tabs>
          <w:tab w:leader="none" w:pos="5580" w:val="left"/>
          <w:tab w:leader="none" w:pos="6320" w:val="left"/>
        </w:tabs>
        <w:rPr>
          <w:sz w:val="20"/>
          <w:szCs w:val="20"/>
          <w:color w:val="auto"/>
        </w:rPr>
      </w:pPr>
      <w:r>
        <w:rPr>
          <w:rFonts w:ascii="Times New Roman" w:cs="Times New Roman" w:eastAsia="Times New Roman" w:hAnsi="Times New Roman"/>
          <w:sz w:val="18"/>
          <w:szCs w:val="18"/>
          <w:color w:val="auto"/>
        </w:rPr>
        <w:t>Date: March 3,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51435</wp:posOffset>
            </wp:positionV>
            <wp:extent cx="28886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8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RA Session II</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9" w:lineRule="exact"/>
        <w:rPr>
          <w:sz w:val="20"/>
          <w:szCs w:val="20"/>
          <w:color w:val="auto"/>
        </w:rPr>
      </w:pPr>
    </w:p>
    <w:p>
      <w:pPr>
        <w:ind w:firstLine="1123"/>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RA Session II and Kamran Alam, jointly and severally, as his or her true and lawful attorneys-in-fact and agents, with full power of substitution and resubstitution, for him or her and in his or her name, place and stead, in any and all capacities, to sign this Annual Report on Form 10-K of Taysha Gene Therapies,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297" w:lineRule="exact"/>
        <w:rPr>
          <w:sz w:val="20"/>
          <w:szCs w:val="20"/>
          <w:color w:val="auto"/>
        </w:rPr>
      </w:pPr>
    </w:p>
    <w:p>
      <w:pPr>
        <w:ind w:right="100" w:firstLine="112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20" w:type="dxa"/>
            <w:vAlign w:val="bottom"/>
          </w:tcPr>
          <w:p>
            <w:pPr>
              <w:spacing w:after="0"/>
              <w:rPr>
                <w:sz w:val="19"/>
                <w:szCs w:val="19"/>
                <w:color w:val="auto"/>
              </w:rPr>
            </w:pPr>
          </w:p>
        </w:tc>
        <w:tc>
          <w:tcPr>
            <w:tcW w:w="468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20" w:type="dxa"/>
            <w:vAlign w:val="bottom"/>
          </w:tcPr>
          <w:p>
            <w:pPr>
              <w:spacing w:after="0"/>
              <w:rPr>
                <w:sz w:val="19"/>
                <w:szCs w:val="19"/>
                <w:color w:val="auto"/>
              </w:rPr>
            </w:pPr>
          </w:p>
        </w:tc>
        <w:tc>
          <w:tcPr>
            <w:tcW w:w="19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80"/>
        </w:trPr>
        <w:tc>
          <w:tcPr>
            <w:tcW w:w="3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 RA Session II</w:t>
            </w:r>
          </w:p>
        </w:tc>
        <w:tc>
          <w:tcPr>
            <w:tcW w:w="320" w:type="dxa"/>
            <w:vAlign w:val="bottom"/>
          </w:tcPr>
          <w:p>
            <w:pPr>
              <w:spacing w:after="0"/>
              <w:rPr>
                <w:sz w:val="24"/>
                <w:szCs w:val="24"/>
                <w:color w:val="auto"/>
              </w:rPr>
            </w:pPr>
          </w:p>
        </w:tc>
        <w:tc>
          <w:tcPr>
            <w:tcW w:w="4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March 3, 2021</w:t>
            </w:r>
          </w:p>
        </w:tc>
        <w:tc>
          <w:tcPr>
            <w:tcW w:w="0" w:type="dxa"/>
            <w:vAlign w:val="bottom"/>
          </w:tcPr>
          <w:p>
            <w:pPr>
              <w:spacing w:after="0"/>
              <w:rPr>
                <w:sz w:val="1"/>
                <w:szCs w:val="1"/>
                <w:color w:val="auto"/>
              </w:rPr>
            </w:pPr>
          </w:p>
        </w:tc>
      </w:tr>
      <w:tr>
        <w:trPr>
          <w:trHeight w:val="92"/>
        </w:trPr>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RA Session II</w:t>
            </w:r>
          </w:p>
        </w:tc>
        <w:tc>
          <w:tcPr>
            <w:tcW w:w="320" w:type="dxa"/>
            <w:vAlign w:val="bottom"/>
          </w:tcPr>
          <w:p>
            <w:pPr>
              <w:spacing w:after="0"/>
              <w:rPr>
                <w:sz w:val="8"/>
                <w:szCs w:val="8"/>
                <w:color w:val="auto"/>
              </w:rPr>
            </w:pPr>
          </w:p>
        </w:tc>
        <w:tc>
          <w:tcPr>
            <w:tcW w:w="4900" w:type="dxa"/>
            <w:vAlign w:val="bottom"/>
            <w:gridSpan w:val="2"/>
            <w:vMerge w:val="continue"/>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00" w:type="dxa"/>
            <w:vAlign w:val="bottom"/>
            <w:gridSpan w:val="2"/>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0"/>
        </w:trPr>
        <w:tc>
          <w:tcPr>
            <w:tcW w:w="3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Kamran Alam</w:t>
            </w:r>
          </w:p>
        </w:tc>
        <w:tc>
          <w:tcPr>
            <w:tcW w:w="3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c>
          <w:tcPr>
            <w:tcW w:w="19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March 3, 2021</w:t>
            </w:r>
          </w:p>
        </w:tc>
        <w:tc>
          <w:tcPr>
            <w:tcW w:w="0" w:type="dxa"/>
            <w:vAlign w:val="bottom"/>
          </w:tcPr>
          <w:p>
            <w:pPr>
              <w:spacing w:after="0"/>
              <w:rPr>
                <w:sz w:val="1"/>
                <w:szCs w:val="1"/>
                <w:color w:val="auto"/>
              </w:rPr>
            </w:pPr>
          </w:p>
        </w:tc>
      </w:tr>
      <w:tr>
        <w:trPr>
          <w:trHeight w:val="29"/>
        </w:trPr>
        <w:tc>
          <w:tcPr>
            <w:tcW w:w="342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4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w:t>
            </w: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34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Kamran Alam</w:t>
            </w:r>
          </w:p>
        </w:tc>
        <w:tc>
          <w:tcPr>
            <w:tcW w:w="320" w:type="dxa"/>
            <w:vAlign w:val="bottom"/>
            <w:vMerge w:val="continue"/>
          </w:tcPr>
          <w:p>
            <w:pPr>
              <w:spacing w:after="0"/>
              <w:rPr>
                <w:sz w:val="13"/>
                <w:szCs w:val="13"/>
                <w:color w:val="auto"/>
              </w:rPr>
            </w:pPr>
          </w:p>
        </w:tc>
        <w:tc>
          <w:tcPr>
            <w:tcW w:w="490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3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Accounting Officer)</w:t>
            </w: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00" w:type="dxa"/>
            <w:vAlign w:val="bottom"/>
            <w:gridSpan w:val="2"/>
            <w:vMerge w:val="continue"/>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0"/>
        </w:trPr>
        <w:tc>
          <w:tcPr>
            <w:tcW w:w="3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Phillip B. Donenberg</w:t>
            </w:r>
          </w:p>
        </w:tc>
        <w:tc>
          <w:tcPr>
            <w:tcW w:w="3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1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March 3, 2021</w:t>
            </w:r>
          </w:p>
        </w:tc>
        <w:tc>
          <w:tcPr>
            <w:tcW w:w="0" w:type="dxa"/>
            <w:vAlign w:val="bottom"/>
          </w:tcPr>
          <w:p>
            <w:pPr>
              <w:spacing w:after="0"/>
              <w:rPr>
                <w:sz w:val="1"/>
                <w:szCs w:val="1"/>
                <w:color w:val="auto"/>
              </w:rPr>
            </w:pPr>
          </w:p>
        </w:tc>
      </w:tr>
      <w:tr>
        <w:trPr>
          <w:trHeight w:val="237"/>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Phillip B. Donenberg</w:t>
            </w:r>
          </w:p>
        </w:tc>
        <w:tc>
          <w:tcPr>
            <w:tcW w:w="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Sean P. Nolan</w:t>
            </w:r>
          </w:p>
        </w:tc>
        <w:tc>
          <w:tcPr>
            <w:tcW w:w="3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1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March 3, 2021</w:t>
            </w:r>
          </w:p>
        </w:tc>
        <w:tc>
          <w:tcPr>
            <w:tcW w:w="0" w:type="dxa"/>
            <w:vAlign w:val="bottom"/>
          </w:tcPr>
          <w:p>
            <w:pPr>
              <w:spacing w:after="0"/>
              <w:rPr>
                <w:sz w:val="1"/>
                <w:szCs w:val="1"/>
                <w:color w:val="auto"/>
              </w:rPr>
            </w:pPr>
          </w:p>
        </w:tc>
      </w:tr>
      <w:tr>
        <w:trPr>
          <w:trHeight w:val="237"/>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Sean P. Nolan</w:t>
            </w:r>
          </w:p>
        </w:tc>
        <w:tc>
          <w:tcPr>
            <w:tcW w:w="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Paul B. Manning</w:t>
            </w:r>
          </w:p>
        </w:tc>
        <w:tc>
          <w:tcPr>
            <w:tcW w:w="3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1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March 3, 2021</w:t>
            </w:r>
          </w:p>
        </w:tc>
        <w:tc>
          <w:tcPr>
            <w:tcW w:w="0" w:type="dxa"/>
            <w:vAlign w:val="bottom"/>
          </w:tcPr>
          <w:p>
            <w:pPr>
              <w:spacing w:after="0"/>
              <w:rPr>
                <w:sz w:val="1"/>
                <w:szCs w:val="1"/>
                <w:color w:val="auto"/>
              </w:rPr>
            </w:pPr>
          </w:p>
        </w:tc>
      </w:tr>
      <w:tr>
        <w:trPr>
          <w:trHeight w:val="237"/>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Paul B. Manning</w:t>
            </w:r>
          </w:p>
        </w:tc>
        <w:tc>
          <w:tcPr>
            <w:tcW w:w="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Sukumar Nagendran, M.D.</w:t>
            </w:r>
          </w:p>
        </w:tc>
        <w:tc>
          <w:tcPr>
            <w:tcW w:w="3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1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March 3, 2021</w:t>
            </w:r>
          </w:p>
        </w:tc>
        <w:tc>
          <w:tcPr>
            <w:tcW w:w="0" w:type="dxa"/>
            <w:vAlign w:val="bottom"/>
          </w:tcPr>
          <w:p>
            <w:pPr>
              <w:spacing w:after="0"/>
              <w:rPr>
                <w:sz w:val="1"/>
                <w:szCs w:val="1"/>
                <w:color w:val="auto"/>
              </w:rPr>
            </w:pPr>
          </w:p>
        </w:tc>
      </w:tr>
      <w:tr>
        <w:trPr>
          <w:trHeight w:val="237"/>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Sukumar Nagendran, M.D.</w:t>
            </w:r>
          </w:p>
        </w:tc>
        <w:tc>
          <w:tcPr>
            <w:tcW w:w="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Kathleen Reape, M.D.</w:t>
            </w:r>
          </w:p>
        </w:tc>
        <w:tc>
          <w:tcPr>
            <w:tcW w:w="3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1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March 3, 2021</w:t>
            </w:r>
          </w:p>
        </w:tc>
        <w:tc>
          <w:tcPr>
            <w:tcW w:w="0" w:type="dxa"/>
            <w:vAlign w:val="bottom"/>
          </w:tcPr>
          <w:p>
            <w:pPr>
              <w:spacing w:after="0"/>
              <w:rPr>
                <w:sz w:val="1"/>
                <w:szCs w:val="1"/>
                <w:color w:val="auto"/>
              </w:rPr>
            </w:pPr>
          </w:p>
        </w:tc>
      </w:tr>
      <w:tr>
        <w:trPr>
          <w:trHeight w:val="237"/>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Kathleen Reape, M.D.</w:t>
            </w:r>
          </w:p>
        </w:tc>
        <w:tc>
          <w:tcPr>
            <w:tcW w:w="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3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 Laura Sepp-Lorenzino, Ph.D.</w:t>
            </w:r>
          </w:p>
        </w:tc>
        <w:tc>
          <w:tcPr>
            <w:tcW w:w="320" w:type="dxa"/>
            <w:vAlign w:val="bottom"/>
          </w:tcPr>
          <w:p>
            <w:pPr>
              <w:spacing w:after="0"/>
              <w:rPr>
                <w:sz w:val="24"/>
                <w:szCs w:val="24"/>
                <w:color w:val="auto"/>
              </w:rPr>
            </w:pPr>
          </w:p>
        </w:tc>
        <w:tc>
          <w:tcPr>
            <w:tcW w:w="4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1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March 3, 2021</w:t>
            </w:r>
          </w:p>
        </w:tc>
        <w:tc>
          <w:tcPr>
            <w:tcW w:w="0" w:type="dxa"/>
            <w:vAlign w:val="bottom"/>
          </w:tcPr>
          <w:p>
            <w:pPr>
              <w:spacing w:after="0"/>
              <w:rPr>
                <w:sz w:val="1"/>
                <w:szCs w:val="1"/>
                <w:color w:val="auto"/>
              </w:rPr>
            </w:pPr>
          </w:p>
        </w:tc>
      </w:tr>
      <w:tr>
        <w:trPr>
          <w:trHeight w:val="237"/>
        </w:trPr>
        <w:tc>
          <w:tcPr>
            <w:tcW w:w="3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Laura Sepp-Lorenzino, Ph.D.</w:t>
            </w:r>
          </w:p>
        </w:tc>
        <w:tc>
          <w:tcPr>
            <w:tcW w:w="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00"/>
          </w:cols>
          <w:pgMar w:left="320" w:top="333" w:right="37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TAYSHA GENE THERAPIES, INC. COMMON STOCK</w:t>
      </w:r>
    </w:p>
    <w:p>
      <w:pPr>
        <w:spacing w:after="0" w:line="10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i w:val="1"/>
          <w:iCs w:val="1"/>
          <w:color w:val="auto"/>
        </w:rPr>
        <w:t>The following description of the common stock of Taysha Gene Therapies, Inc., or the Company, and certain provisions of the Company’s amended and restated certificate of incorporation, or the restated certificate, and amended and restated bylaws, or restated bylaws, are summaries. These summaries are qualified in the entirety by reference to the provisions of the Delaware General Corporation Law and the complete text of the restated certificate and restated bylaws, which are incorporated by reference as Exhibits 3.1 and 3.2, respectively, of the Company’s Annual Report on Form 10-K to which this description is also an exhibit.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ind w:right="160" w:firstLine="734"/>
        <w:spacing w:after="0" w:line="254" w:lineRule="auto"/>
        <w:rPr>
          <w:sz w:val="20"/>
          <w:szCs w:val="20"/>
          <w:color w:val="auto"/>
        </w:rPr>
      </w:pPr>
      <w:r>
        <w:rPr>
          <w:rFonts w:ascii="Times New Roman" w:cs="Times New Roman" w:eastAsia="Times New Roman" w:hAnsi="Times New Roman"/>
          <w:sz w:val="20"/>
          <w:szCs w:val="20"/>
          <w:color w:val="auto"/>
        </w:rPr>
        <w:t>The restated certificate authorizes us to issue up to 200,000,000 shares of common stock, $0.00001 par value per share, and 10,000,000 shares of preferred stock, $0.00001 par value per share, all of which shares of preferred stock are undesignated. The Company’s board of directors may establish the rights and preferences of the preferred stock from time to time.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12" w:lineRule="exact"/>
        <w:rPr>
          <w:sz w:val="20"/>
          <w:szCs w:val="20"/>
          <w:color w:val="auto"/>
        </w:rPr>
      </w:pPr>
    </w:p>
    <w:p>
      <w:pPr>
        <w:ind w:right="160" w:firstLine="734"/>
        <w:spacing w:after="0" w:line="263" w:lineRule="auto"/>
        <w:rPr>
          <w:sz w:val="20"/>
          <w:szCs w:val="20"/>
          <w:color w:val="auto"/>
        </w:rPr>
      </w:pPr>
      <w:r>
        <w:rPr>
          <w:rFonts w:ascii="Times New Roman" w:cs="Times New Roman" w:eastAsia="Times New Roman" w:hAnsi="Times New Roman"/>
          <w:sz w:val="19"/>
          <w:szCs w:val="19"/>
          <w:color w:val="auto"/>
        </w:rPr>
        <w:t>Each holder of the Company’s common stock is entitled to one vote for each share on all matters submitted to a vote of the stockholders, including the election of directors. The affirmative vote of holders of at least 66</w:t>
      </w:r>
      <w:r>
        <w:rPr>
          <w:rFonts w:ascii="Times New Roman" w:cs="Times New Roman" w:eastAsia="Times New Roman" w:hAnsi="Times New Roman"/>
          <w:sz w:val="15"/>
          <w:szCs w:val="15"/>
          <w:color w:val="auto"/>
        </w:rPr>
        <w:t>2</w:t>
      </w: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19"/>
          <w:szCs w:val="19"/>
          <w:color w:val="auto"/>
        </w:rPr>
        <w:t>% of the voting power of all of the then-outstanding shares of capital stock, voting as a single class, is required to amend certain provisions of the restated certificate, including provisions relating to amending the Company’s restated bylaws, the classified board, the size of the Company’s board, removal of directors, director liability, vacancies on the Company’s board, special meetings, stockholder notices, actions by written consent and exclusive forum.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12" w:lineRule="exact"/>
        <w:rPr>
          <w:sz w:val="20"/>
          <w:szCs w:val="20"/>
          <w:color w:val="auto"/>
        </w:rPr>
      </w:pPr>
    </w:p>
    <w:p>
      <w:pPr>
        <w:ind w:right="500" w:firstLine="734"/>
        <w:spacing w:after="0" w:line="295" w:lineRule="auto"/>
        <w:rPr>
          <w:sz w:val="20"/>
          <w:szCs w:val="20"/>
          <w:color w:val="auto"/>
        </w:rPr>
      </w:pPr>
      <w:r>
        <w:rPr>
          <w:rFonts w:ascii="Times New Roman" w:cs="Times New Roman" w:eastAsia="Times New Roman" w:hAnsi="Times New Roman"/>
          <w:sz w:val="19"/>
          <w:szCs w:val="19"/>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112" w:lineRule="exact"/>
        <w:rPr>
          <w:sz w:val="20"/>
          <w:szCs w:val="20"/>
          <w:color w:val="auto"/>
        </w:rPr>
      </w:pPr>
    </w:p>
    <w:p>
      <w:pPr>
        <w:jc w:val="both"/>
        <w:ind w:right="260" w:firstLine="734"/>
        <w:spacing w:after="0" w:line="254" w:lineRule="auto"/>
        <w:rPr>
          <w:sz w:val="20"/>
          <w:szCs w:val="20"/>
          <w:color w:val="auto"/>
        </w:rPr>
      </w:pPr>
      <w:r>
        <w:rPr>
          <w:rFonts w:ascii="Times New Roman" w:cs="Times New Roman" w:eastAsia="Times New Roman" w:hAnsi="Times New Roman"/>
          <w:sz w:val="20"/>
          <w:szCs w:val="20"/>
          <w:color w:val="auto"/>
        </w:rPr>
        <w:t>In the event of the Company’s liquidation, dissolution or winding up, holders of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and Preferences</w:t>
      </w:r>
    </w:p>
    <w:p>
      <w:pPr>
        <w:spacing w:after="0" w:line="112" w:lineRule="exact"/>
        <w:rPr>
          <w:sz w:val="20"/>
          <w:szCs w:val="20"/>
          <w:color w:val="auto"/>
        </w:rPr>
      </w:pPr>
    </w:p>
    <w:p>
      <w:pPr>
        <w:ind w:right="80" w:firstLine="734"/>
        <w:spacing w:after="0" w:line="249" w:lineRule="auto"/>
        <w:rPr>
          <w:sz w:val="20"/>
          <w:szCs w:val="20"/>
          <w:color w:val="auto"/>
        </w:rPr>
      </w:pPr>
      <w:r>
        <w:rPr>
          <w:rFonts w:ascii="Times New Roman" w:cs="Times New Roman" w:eastAsia="Times New Roman" w:hAnsi="Times New Roman"/>
          <w:sz w:val="20"/>
          <w:szCs w:val="20"/>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the Company’s board of directors may designate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244505395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203 of the Delaware General Corporation Law</w:t>
      </w:r>
    </w:p>
    <w:p>
      <w:pPr>
        <w:spacing w:after="0" w:line="112" w:lineRule="exact"/>
        <w:rPr>
          <w:sz w:val="20"/>
          <w:szCs w:val="20"/>
          <w:color w:val="auto"/>
        </w:rPr>
      </w:pPr>
    </w:p>
    <w:p>
      <w:pPr>
        <w:ind w:right="100" w:firstLine="734"/>
        <w:spacing w:after="0" w:line="254" w:lineRule="auto"/>
        <w:rPr>
          <w:sz w:val="20"/>
          <w:szCs w:val="20"/>
          <w:color w:val="auto"/>
        </w:rPr>
      </w:pPr>
      <w:r>
        <w:rPr>
          <w:rFonts w:ascii="Times New Roman" w:cs="Times New Roman" w:eastAsia="Times New Roman" w:hAnsi="Times New Roman"/>
          <w:sz w:val="20"/>
          <w:szCs w:val="20"/>
          <w:color w:val="auto"/>
        </w:rPr>
        <w:t>The Company is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74" w:lineRule="exact"/>
        <w:rPr>
          <w:sz w:val="20"/>
          <w:szCs w:val="20"/>
          <w:color w:val="auto"/>
        </w:rPr>
      </w:pPr>
    </w:p>
    <w:p>
      <w:pPr>
        <w:ind w:left="880" w:hanging="440"/>
        <w:spacing w:after="0" w:line="269" w:lineRule="auto"/>
        <w:tabs>
          <w:tab w:leader="none" w:pos="8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such date, the board of directors of the corporation approved either the business combination or the transaction that resulted in the stockholder becoming an interested stockholder;</w:t>
      </w:r>
    </w:p>
    <w:p>
      <w:pPr>
        <w:spacing w:after="0" w:line="159" w:lineRule="exact"/>
        <w:rPr>
          <w:rFonts w:ascii="Times New Roman" w:cs="Times New Roman" w:eastAsia="Times New Roman" w:hAnsi="Times New Roman"/>
          <w:sz w:val="20"/>
          <w:szCs w:val="20"/>
          <w:color w:val="auto"/>
        </w:rPr>
      </w:pPr>
    </w:p>
    <w:p>
      <w:pPr>
        <w:ind w:left="880" w:right="20" w:hanging="440"/>
        <w:spacing w:after="0" w:line="263" w:lineRule="auto"/>
        <w:tabs>
          <w:tab w:leader="none" w:pos="88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66" w:lineRule="exact"/>
        <w:rPr>
          <w:rFonts w:ascii="Times New Roman" w:cs="Times New Roman" w:eastAsia="Times New Roman" w:hAnsi="Times New Roman"/>
          <w:sz w:val="19"/>
          <w:szCs w:val="19"/>
          <w:color w:val="auto"/>
        </w:rPr>
      </w:pPr>
    </w:p>
    <w:p>
      <w:pPr>
        <w:ind w:left="880" w:right="120" w:hanging="440"/>
        <w:spacing w:after="0" w:line="254" w:lineRule="auto"/>
        <w:tabs>
          <w:tab w:leader="none" w:pos="8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 of the outstanding voting stock that is not owned by the interested stockholder.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general, Section 203 defines a “business combination” to include the following:</w:t>
      </w:r>
    </w:p>
    <w:p>
      <w:pPr>
        <w:spacing w:after="0" w:line="216" w:lineRule="exact"/>
        <w:rPr>
          <w:sz w:val="20"/>
          <w:szCs w:val="20"/>
          <w:color w:val="auto"/>
        </w:rPr>
      </w:pPr>
    </w:p>
    <w:p>
      <w:pPr>
        <w:ind w:left="880" w:right="180" w:hanging="440"/>
        <w:spacing w:after="0" w:line="269" w:lineRule="auto"/>
        <w:tabs>
          <w:tab w:leader="none" w:pos="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involving the corporation or any direct or indirect majority-owned subsidiary of the corporation and the interested stockholder;</w:t>
      </w:r>
    </w:p>
    <w:p>
      <w:pPr>
        <w:spacing w:after="0" w:line="159" w:lineRule="exact"/>
        <w:rPr>
          <w:rFonts w:ascii="Times New Roman" w:cs="Times New Roman" w:eastAsia="Times New Roman" w:hAnsi="Times New Roman"/>
          <w:sz w:val="20"/>
          <w:szCs w:val="20"/>
          <w:color w:val="auto"/>
        </w:rPr>
      </w:pPr>
    </w:p>
    <w:p>
      <w:pPr>
        <w:ind w:left="880" w:right="120" w:hanging="440"/>
        <w:spacing w:after="0" w:line="269" w:lineRule="auto"/>
        <w:tabs>
          <w:tab w:leader="none" w:pos="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transfer, pledge or other disposition of 10% or more of the assets of the corporation involving the interested stockholder (in one transaction or a series of transactions);</w:t>
      </w:r>
    </w:p>
    <w:p>
      <w:pPr>
        <w:spacing w:after="0" w:line="159" w:lineRule="exact"/>
        <w:rPr>
          <w:rFonts w:ascii="Times New Roman" w:cs="Times New Roman" w:eastAsia="Times New Roman" w:hAnsi="Times New Roman"/>
          <w:sz w:val="20"/>
          <w:szCs w:val="20"/>
          <w:color w:val="auto"/>
        </w:rPr>
      </w:pPr>
    </w:p>
    <w:p>
      <w:pPr>
        <w:ind w:left="880" w:right="140" w:hanging="440"/>
        <w:spacing w:after="0" w:line="295" w:lineRule="auto"/>
        <w:tabs>
          <w:tab w:leader="none" w:pos="88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137" w:lineRule="exact"/>
        <w:rPr>
          <w:rFonts w:ascii="Times New Roman" w:cs="Times New Roman" w:eastAsia="Times New Roman" w:hAnsi="Times New Roman"/>
          <w:sz w:val="19"/>
          <w:szCs w:val="19"/>
          <w:color w:val="auto"/>
        </w:rPr>
      </w:pPr>
    </w:p>
    <w:p>
      <w:pPr>
        <w:ind w:left="880" w:right="80" w:hanging="440"/>
        <w:spacing w:after="0" w:line="254" w:lineRule="auto"/>
        <w:tabs>
          <w:tab w:leader="none" w:pos="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174" w:lineRule="exact"/>
        <w:rPr>
          <w:rFonts w:ascii="Times New Roman" w:cs="Times New Roman" w:eastAsia="Times New Roman" w:hAnsi="Times New Roman"/>
          <w:sz w:val="20"/>
          <w:szCs w:val="20"/>
          <w:color w:val="auto"/>
        </w:rPr>
      </w:pPr>
    </w:p>
    <w:p>
      <w:pPr>
        <w:ind w:left="880" w:right="40" w:hanging="440"/>
        <w:spacing w:after="0" w:line="269" w:lineRule="auto"/>
        <w:tabs>
          <w:tab w:leader="none" w:pos="8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interested stockholder of the benefit of any loans, advances, guarantees, pledges or other financial benefits by or through the corporation.</w:t>
      </w:r>
    </w:p>
    <w:p>
      <w:pPr>
        <w:spacing w:after="0" w:line="159" w:lineRule="exact"/>
        <w:rPr>
          <w:sz w:val="20"/>
          <w:szCs w:val="20"/>
          <w:color w:val="auto"/>
        </w:rPr>
      </w:pPr>
    </w:p>
    <w:p>
      <w:pPr>
        <w:ind w:right="160" w:firstLine="864"/>
        <w:spacing w:after="0" w:line="254" w:lineRule="auto"/>
        <w:rPr>
          <w:sz w:val="20"/>
          <w:szCs w:val="20"/>
          <w:color w:val="auto"/>
        </w:rPr>
      </w:pPr>
      <w:r>
        <w:rPr>
          <w:rFonts w:ascii="Times New Roman" w:cs="Times New Roman" w:eastAsia="Times New Roman" w:hAnsi="Times New Roman"/>
          <w:sz w:val="20"/>
          <w:szCs w:val="20"/>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244505395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6"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Certificate of Incorporation and Amended and Restated Bylaws</w:t>
      </w:r>
    </w:p>
    <w:p>
      <w:pPr>
        <w:spacing w:after="0" w:line="112" w:lineRule="exact"/>
        <w:rPr>
          <w:sz w:val="20"/>
          <w:szCs w:val="20"/>
          <w:color w:val="auto"/>
        </w:rPr>
      </w:pPr>
    </w:p>
    <w:p>
      <w:pPr>
        <w:ind w:firstLine="734"/>
        <w:spacing w:after="0" w:line="243" w:lineRule="auto"/>
        <w:rPr>
          <w:sz w:val="20"/>
          <w:szCs w:val="20"/>
          <w:color w:val="auto"/>
        </w:rPr>
      </w:pPr>
      <w:r>
        <w:rPr>
          <w:rFonts w:ascii="Times New Roman" w:cs="Times New Roman" w:eastAsia="Times New Roman" w:hAnsi="Times New Roman"/>
          <w:sz w:val="20"/>
          <w:szCs w:val="20"/>
          <w:color w:val="auto"/>
        </w:rPr>
        <w:t>The restated certificate provides for the Company’s board of directors to be divided into three classes with staggered three-year terms. Only one class of directors will be elected at each annual meeting of the Company’s stockholders, with the other classes continuing for the remainder of their respective three-year terms. Because the Company’s stockholders do not have cumulative voting rights, stockholders holding a majority of the shares of common stock outstanding will be able to elect all of the Company’s directors. The restated certificate and restated bylaws provide that directors may be removed by the stockholders only for cause upon the vote of 66</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 or more of the Company’s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9" w:lineRule="exact"/>
        <w:rPr>
          <w:sz w:val="20"/>
          <w:szCs w:val="20"/>
          <w:color w:val="auto"/>
        </w:rPr>
      </w:pPr>
    </w:p>
    <w:p>
      <w:pPr>
        <w:ind w:right="40" w:firstLine="734"/>
        <w:spacing w:after="0" w:line="249" w:lineRule="auto"/>
        <w:rPr>
          <w:sz w:val="20"/>
          <w:szCs w:val="20"/>
          <w:color w:val="auto"/>
        </w:rPr>
      </w:pPr>
      <w:r>
        <w:rPr>
          <w:rFonts w:ascii="Times New Roman" w:cs="Times New Roman" w:eastAsia="Times New Roman" w:hAnsi="Times New Roman"/>
          <w:sz w:val="20"/>
          <w:szCs w:val="20"/>
          <w:color w:val="auto"/>
        </w:rPr>
        <w:t>The restated certificate and restated bylaws also provide that all stockholder actions must be effected at a duly called meeting of stockholders and will eliminate the right of stockholders to act by written consent without a meeting. The restated bylaws provide that only the Company’s Chairman of the board,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ind w:right="60" w:firstLine="734"/>
        <w:spacing w:after="0" w:line="254" w:lineRule="auto"/>
        <w:rPr>
          <w:sz w:val="20"/>
          <w:szCs w:val="20"/>
          <w:color w:val="auto"/>
        </w:rPr>
      </w:pPr>
      <w:r>
        <w:rPr>
          <w:rFonts w:ascii="Times New Roman" w:cs="Times New Roman" w:eastAsia="Times New Roman" w:hAnsi="Times New Roman"/>
          <w:sz w:val="20"/>
          <w:szCs w:val="20"/>
          <w:color w:val="auto"/>
        </w:rPr>
        <w:t>The restated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74" w:lineRule="exact"/>
        <w:rPr>
          <w:sz w:val="20"/>
          <w:szCs w:val="20"/>
          <w:color w:val="auto"/>
        </w:rPr>
      </w:pPr>
    </w:p>
    <w:p>
      <w:pPr>
        <w:ind w:right="380" w:firstLine="734"/>
        <w:spacing w:after="0" w:line="269" w:lineRule="auto"/>
        <w:rPr>
          <w:sz w:val="20"/>
          <w:szCs w:val="20"/>
          <w:color w:val="auto"/>
        </w:rPr>
      </w:pPr>
      <w:r>
        <w:rPr>
          <w:rFonts w:ascii="Times New Roman" w:cs="Times New Roman" w:eastAsia="Times New Roman" w:hAnsi="Times New Roman"/>
          <w:sz w:val="20"/>
          <w:szCs w:val="20"/>
          <w:color w:val="auto"/>
        </w:rPr>
        <w:t>The restated certificate and restated bylaws provide that the stockholders cannot amend many of the provisions described above except by a vote of 66</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 or more of the Company’s outstanding common stock.</w:t>
      </w:r>
    </w:p>
    <w:p>
      <w:pPr>
        <w:spacing w:after="0" w:line="159" w:lineRule="exact"/>
        <w:rPr>
          <w:sz w:val="20"/>
          <w:szCs w:val="20"/>
          <w:color w:val="auto"/>
        </w:rPr>
      </w:pPr>
    </w:p>
    <w:p>
      <w:pPr>
        <w:ind w:right="360" w:firstLine="734"/>
        <w:spacing w:after="0" w:line="254" w:lineRule="auto"/>
        <w:rPr>
          <w:sz w:val="20"/>
          <w:szCs w:val="20"/>
          <w:color w:val="auto"/>
        </w:rPr>
      </w:pPr>
      <w:r>
        <w:rPr>
          <w:rFonts w:ascii="Times New Roman" w:cs="Times New Roman" w:eastAsia="Times New Roman" w:hAnsi="Times New Roman"/>
          <w:sz w:val="20"/>
          <w:szCs w:val="20"/>
          <w:color w:val="auto"/>
        </w:rPr>
        <w:t>The restated certificates gives the Company’s board of directors the authority, without further action by the Company’s stockholders, to issue up to 10,000,000 shares of preferred stock in one or more series, with any rights, preferences and privileges as they may designate, including the right to approve an acquisition or other change in control.</w:t>
      </w:r>
    </w:p>
    <w:p>
      <w:pPr>
        <w:spacing w:after="0" w:line="174" w:lineRule="exact"/>
        <w:rPr>
          <w:sz w:val="20"/>
          <w:szCs w:val="20"/>
          <w:color w:val="auto"/>
        </w:rPr>
      </w:pPr>
    </w:p>
    <w:p>
      <w:pPr>
        <w:ind w:right="100" w:firstLine="734"/>
        <w:spacing w:after="0" w:line="245" w:lineRule="auto"/>
        <w:rPr>
          <w:sz w:val="20"/>
          <w:szCs w:val="20"/>
          <w:color w:val="auto"/>
        </w:rPr>
      </w:pPr>
      <w:r>
        <w:rPr>
          <w:rFonts w:ascii="Times New Roman" w:cs="Times New Roman" w:eastAsia="Times New Roman" w:hAnsi="Times New Roman"/>
          <w:sz w:val="20"/>
          <w:szCs w:val="20"/>
          <w:color w:val="auto"/>
        </w:rPr>
        <w:t>The combination of these provisions will make it more difficult for the Company’s existing stockholders to replace the Company’s board of directors as well as for another party to obtain control of the Company by replacing the Company’s board of directors. Since the Company’s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control of the Company.</w:t>
      </w:r>
    </w:p>
    <w:p>
      <w:pPr>
        <w:spacing w:after="0" w:line="184" w:lineRule="exact"/>
        <w:rPr>
          <w:sz w:val="20"/>
          <w:szCs w:val="20"/>
          <w:color w:val="auto"/>
        </w:rPr>
      </w:pPr>
    </w:p>
    <w:p>
      <w:pPr>
        <w:ind w:right="240" w:firstLine="734"/>
        <w:spacing w:after="0" w:line="244" w:lineRule="auto"/>
        <w:rPr>
          <w:sz w:val="20"/>
          <w:szCs w:val="20"/>
          <w:color w:val="auto"/>
        </w:rPr>
      </w:pPr>
      <w:r>
        <w:rPr>
          <w:rFonts w:ascii="Times New Roman" w:cs="Times New Roman" w:eastAsia="Times New Roman" w:hAnsi="Times New Roman"/>
          <w:sz w:val="20"/>
          <w:szCs w:val="20"/>
          <w:color w:val="auto"/>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 that could result from actual or rumored takeover attempts. The Company believes that the benefits of these provisions, including increased protection of the Company’s potential ability to negotiate with the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244505395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7" w:name="page148"/>
    <w:bookmarkEnd w:id="147"/>
    <w:p>
      <w:pPr>
        <w:ind w:right="740"/>
        <w:spacing w:after="0" w:line="269" w:lineRule="auto"/>
        <w:rPr>
          <w:sz w:val="20"/>
          <w:szCs w:val="20"/>
          <w:color w:val="auto"/>
        </w:rPr>
      </w:pPr>
      <w:r>
        <w:rPr>
          <w:rFonts w:ascii="Times New Roman" w:cs="Times New Roman" w:eastAsia="Times New Roman" w:hAnsi="Times New Roman"/>
          <w:sz w:val="20"/>
          <w:szCs w:val="20"/>
          <w:color w:val="auto"/>
        </w:rPr>
        <w:t>proponent of an unfriendly or unsolicited proposal to acquire or restructure the Company’s company, outweigh the disadvantages of discouraging takeover proposals, because negotiation of takeover proposals could result in an improvement of their terms.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220" w:lineRule="exact"/>
        <w:rPr>
          <w:sz w:val="20"/>
          <w:szCs w:val="20"/>
          <w:color w:val="auto"/>
        </w:rPr>
      </w:pPr>
    </w:p>
    <w:p>
      <w:pPr>
        <w:ind w:firstLine="734"/>
        <w:spacing w:after="0" w:line="269" w:lineRule="auto"/>
        <w:rPr>
          <w:sz w:val="20"/>
          <w:szCs w:val="20"/>
          <w:color w:val="auto"/>
        </w:rPr>
      </w:pPr>
      <w:r>
        <w:rPr>
          <w:rFonts w:ascii="Times New Roman" w:cs="Times New Roman" w:eastAsia="Times New Roman" w:hAnsi="Times New Roman"/>
          <w:sz w:val="20"/>
          <w:szCs w:val="20"/>
          <w:color w:val="auto"/>
        </w:rPr>
        <w:t>The transfer agent and registrar for the Company’s common stock is American Stock Transfer &amp; Trust Company, LLC. The transfer agent’s address is 6201 15th Avenue, Brooklyn, New York 11219.</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The common stock is listed on the Nasdaq Global Select Market under the trading symbol “TSHA.”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244505395 v1</w:t>
      </w:r>
    </w:p>
    <w:p>
      <w:pPr>
        <w:sectPr>
          <w:pgSz w:w="11900" w:h="16838" w:orient="portrait"/>
          <w:cols w:equalWidth="0" w:num="1">
            <w:col w:w="11180"/>
          </w:cols>
          <w:pgMar w:left="320" w:top="562" w:right="399" w:bottom="1440" w:gutter="0" w:footer="0" w:header="0"/>
        </w:sectPr>
      </w:pPr>
    </w:p>
    <w:bookmarkStart w:id="148" w:name="page149"/>
    <w:bookmarkEnd w:id="148"/>
    <w:p>
      <w:pPr>
        <w:ind w:left="10120"/>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5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Certain information has been excluded from this agreement (indicated by “[***]”) because Taysha Gene Therapies, Inc. has determined such information (i) is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LICENSE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DATED AS OF </w:t>
      </w:r>
      <w:r>
        <w:rPr>
          <w:rFonts w:ascii="Times New Roman" w:cs="Times New Roman" w:eastAsia="Times New Roman" w:hAnsi="Times New Roman"/>
          <w:sz w:val="19"/>
          <w:szCs w:val="19"/>
          <w:color w:val="auto"/>
        </w:rPr>
        <w:t>O</w:t>
      </w:r>
      <w:r>
        <w:rPr>
          <w:rFonts w:ascii="Times New Roman" w:cs="Times New Roman" w:eastAsia="Times New Roman" w:hAnsi="Times New Roman"/>
          <w:sz w:val="13"/>
          <w:szCs w:val="13"/>
          <w:color w:val="auto"/>
        </w:rPr>
        <w:t xml:space="preserve">CTOBER </w:t>
      </w:r>
      <w:r>
        <w:rPr>
          <w:rFonts w:ascii="Times New Roman" w:cs="Times New Roman" w:eastAsia="Times New Roman" w:hAnsi="Times New Roman"/>
          <w:sz w:val="19"/>
          <w:szCs w:val="19"/>
          <w:color w:val="auto"/>
        </w:rPr>
        <w:t>29, 2020</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BY AND BETWEEN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3"/>
          <w:szCs w:val="13"/>
          <w:color w:val="auto"/>
        </w:rPr>
        <w:t>BEONA</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HERAPEUTICS</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AYSHA</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3"/>
          <w:szCs w:val="13"/>
          <w:color w:val="auto"/>
        </w:rPr>
        <w:t>ENE</w:t>
      </w:r>
      <w:r>
        <w:rPr>
          <w:rFonts w:ascii="Times New Roman" w:cs="Times New Roman" w:eastAsia="Times New Roman" w:hAnsi="Times New Roman"/>
          <w:sz w:val="20"/>
          <w:szCs w:val="20"/>
          <w:color w:val="auto"/>
        </w:rPr>
        <w:t xml:space="preserve"> T</w:t>
      </w:r>
      <w:r>
        <w:rPr>
          <w:rFonts w:ascii="Times New Roman" w:cs="Times New Roman" w:eastAsia="Times New Roman" w:hAnsi="Times New Roman"/>
          <w:sz w:val="13"/>
          <w:szCs w:val="13"/>
          <w:color w:val="auto"/>
        </w:rPr>
        <w:t>HERAPIES</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3126105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61"/>
        </w:trPr>
        <w:tc>
          <w:tcPr>
            <w:tcW w:w="940" w:type="dxa"/>
            <w:vAlign w:val="bottom"/>
          </w:tcPr>
          <w:p>
            <w:pPr>
              <w:spacing w:after="0"/>
              <w:rPr>
                <w:sz w:val="22"/>
                <w:szCs w:val="22"/>
                <w:color w:val="auto"/>
              </w:rPr>
            </w:pPr>
          </w:p>
        </w:tc>
        <w:tc>
          <w:tcPr>
            <w:tcW w:w="846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840" w:type="dxa"/>
            <w:vAlign w:val="bottom"/>
          </w:tcPr>
          <w:p>
            <w:pPr>
              <w:spacing w:after="0"/>
              <w:rPr>
                <w:sz w:val="22"/>
                <w:szCs w:val="22"/>
                <w:color w:val="auto"/>
              </w:rPr>
            </w:pPr>
          </w:p>
        </w:tc>
      </w:tr>
      <w:tr>
        <w:trPr>
          <w:trHeight w:val="459"/>
        </w:trPr>
        <w:tc>
          <w:tcPr>
            <w:tcW w:w="9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840" w:type="dxa"/>
            <w:vAlign w:val="bottom"/>
          </w:tcPr>
          <w:p>
            <w:pPr>
              <w:ind w:left="1420"/>
              <w:spacing w:after="0"/>
              <w:rPr>
                <w:sz w:val="20"/>
                <w:szCs w:val="20"/>
                <w:color w:val="auto"/>
              </w:rPr>
            </w:pPr>
            <w:r>
              <w:rPr>
                <w:rFonts w:ascii="Times New Roman" w:cs="Times New Roman" w:eastAsia="Times New Roman" w:hAnsi="Times New Roman"/>
                <w:sz w:val="20"/>
                <w:szCs w:val="20"/>
                <w:b w:val="1"/>
                <w:bCs w:val="1"/>
                <w:color w:val="auto"/>
                <w:w w:val="98"/>
              </w:rPr>
              <w:t>P</w:t>
            </w:r>
            <w:r>
              <w:rPr>
                <w:rFonts w:ascii="Times New Roman" w:cs="Times New Roman" w:eastAsia="Times New Roman" w:hAnsi="Times New Roman"/>
                <w:sz w:val="13"/>
                <w:szCs w:val="13"/>
                <w:b w:val="1"/>
                <w:bCs w:val="1"/>
                <w:color w:val="auto"/>
                <w:w w:val="98"/>
              </w:rPr>
              <w:t>AGE</w:t>
            </w:r>
          </w:p>
        </w:tc>
      </w:tr>
      <w:tr>
        <w:trPr>
          <w:trHeight w:val="743"/>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 DEFINITIONS</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1</w:t>
            </w:r>
          </w:p>
        </w:tc>
      </w:tr>
      <w:tr>
        <w:trPr>
          <w:trHeight w:val="283"/>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LICENSES AND OTHER RIGHTS</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7</w:t>
            </w: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2.1</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Grant of License to Company</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7</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2.2</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Grant of Sublicense by Company</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7</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2.3</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Technology Transfer</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8</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2.4</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Manufacturing Technology Transfer</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8</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2.5</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Procedures for Technology Transfer</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8</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2.6</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UNC Agreement</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8</w:t>
            </w: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2.7</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Edinburgh Agreement</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8</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2.8</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No Implied Licenses</w:t>
            </w:r>
            <w:r>
              <w:rPr>
                <w:rFonts w:ascii="Times New Roman" w:cs="Times New Roman" w:eastAsia="Times New Roman" w:hAnsi="Times New Roman"/>
                <w:sz w:val="20"/>
                <w:szCs w:val="20"/>
                <w:color w:val="auto"/>
              </w:rPr>
              <w:t>.</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8</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2.9</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Negative Covenant</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8</w:t>
            </w:r>
          </w:p>
        </w:tc>
      </w:tr>
      <w:tr>
        <w:trPr>
          <w:trHeight w:val="283"/>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DEVELOPMENT, MANUFACTURE AND COMMERCIALIZATION OF PRODUCT</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9</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3.1</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Development of the Licensed Product by Company</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9</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3.2</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Licensor Support in Development</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9</w:t>
            </w: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3.3</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Commercialization</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9</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3.4</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Clinical and Commercial Manufacturing</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9</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3.5</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Diligence by Company</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9</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3.6</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Trademarks</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9</w:t>
            </w: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3.7</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Reporting</w:t>
            </w:r>
          </w:p>
        </w:tc>
        <w:tc>
          <w:tcPr>
            <w:tcW w:w="1840" w:type="dxa"/>
            <w:vAlign w:val="bottom"/>
          </w:tcPr>
          <w:p>
            <w:pPr>
              <w:jc w:val="center"/>
              <w:ind w:left="1281"/>
              <w:spacing w:after="0"/>
              <w:rPr>
                <w:sz w:val="20"/>
                <w:szCs w:val="20"/>
                <w:color w:val="auto"/>
              </w:rPr>
            </w:pPr>
            <w:r>
              <w:rPr>
                <w:rFonts w:ascii="Times New Roman" w:cs="Times New Roman" w:eastAsia="Times New Roman" w:hAnsi="Times New Roman"/>
                <w:sz w:val="20"/>
                <w:szCs w:val="20"/>
                <w:color w:val="auto"/>
                <w:w w:val="99"/>
              </w:rPr>
              <w:t>9</w:t>
            </w:r>
          </w:p>
        </w:tc>
      </w:tr>
      <w:tr>
        <w:trPr>
          <w:trHeight w:val="283"/>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REGULATORY MATTERS</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10</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4.1</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Regulatory Filings</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10</w:t>
            </w: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4.2</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Communications with Authorities</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10</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4.3</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Licensor Support in Regulatory Matters</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10</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4.4</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Recalls</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10</w:t>
            </w:r>
          </w:p>
        </w:tc>
      </w:tr>
      <w:tr>
        <w:trPr>
          <w:trHeight w:val="284"/>
        </w:trPr>
        <w:tc>
          <w:tcPr>
            <w:tcW w:w="9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5 FINANCIAL PROVISIONS</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10</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5.1</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Initial Fee</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10</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5.2</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Milestone Payments</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10</w:t>
            </w: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5.3</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Commercial Event Payments</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11</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5.4</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Royalty Payments for Licensed Product</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11</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5.5</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Existing Third-Party Agreements</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12</w:t>
            </w: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5.6</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Timing of Payment</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12</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5.7</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Mode of Payment and Currency; Invoices</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12</w:t>
            </w: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5.8</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Royalty Reports</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12</w:t>
            </w: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5.9</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Late Payments</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12</w:t>
            </w: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5.10</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Audits</w:t>
            </w:r>
            <w:r>
              <w:rPr>
                <w:rFonts w:ascii="Times New Roman" w:cs="Times New Roman" w:eastAsia="Times New Roman" w:hAnsi="Times New Roman"/>
                <w:sz w:val="20"/>
                <w:szCs w:val="20"/>
                <w:color w:val="auto"/>
              </w:rPr>
              <w:t>.</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12</w:t>
            </w:r>
          </w:p>
        </w:tc>
      </w:tr>
      <w:tr>
        <w:trPr>
          <w:trHeight w:val="284"/>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5.11</w:t>
            </w:r>
          </w:p>
        </w:tc>
        <w:tc>
          <w:tcPr>
            <w:tcW w:w="846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1840" w:type="dxa"/>
            <w:vAlign w:val="bottom"/>
          </w:tcPr>
          <w:p>
            <w:pPr>
              <w:jc w:val="center"/>
              <w:ind w:left="1301"/>
              <w:spacing w:after="0"/>
              <w:rPr>
                <w:sz w:val="20"/>
                <w:szCs w:val="20"/>
                <w:color w:val="auto"/>
              </w:rPr>
            </w:pPr>
            <w:r>
              <w:rPr>
                <w:rFonts w:ascii="Times New Roman" w:cs="Times New Roman" w:eastAsia="Times New Roman" w:hAnsi="Times New Roman"/>
                <w:sz w:val="20"/>
                <w:szCs w:val="20"/>
                <w:color w:val="auto"/>
                <w:w w:val="99"/>
              </w:rPr>
              <w:t>13</w:t>
            </w: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3"/>
        </w:trPr>
        <w:tc>
          <w:tcPr>
            <w:tcW w:w="940" w:type="dxa"/>
            <w:vAlign w:val="bottom"/>
          </w:tcPr>
          <w:p>
            <w:pPr>
              <w:spacing w:after="0"/>
              <w:rPr>
                <w:sz w:val="20"/>
                <w:szCs w:val="20"/>
                <w:color w:val="auto"/>
              </w:rPr>
            </w:pPr>
          </w:p>
        </w:tc>
        <w:tc>
          <w:tcPr>
            <w:tcW w:w="7840" w:type="dxa"/>
            <w:vAlign w:val="bottom"/>
          </w:tcPr>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2"/>
                <w:szCs w:val="22"/>
                <w:color w:val="auto"/>
              </w:rPr>
            </w:pPr>
          </w:p>
        </w:tc>
        <w:tc>
          <w:tcPr>
            <w:tcW w:w="7840" w:type="dxa"/>
            <w:vAlign w:val="bottom"/>
          </w:tcPr>
          <w:p>
            <w:pPr>
              <w:ind w:left="42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CONTINUED</w:t>
            </w:r>
            <w:r>
              <w:rPr>
                <w:rFonts w:ascii="Times New Roman" w:cs="Times New Roman" w:eastAsia="Times New Roman" w:hAnsi="Times New Roman"/>
                <w:sz w:val="20"/>
                <w:szCs w:val="20"/>
                <w:color w:val="auto"/>
              </w:rPr>
              <w:t>)</w:t>
            </w:r>
          </w:p>
        </w:tc>
        <w:tc>
          <w:tcPr>
            <w:tcW w:w="2460" w:type="dxa"/>
            <w:vAlign w:val="bottom"/>
            <w:vMerge w:val="restart"/>
          </w:tcPr>
          <w:p>
            <w:pPr>
              <w:jc w:val="center"/>
              <w:ind w:left="1941"/>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AGE</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6 INVENTIONS AND PATENTS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13</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6.1</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Further Assurances</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13</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6.2</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Patent Prosecution and Maintenance</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14</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6.3</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Enforcement and Defense</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15</w:t>
            </w:r>
          </w:p>
        </w:tc>
        <w:tc>
          <w:tcPr>
            <w:tcW w:w="0" w:type="dxa"/>
            <w:vAlign w:val="bottom"/>
          </w:tcPr>
          <w:p>
            <w:pPr>
              <w:spacing w:after="0"/>
              <w:rPr>
                <w:sz w:val="1"/>
                <w:szCs w:val="1"/>
                <w:color w:val="auto"/>
              </w:rPr>
            </w:pP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CONFIDENTIALITY</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7.1</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Confidentiality Obligations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7.2</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Use</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16</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7.3</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Required Disclosure</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17</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7.4</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Publications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17</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7.5</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Press Releases and Disclosure</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17</w:t>
            </w:r>
          </w:p>
        </w:tc>
        <w:tc>
          <w:tcPr>
            <w:tcW w:w="0" w:type="dxa"/>
            <w:vAlign w:val="bottom"/>
          </w:tcPr>
          <w:p>
            <w:pPr>
              <w:spacing w:after="0"/>
              <w:rPr>
                <w:sz w:val="1"/>
                <w:szCs w:val="1"/>
                <w:color w:val="auto"/>
              </w:rPr>
            </w:pP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REPRESENTATIONS, WARRANTIES AND COVENANTS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18</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8.1</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18</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8.2</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Additional Representations and Warranties of Licensor</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18</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8.3</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Licensor Covenants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20</w:t>
            </w:r>
          </w:p>
        </w:tc>
        <w:tc>
          <w:tcPr>
            <w:tcW w:w="0" w:type="dxa"/>
            <w:vAlign w:val="bottom"/>
          </w:tcPr>
          <w:p>
            <w:pPr>
              <w:spacing w:after="0"/>
              <w:rPr>
                <w:sz w:val="1"/>
                <w:szCs w:val="1"/>
                <w:color w:val="auto"/>
              </w:rPr>
            </w:pPr>
          </w:p>
        </w:tc>
      </w:tr>
      <w:tr>
        <w:trPr>
          <w:trHeight w:val="283"/>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INDEMNIFICATION AND INSURANCE</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20</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9.1</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Indemnification by Company</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20</w:t>
            </w:r>
          </w:p>
        </w:tc>
        <w:tc>
          <w:tcPr>
            <w:tcW w:w="0" w:type="dxa"/>
            <w:vAlign w:val="bottom"/>
          </w:tcPr>
          <w:p>
            <w:pPr>
              <w:spacing w:after="0"/>
              <w:rPr>
                <w:sz w:val="1"/>
                <w:szCs w:val="1"/>
                <w:color w:val="auto"/>
              </w:rPr>
            </w:pPr>
          </w:p>
        </w:tc>
      </w:tr>
      <w:tr>
        <w:trPr>
          <w:trHeight w:val="284"/>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9.2</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Indemnification by Licensor</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20</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9.3</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No Consequential Damages</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21</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9.4</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Notification of Claims; Conditions to Indemnification Obligations</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21</w:t>
            </w:r>
          </w:p>
        </w:tc>
        <w:tc>
          <w:tcPr>
            <w:tcW w:w="0" w:type="dxa"/>
            <w:vAlign w:val="bottom"/>
          </w:tcPr>
          <w:p>
            <w:pPr>
              <w:spacing w:after="0"/>
              <w:rPr>
                <w:sz w:val="1"/>
                <w:szCs w:val="1"/>
                <w:color w:val="auto"/>
              </w:rPr>
            </w:pPr>
          </w:p>
        </w:tc>
      </w:tr>
      <w:tr>
        <w:trPr>
          <w:trHeight w:val="283"/>
        </w:trPr>
        <w:tc>
          <w:tcPr>
            <w:tcW w:w="940" w:type="dxa"/>
            <w:vAlign w:val="bottom"/>
          </w:tcPr>
          <w:p>
            <w:pPr>
              <w:jc w:val="center"/>
              <w:ind w:left="121"/>
              <w:spacing w:after="0"/>
              <w:rPr>
                <w:sz w:val="20"/>
                <w:szCs w:val="20"/>
                <w:color w:val="auto"/>
              </w:rPr>
            </w:pPr>
            <w:r>
              <w:rPr>
                <w:rFonts w:ascii="Times New Roman" w:cs="Times New Roman" w:eastAsia="Times New Roman" w:hAnsi="Times New Roman"/>
                <w:sz w:val="20"/>
                <w:szCs w:val="20"/>
                <w:color w:val="auto"/>
                <w:w w:val="95"/>
              </w:rPr>
              <w:t>9.5</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21</w:t>
            </w:r>
          </w:p>
        </w:tc>
        <w:tc>
          <w:tcPr>
            <w:tcW w:w="0" w:type="dxa"/>
            <w:vAlign w:val="bottom"/>
          </w:tcPr>
          <w:p>
            <w:pPr>
              <w:spacing w:after="0"/>
              <w:rPr>
                <w:sz w:val="1"/>
                <w:szCs w:val="1"/>
                <w:color w:val="auto"/>
              </w:rPr>
            </w:pP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10 TERM AND TERMINATION</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21</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10.1</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Term and Expiration</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21</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10.2</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Termination of the Agreement for Convenience</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22</w:t>
            </w:r>
          </w:p>
        </w:tc>
        <w:tc>
          <w:tcPr>
            <w:tcW w:w="0" w:type="dxa"/>
            <w:vAlign w:val="bottom"/>
          </w:tcPr>
          <w:p>
            <w:pPr>
              <w:spacing w:after="0"/>
              <w:rPr>
                <w:sz w:val="1"/>
                <w:szCs w:val="1"/>
                <w:color w:val="auto"/>
              </w:rPr>
            </w:pPr>
          </w:p>
        </w:tc>
      </w:tr>
      <w:tr>
        <w:trPr>
          <w:trHeight w:val="284"/>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10.3</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Termination upon Material Breach</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22</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10.4</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Effects of Termination</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22</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10.5</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Termination on Bankruptcy or Insolvency</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24</w:t>
            </w:r>
          </w:p>
        </w:tc>
        <w:tc>
          <w:tcPr>
            <w:tcW w:w="0" w:type="dxa"/>
            <w:vAlign w:val="bottom"/>
          </w:tcPr>
          <w:p>
            <w:pPr>
              <w:spacing w:after="0"/>
              <w:rPr>
                <w:sz w:val="1"/>
                <w:szCs w:val="1"/>
                <w:color w:val="auto"/>
              </w:rPr>
            </w:pPr>
          </w:p>
        </w:tc>
      </w:tr>
      <w:tr>
        <w:trPr>
          <w:trHeight w:val="284"/>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10.6</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Other Remedies</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24</w:t>
            </w:r>
          </w:p>
        </w:tc>
        <w:tc>
          <w:tcPr>
            <w:tcW w:w="0" w:type="dxa"/>
            <w:vAlign w:val="bottom"/>
          </w:tcPr>
          <w:p>
            <w:pPr>
              <w:spacing w:after="0"/>
              <w:rPr>
                <w:sz w:val="1"/>
                <w:szCs w:val="1"/>
                <w:color w:val="auto"/>
              </w:rPr>
            </w:pPr>
          </w:p>
        </w:tc>
      </w:tr>
      <w:tr>
        <w:trPr>
          <w:trHeight w:val="283"/>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11 DISPUTE RESOLUTION</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11.1</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Escalation to Executive Officers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4"/>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11.2</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Injunctive Relief</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3"/>
        </w:trPr>
        <w:tc>
          <w:tcPr>
            <w:tcW w:w="8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12 MISCELLANEOUS PROVISIONS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12.1</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Relationship of the Parties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4"/>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12.2</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Assignment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12.3</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Performance and Exercise by Affiliates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12.4</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Further Actions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4"/>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12.5</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Force Majeure</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25</w:t>
            </w:r>
          </w:p>
        </w:tc>
        <w:tc>
          <w:tcPr>
            <w:tcW w:w="0" w:type="dxa"/>
            <w:vAlign w:val="bottom"/>
          </w:tcPr>
          <w:p>
            <w:pPr>
              <w:spacing w:after="0"/>
              <w:rPr>
                <w:sz w:val="1"/>
                <w:szCs w:val="1"/>
                <w:color w:val="auto"/>
              </w:rPr>
            </w:pPr>
          </w:p>
        </w:tc>
      </w:tr>
      <w:tr>
        <w:trPr>
          <w:trHeight w:val="283"/>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12.6</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No Trademark Rights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26</w:t>
            </w:r>
          </w:p>
        </w:tc>
        <w:tc>
          <w:tcPr>
            <w:tcW w:w="0" w:type="dxa"/>
            <w:vAlign w:val="bottom"/>
          </w:tcPr>
          <w:p>
            <w:pPr>
              <w:spacing w:after="0"/>
              <w:rPr>
                <w:sz w:val="1"/>
                <w:szCs w:val="1"/>
                <w:color w:val="auto"/>
              </w:rPr>
            </w:pPr>
          </w:p>
        </w:tc>
      </w:tr>
      <w:tr>
        <w:trPr>
          <w:trHeight w:val="284"/>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12.7</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Entire Agreement of the Parties; Amendments</w:t>
            </w:r>
            <w:r>
              <w:rPr>
                <w:rFonts w:ascii="Times New Roman" w:cs="Times New Roman" w:eastAsia="Times New Roman" w:hAnsi="Times New Roman"/>
                <w:sz w:val="20"/>
                <w:szCs w:val="20"/>
                <w:color w:val="auto"/>
              </w:rPr>
              <w:t>.</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26</w:t>
            </w:r>
          </w:p>
        </w:tc>
        <w:tc>
          <w:tcPr>
            <w:tcW w:w="0" w:type="dxa"/>
            <w:vAlign w:val="bottom"/>
          </w:tcPr>
          <w:p>
            <w:pPr>
              <w:spacing w:after="0"/>
              <w:rPr>
                <w:sz w:val="1"/>
                <w:szCs w:val="1"/>
                <w:color w:val="auto"/>
              </w:rPr>
            </w:pPr>
          </w:p>
        </w:tc>
      </w:tr>
      <w:tr>
        <w:trPr>
          <w:trHeight w:val="284"/>
        </w:trPr>
        <w:tc>
          <w:tcPr>
            <w:tcW w:w="94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7"/>
              </w:rPr>
              <w:t>12.8</w:t>
            </w:r>
          </w:p>
        </w:tc>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Captions</w:t>
            </w:r>
          </w:p>
        </w:tc>
        <w:tc>
          <w:tcPr>
            <w:tcW w:w="246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60" w:type="dxa"/>
            <w:vAlign w:val="bottom"/>
          </w:tcPr>
          <w:p>
            <w:pPr>
              <w:jc w:val="center"/>
              <w:ind w:right="3681"/>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r>
      <w:tr>
        <w:trPr>
          <w:trHeight w:val="225"/>
        </w:trPr>
        <w:tc>
          <w:tcPr>
            <w:tcW w:w="6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460" w:type="dxa"/>
            <w:vAlign w:val="bottom"/>
          </w:tcPr>
          <w:p>
            <w:pPr>
              <w:jc w:val="center"/>
              <w:ind w:right="3681"/>
              <w:spacing w:after="0" w:line="22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3"/>
                <w:szCs w:val="13"/>
                <w:color w:val="auto"/>
              </w:rPr>
              <w:t>CONTINUED</w:t>
            </w:r>
            <w:r>
              <w:rPr>
                <w:rFonts w:ascii="Times New Roman" w:cs="Times New Roman" w:eastAsia="Times New Roman" w:hAnsi="Times New Roman"/>
                <w:sz w:val="20"/>
                <w:szCs w:val="20"/>
                <w:color w:val="auto"/>
              </w:rPr>
              <w:t>)</w:t>
            </w:r>
          </w:p>
        </w:tc>
      </w:tr>
      <w:tr>
        <w:trPr>
          <w:trHeight w:val="262"/>
        </w:trPr>
        <w:tc>
          <w:tcPr>
            <w:tcW w:w="6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7460" w:type="dxa"/>
            <w:vAlign w:val="bottom"/>
          </w:tcPr>
          <w:p>
            <w:pPr>
              <w:jc w:val="center"/>
              <w:ind w:left="6941"/>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AGE</w:t>
            </w:r>
          </w:p>
        </w:tc>
      </w:tr>
      <w:tr>
        <w:trPr>
          <w:trHeight w:val="513"/>
        </w:trPr>
        <w:tc>
          <w:tcPr>
            <w:tcW w:w="60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7"/>
              </w:rPr>
              <w:t>12.9</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Governing Law</w:t>
            </w:r>
          </w:p>
        </w:tc>
        <w:tc>
          <w:tcPr>
            <w:tcW w:w="7460" w:type="dxa"/>
            <w:vAlign w:val="bottom"/>
          </w:tcPr>
          <w:p>
            <w:pPr>
              <w:jc w:val="center"/>
              <w:ind w:left="6921"/>
              <w:spacing w:after="0"/>
              <w:rPr>
                <w:sz w:val="20"/>
                <w:szCs w:val="20"/>
                <w:color w:val="auto"/>
              </w:rPr>
            </w:pPr>
            <w:r>
              <w:rPr>
                <w:rFonts w:ascii="Times New Roman" w:cs="Times New Roman" w:eastAsia="Times New Roman" w:hAnsi="Times New Roman"/>
                <w:sz w:val="20"/>
                <w:szCs w:val="20"/>
                <w:color w:val="auto"/>
                <w:w w:val="99"/>
              </w:rPr>
              <w:t>26</w:t>
            </w:r>
          </w:p>
        </w:tc>
      </w:tr>
      <w:tr>
        <w:trPr>
          <w:trHeight w:val="283"/>
        </w:trPr>
        <w:tc>
          <w:tcPr>
            <w:tcW w:w="60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7"/>
              </w:rPr>
              <w:t>12.10</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Notices and Deliveries</w:t>
            </w:r>
          </w:p>
        </w:tc>
        <w:tc>
          <w:tcPr>
            <w:tcW w:w="7460" w:type="dxa"/>
            <w:vAlign w:val="bottom"/>
          </w:tcPr>
          <w:p>
            <w:pPr>
              <w:jc w:val="center"/>
              <w:ind w:left="6921"/>
              <w:spacing w:after="0"/>
              <w:rPr>
                <w:sz w:val="20"/>
                <w:szCs w:val="20"/>
                <w:color w:val="auto"/>
              </w:rPr>
            </w:pPr>
            <w:r>
              <w:rPr>
                <w:rFonts w:ascii="Times New Roman" w:cs="Times New Roman" w:eastAsia="Times New Roman" w:hAnsi="Times New Roman"/>
                <w:sz w:val="20"/>
                <w:szCs w:val="20"/>
                <w:color w:val="auto"/>
                <w:w w:val="99"/>
              </w:rPr>
              <w:t>26</w:t>
            </w:r>
          </w:p>
        </w:tc>
      </w:tr>
      <w:tr>
        <w:trPr>
          <w:trHeight w:val="283"/>
        </w:trPr>
        <w:tc>
          <w:tcPr>
            <w:tcW w:w="60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7"/>
              </w:rPr>
              <w:t>12.11</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Waiver</w:t>
            </w:r>
          </w:p>
        </w:tc>
        <w:tc>
          <w:tcPr>
            <w:tcW w:w="7460" w:type="dxa"/>
            <w:vAlign w:val="bottom"/>
          </w:tcPr>
          <w:p>
            <w:pPr>
              <w:jc w:val="center"/>
              <w:ind w:left="6921"/>
              <w:spacing w:after="0"/>
              <w:rPr>
                <w:sz w:val="20"/>
                <w:szCs w:val="20"/>
                <w:color w:val="auto"/>
              </w:rPr>
            </w:pPr>
            <w:r>
              <w:rPr>
                <w:rFonts w:ascii="Times New Roman" w:cs="Times New Roman" w:eastAsia="Times New Roman" w:hAnsi="Times New Roman"/>
                <w:sz w:val="20"/>
                <w:szCs w:val="20"/>
                <w:color w:val="auto"/>
                <w:w w:val="99"/>
              </w:rPr>
              <w:t>27</w:t>
            </w:r>
          </w:p>
        </w:tc>
      </w:tr>
      <w:tr>
        <w:trPr>
          <w:trHeight w:val="283"/>
        </w:trPr>
        <w:tc>
          <w:tcPr>
            <w:tcW w:w="60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7"/>
              </w:rPr>
              <w:t>12.12</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w:t>
            </w:r>
          </w:p>
        </w:tc>
        <w:tc>
          <w:tcPr>
            <w:tcW w:w="7460" w:type="dxa"/>
            <w:vAlign w:val="bottom"/>
          </w:tcPr>
          <w:p>
            <w:pPr>
              <w:jc w:val="center"/>
              <w:ind w:left="6921"/>
              <w:spacing w:after="0"/>
              <w:rPr>
                <w:sz w:val="20"/>
                <w:szCs w:val="20"/>
                <w:color w:val="auto"/>
              </w:rPr>
            </w:pPr>
            <w:r>
              <w:rPr>
                <w:rFonts w:ascii="Times New Roman" w:cs="Times New Roman" w:eastAsia="Times New Roman" w:hAnsi="Times New Roman"/>
                <w:sz w:val="20"/>
                <w:szCs w:val="20"/>
                <w:color w:val="auto"/>
                <w:w w:val="99"/>
              </w:rPr>
              <w:t>27</w:t>
            </w:r>
          </w:p>
        </w:tc>
      </w:tr>
      <w:tr>
        <w:trPr>
          <w:trHeight w:val="284"/>
        </w:trPr>
        <w:tc>
          <w:tcPr>
            <w:tcW w:w="60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7"/>
              </w:rPr>
              <w:t>12.13</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No Implied License</w:t>
            </w:r>
          </w:p>
        </w:tc>
        <w:tc>
          <w:tcPr>
            <w:tcW w:w="7460" w:type="dxa"/>
            <w:vAlign w:val="bottom"/>
          </w:tcPr>
          <w:p>
            <w:pPr>
              <w:jc w:val="center"/>
              <w:ind w:left="6921"/>
              <w:spacing w:after="0"/>
              <w:rPr>
                <w:sz w:val="20"/>
                <w:szCs w:val="20"/>
                <w:color w:val="auto"/>
              </w:rPr>
            </w:pPr>
            <w:r>
              <w:rPr>
                <w:rFonts w:ascii="Times New Roman" w:cs="Times New Roman" w:eastAsia="Times New Roman" w:hAnsi="Times New Roman"/>
                <w:sz w:val="20"/>
                <w:szCs w:val="20"/>
                <w:color w:val="auto"/>
                <w:w w:val="99"/>
              </w:rPr>
              <w:t>27</w:t>
            </w:r>
          </w:p>
        </w:tc>
      </w:tr>
      <w:tr>
        <w:trPr>
          <w:trHeight w:val="283"/>
        </w:trPr>
        <w:tc>
          <w:tcPr>
            <w:tcW w:w="60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7"/>
              </w:rPr>
              <w:t>12.14</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Interpretation</w:t>
            </w:r>
          </w:p>
        </w:tc>
        <w:tc>
          <w:tcPr>
            <w:tcW w:w="7460" w:type="dxa"/>
            <w:vAlign w:val="bottom"/>
          </w:tcPr>
          <w:p>
            <w:pPr>
              <w:jc w:val="center"/>
              <w:ind w:left="6921"/>
              <w:spacing w:after="0"/>
              <w:rPr>
                <w:sz w:val="20"/>
                <w:szCs w:val="20"/>
                <w:color w:val="auto"/>
              </w:rPr>
            </w:pPr>
            <w:r>
              <w:rPr>
                <w:rFonts w:ascii="Times New Roman" w:cs="Times New Roman" w:eastAsia="Times New Roman" w:hAnsi="Times New Roman"/>
                <w:sz w:val="20"/>
                <w:szCs w:val="20"/>
                <w:color w:val="auto"/>
                <w:w w:val="99"/>
              </w:rPr>
              <w:t>27</w:t>
            </w:r>
          </w:p>
        </w:tc>
      </w:tr>
      <w:tr>
        <w:trPr>
          <w:trHeight w:val="283"/>
        </w:trPr>
        <w:tc>
          <w:tcPr>
            <w:tcW w:w="60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7"/>
              </w:rPr>
              <w:t>12.15</w:t>
            </w:r>
          </w:p>
        </w:tc>
        <w:tc>
          <w:tcPr>
            <w:tcW w:w="2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w:t>
            </w:r>
          </w:p>
        </w:tc>
        <w:tc>
          <w:tcPr>
            <w:tcW w:w="7460" w:type="dxa"/>
            <w:vAlign w:val="bottom"/>
          </w:tcPr>
          <w:p>
            <w:pPr>
              <w:jc w:val="center"/>
              <w:ind w:left="6921"/>
              <w:spacing w:after="0"/>
              <w:rPr>
                <w:sz w:val="20"/>
                <w:szCs w:val="20"/>
                <w:color w:val="auto"/>
              </w:rPr>
            </w:pPr>
            <w:r>
              <w:rPr>
                <w:rFonts w:ascii="Times New Roman" w:cs="Times New Roman" w:eastAsia="Times New Roman" w:hAnsi="Times New Roman"/>
                <w:sz w:val="20"/>
                <w:szCs w:val="20"/>
                <w:color w:val="auto"/>
                <w:w w:val="99"/>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82550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80"/>
          </w:cols>
          <w:pgMar w:left="680" w:top="114"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0"/>
          <w:szCs w:val="20"/>
          <w:b w:val="1"/>
          <w:bCs w:val="1"/>
          <w:color w:val="auto"/>
        </w:rPr>
        <w:t>LICENSE AGREEMENT</w:t>
      </w:r>
    </w:p>
    <w:p>
      <w:pPr>
        <w:spacing w:after="0" w:line="216"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20"/>
          <w:szCs w:val="20"/>
          <w:color w:val="auto"/>
        </w:rPr>
        <w:t>This License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dated as of October 29, 2020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Abeona Therapeutics Inc., a Delaware corporation having its principal place of business at 1330 Avenue of the Americas, Suite 33A, New York, NY 10019 (“</w:t>
      </w:r>
      <w:r>
        <w:rPr>
          <w:rFonts w:ascii="Times New Roman" w:cs="Times New Roman" w:eastAsia="Times New Roman" w:hAnsi="Times New Roman"/>
          <w:sz w:val="20"/>
          <w:szCs w:val="20"/>
          <w:b w:val="1"/>
          <w:bCs w:val="1"/>
          <w:color w:val="auto"/>
        </w:rPr>
        <w:t>Licensor</w:t>
      </w:r>
      <w:r>
        <w:rPr>
          <w:rFonts w:ascii="Times New Roman" w:cs="Times New Roman" w:eastAsia="Times New Roman" w:hAnsi="Times New Roman"/>
          <w:sz w:val="20"/>
          <w:szCs w:val="20"/>
          <w:color w:val="auto"/>
        </w:rPr>
        <w:t>”), and Taysha Gene Therapies, Inc., a Delaware corporation having a place of business at 2280 Inwood Road, Dallas, TX 75325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Licensor and Company may be referred to herein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or, collectively, as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Licensor is a fully integrated gene and cell therapy company engaged,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in the development of gene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therapies, including gene therapy technologies relating to Rett syndrome and MECP2 gene constructs and regulation of their expression;</w:t>
      </w:r>
    </w:p>
    <w:p>
      <w:pPr>
        <w:spacing w:after="0" w:line="152" w:lineRule="exact"/>
        <w:rPr>
          <w:sz w:val="20"/>
          <w:szCs w:val="20"/>
          <w:color w:val="auto"/>
        </w:rPr>
      </w:pPr>
    </w:p>
    <w:p>
      <w:pPr>
        <w:jc w:val="both"/>
        <w:ind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Company is engaged in the research, development, manufacturing and commercialization of gene therapy products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is interested in Developing, manufacturing and Commercializing Licensed Products;</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Licensor has in-licensed technology relating to Rett syndrome and MECP2 gene constructs and regulation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expression from the University of North Carolina and the University of Edinburgh and desires to sublicense such rights to Company under this Agreement; and</w:t>
      </w:r>
    </w:p>
    <w:p>
      <w:pPr>
        <w:spacing w:after="0" w:line="169" w:lineRule="exact"/>
        <w:rPr>
          <w:sz w:val="20"/>
          <w:szCs w:val="20"/>
          <w:color w:val="auto"/>
        </w:rPr>
      </w:pPr>
    </w:p>
    <w:p>
      <w:pPr>
        <w:jc w:val="both"/>
        <w:ind w:right="2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Company desires to license from Licensor, and Licensor wishes to exclusively license to Company rights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 manufacture and Commercialize Licensed Products in the Field in the Territory.</w:t>
      </w:r>
    </w:p>
    <w:p>
      <w:pPr>
        <w:spacing w:after="0" w:line="15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various promises and undertakings set forth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intending to be legally bound,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Unless otherwise specifically provided herein, the following terms shall have the following meanings:</w:t>
      </w:r>
    </w:p>
    <w:p>
      <w:pPr>
        <w:spacing w:after="0" w:line="212"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xml:space="preserve">” means a Person who controls, is controlled by or is under common control with a Party, but only for so long as such control exists. For the purposes of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the word “control” (including, with correlative meaning, the terms “controlled by” or “under the common control with”) means the actual power, either directly or indirectly through one or more intermediaries, to direct the management and policies of such Person or entity, whether by the ownership of more than fifty percent (50%) of the voting stock of such entity, or by contract or otherwise.</w:t>
      </w:r>
    </w:p>
    <w:p>
      <w:pPr>
        <w:spacing w:after="0" w:line="18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w:t>
      </w:r>
      <w:r>
        <w:rPr>
          <w:rFonts w:ascii="Times New Roman" w:cs="Times New Roman" w:eastAsia="Times New Roman" w:hAnsi="Times New Roman"/>
          <w:sz w:val="20"/>
          <w:szCs w:val="20"/>
          <w:color w:val="auto"/>
        </w:rPr>
        <w:t>” means a Biologics License Application submitted pursuant to the requirements of the FDA, as more fully defined in 21 C.F.R. § 601, and any equivalent application submitted in any country in the Territory, including all additions, deletions or supplements thereto, and as any and all such requirements may be amended, or supplanted, at any time.</w:t>
      </w:r>
    </w:p>
    <w:p>
      <w:pPr>
        <w:spacing w:after="0" w:line="169"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Quarter</w:t>
      </w:r>
      <w:r>
        <w:rPr>
          <w:rFonts w:ascii="Times New Roman" w:cs="Times New Roman" w:eastAsia="Times New Roman" w:hAnsi="Times New Roman"/>
          <w:sz w:val="20"/>
          <w:szCs w:val="20"/>
          <w:color w:val="auto"/>
        </w:rPr>
        <w:t>” means each three (3) month period commencing January 1, April 1, July 1 or October 1 of any year; provided, however, that (a) the first Calendar Quarter of the Term shall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3" w:name="page154"/>
    <w:bookmarkEnd w:id="153"/>
    <w:p>
      <w:pPr>
        <w:ind w:left="860" w:right="20"/>
        <w:spacing w:after="0" w:line="269" w:lineRule="auto"/>
        <w:rPr>
          <w:sz w:val="20"/>
          <w:szCs w:val="20"/>
          <w:color w:val="auto"/>
        </w:rPr>
      </w:pPr>
      <w:r>
        <w:rPr>
          <w:rFonts w:ascii="Times New Roman" w:cs="Times New Roman" w:eastAsia="Times New Roman" w:hAnsi="Times New Roman"/>
          <w:sz w:val="20"/>
          <w:szCs w:val="20"/>
          <w:color w:val="auto"/>
        </w:rPr>
        <w:t>extend from the Effective Date to the end of the first full Calendar Quarter thereafter, and (b) the last Calendar Quarter of the Term shall end upon the expiration or termination of this Agreement.</w:t>
      </w:r>
    </w:p>
    <w:p>
      <w:pPr>
        <w:spacing w:after="0" w:line="155"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Calendar Year</w:t>
      </w:r>
      <w:r>
        <w:rPr>
          <w:rFonts w:ascii="Times New Roman" w:cs="Times New Roman" w:eastAsia="Times New Roman" w:hAnsi="Times New Roman"/>
          <w:sz w:val="20"/>
          <w:szCs w:val="20"/>
          <w:color w:val="auto"/>
        </w:rPr>
        <w:t>” means the period beginning on the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of January and ending on the 31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of December of the same year; provided, however, that (a) the first Calendar Year of the Term shall commence on the Effective Date and end on the 31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of December of the same year and (b) the last Calendar Year of the Term shall commence on the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of January of the Calendar Year in which this Agreement terminates or expires and end on the date of termination or expiration of this Agreement.</w:t>
      </w:r>
    </w:p>
    <w:p>
      <w:pPr>
        <w:spacing w:after="0" w:line="17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Clinical Trial</w:t>
      </w:r>
      <w:r>
        <w:rPr>
          <w:rFonts w:ascii="Times New Roman" w:cs="Times New Roman" w:eastAsia="Times New Roman" w:hAnsi="Times New Roman"/>
          <w:sz w:val="20"/>
          <w:szCs w:val="20"/>
          <w:color w:val="auto"/>
        </w:rPr>
        <w:t>” means a clinical trial in human subjects that has been approved by a Regulatory Authority and Institutional Review Board or Ethics Committee, and is designed to measure the safety and/or efficacy of Licensed Product. Clinical Trials shall include, but are not limited to, Pivotal Trials.</w:t>
      </w:r>
    </w:p>
    <w:p>
      <w:pPr>
        <w:spacing w:after="0" w:line="169"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Combination Product</w:t>
      </w:r>
      <w:r>
        <w:rPr>
          <w:rFonts w:ascii="Times New Roman" w:cs="Times New Roman" w:eastAsia="Times New Roman" w:hAnsi="Times New Roman"/>
          <w:sz w:val="20"/>
          <w:szCs w:val="20"/>
          <w:color w:val="auto"/>
        </w:rPr>
        <w:t>” means any product comprised of a combination of a Licensed Product and at least one other product where the other product is an active ingredient, device, delivery system or other separately sold product co-packaged such that the Licensed Product and other product is integrated in a singular product.</w:t>
      </w:r>
    </w:p>
    <w:p>
      <w:pPr>
        <w:spacing w:after="0" w:line="169"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Commercialization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Commercialize</w:t>
      </w:r>
      <w:r>
        <w:rPr>
          <w:rFonts w:ascii="Times New Roman" w:cs="Times New Roman" w:eastAsia="Times New Roman" w:hAnsi="Times New Roman"/>
          <w:sz w:val="20"/>
          <w:szCs w:val="20"/>
          <w:color w:val="auto"/>
        </w:rPr>
        <w:t>” means any and all activities undertaken before and after Regulatory Approval of a BLA for the Licensed Product that relate to the marketing, promoting, distributing, importing or exporting for sale, offering for sale, and selling of the Licensed Product, and interacting with Regulatory Authorities regarding the foregoing.</w:t>
      </w:r>
    </w:p>
    <w:p>
      <w:pPr>
        <w:spacing w:after="0" w:line="169"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Commercially Reasonable Efforts</w:t>
      </w:r>
      <w:r>
        <w:rPr>
          <w:rFonts w:ascii="Times New Roman" w:cs="Times New Roman" w:eastAsia="Times New Roman" w:hAnsi="Times New Roman"/>
          <w:sz w:val="19"/>
          <w:szCs w:val="19"/>
          <w:color w:val="auto"/>
        </w:rPr>
        <w:t>” means: (a) with respect to the efforts to be expended by a Party with respect to any objective, such reasonable, diligent, and good faith efforts as such Party would normally use to accomplish a similar objective under similar circumstances; and (b) with respect to any objective relating to Development or Commercialization of the Licensed Product by a Party, the application by such Party, consistent with the exercise of its prudent scientific and business judgment, of diligent efforts and resources to fulfill the obligation in issue, consistent with the level of efforts a similarly situated pharmaceutical company would devote to a product at a similar stage in its product life as the Licensed Product and having profit potential and strategic value comparable to that of the Licensed Product, taking into account, without limitation, commercial, legal and regulatory factors, target product profiles, product labeling, past performance, the regulatory environment and competitive market conditions in the therapeutic area, safety and efficacy of the Licensed Product, the strength of its proprietary position and such other factors as such Party may reasonably consider, all based on conditions then prevailing. For clarity, Commercially Reasonable Efforts will not mean that a Party guarantees that it will actually accomplish the applicable task or objective.</w:t>
      </w:r>
    </w:p>
    <w:p>
      <w:pPr>
        <w:spacing w:after="0" w:line="177"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of a Party, means information relating to the business, operations or products of a Party or any of its Affiliates, including any Know-How, that such Party discloses to the other Party under this Agreement, or otherwise becomes known to the other Party by virtue of this Agreement.</w:t>
      </w:r>
    </w:p>
    <w:p>
      <w:pPr>
        <w:spacing w:after="0" w:line="169"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means, with respect to (a) Patents, (b) Know-How or (c) biological, chemical or physical material, that a Party or one of its Affiliates owns or has a license or sublicense to such Patents, Know-How or material (or in the case of material, has the right to physical possession of such material) and has the ability to grant a license or sublicense to, or assign its right, title and interest in and to, such Patents, Know-How or material as provided for in this Agreement without violating the terms of any agreement or other arrangement with any Third Party.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4" w:name="page155"/>
    <w:bookmarkEnd w:id="154"/>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Covering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Covered</w:t>
      </w:r>
      <w:r>
        <w:rPr>
          <w:rFonts w:ascii="Times New Roman" w:cs="Times New Roman" w:eastAsia="Times New Roman" w:hAnsi="Times New Roman"/>
          <w:sz w:val="20"/>
          <w:szCs w:val="20"/>
          <w:color w:val="auto"/>
        </w:rPr>
        <w:t>” means, with respect to Licensed Product, that the making, using, selling, or offering for sale of Licensed Product would, but for a license granted in this Agreement under the Licensed Patents, infringe a Valid Claim of the Licensed Patents.</w:t>
      </w:r>
    </w:p>
    <w:p>
      <w:pPr>
        <w:spacing w:after="0" w:line="169"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Develop</w:t>
      </w:r>
      <w:r>
        <w:rPr>
          <w:rFonts w:ascii="Times New Roman" w:cs="Times New Roman" w:eastAsia="Times New Roman" w:hAnsi="Times New Roman"/>
          <w:sz w:val="20"/>
          <w:szCs w:val="20"/>
          <w:color w:val="auto"/>
        </w:rPr>
        <w:t>” means, with respect to the Licensed Product, the performance of all pre-clinical and clinical development (including toxicology, pharmacology, test method development and stability testing, process development, formulation development, quality control development, statistical analysis), Clinical Trials (excluding Clinical Trials conducted after Regulatory Approval of a BLA), manufacturing and regulatory activities that are required to obtain Regulatory Approval of Licensed Product in the Territory.</w:t>
      </w:r>
    </w:p>
    <w:p>
      <w:pPr>
        <w:spacing w:after="0" w:line="18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Edinburgh Agreement</w:t>
      </w:r>
      <w:r>
        <w:rPr>
          <w:rFonts w:ascii="Times New Roman" w:cs="Times New Roman" w:eastAsia="Times New Roman" w:hAnsi="Times New Roman"/>
          <w:sz w:val="20"/>
          <w:szCs w:val="20"/>
          <w:color w:val="auto"/>
        </w:rPr>
        <w:t>” means the License Agreement by and between the Licensor and the University Court of the University of Edinburgh, a charitable body registered in Scotland under registration number SC005336 incorporated under the Universities (Scotland) Acts (“</w:t>
      </w:r>
      <w:r>
        <w:rPr>
          <w:rFonts w:ascii="Times New Roman" w:cs="Times New Roman" w:eastAsia="Times New Roman" w:hAnsi="Times New Roman"/>
          <w:sz w:val="20"/>
          <w:szCs w:val="20"/>
          <w:b w:val="1"/>
          <w:bCs w:val="1"/>
          <w:color w:val="auto"/>
        </w:rPr>
        <w:t>Edinburgh</w:t>
      </w:r>
      <w:r>
        <w:rPr>
          <w:rFonts w:ascii="Times New Roman" w:cs="Times New Roman" w:eastAsia="Times New Roman" w:hAnsi="Times New Roman"/>
          <w:sz w:val="20"/>
          <w:szCs w:val="20"/>
          <w:color w:val="auto"/>
        </w:rPr>
        <w:t xml:space="preserve">”) dated as of November 14, 2018, as attached hereto as </w:t>
      </w:r>
      <w:r>
        <w:rPr>
          <w:rFonts w:ascii="Times New Roman" w:cs="Times New Roman" w:eastAsia="Times New Roman" w:hAnsi="Times New Roman"/>
          <w:sz w:val="20"/>
          <w:szCs w:val="20"/>
          <w:u w:val="single" w:color="auto"/>
          <w:color w:val="auto"/>
        </w:rPr>
        <w:t>Schedule 1.13</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Executive Officers</w:t>
      </w:r>
      <w:r>
        <w:rPr>
          <w:rFonts w:ascii="Times New Roman" w:cs="Times New Roman" w:eastAsia="Times New Roman" w:hAnsi="Times New Roman"/>
          <w:sz w:val="19"/>
          <w:szCs w:val="19"/>
          <w:color w:val="auto"/>
        </w:rPr>
        <w:t>” means, together, [***] of Company and the [***] of Licensor.</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Existing Third-Party Agreement(s)</w:t>
      </w:r>
      <w:r>
        <w:rPr>
          <w:rFonts w:ascii="Times New Roman" w:cs="Times New Roman" w:eastAsia="Times New Roman" w:hAnsi="Times New Roman"/>
          <w:sz w:val="19"/>
          <w:szCs w:val="19"/>
          <w:color w:val="auto"/>
        </w:rPr>
        <w:t>” means the Edinburgh Agreement and UNC Agreement.</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FDA</w:t>
      </w:r>
      <w:r>
        <w:rPr>
          <w:rFonts w:ascii="Times New Roman" w:cs="Times New Roman" w:eastAsia="Times New Roman" w:hAnsi="Times New Roman"/>
          <w:sz w:val="19"/>
          <w:szCs w:val="19"/>
          <w:color w:val="auto"/>
        </w:rPr>
        <w:t>” means the United States Food and Drug Administration or a successor federal agency thereto.</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Field</w:t>
      </w:r>
      <w:r>
        <w:rPr>
          <w:rFonts w:ascii="Times New Roman" w:cs="Times New Roman" w:eastAsia="Times New Roman" w:hAnsi="Times New Roman"/>
          <w:sz w:val="20"/>
          <w:szCs w:val="20"/>
          <w:color w:val="auto"/>
        </w:rPr>
        <w:t>” means (a) the prevention, treatment or diagnosis of any disease in humans, (b) solely with respect the practice of the Licensed Patents, Licensed Material, and Licensed Know-How sublicensed hereunder from the UNC Agreement, the use of such Licensed Patents, Licensed Material and Licensed Know-How for gene therapy for the prevention, treatment or diagnosis of the Indication, and (c) solely with respect to the Edinburgh Patent Rights (as defined in the Edinburgh Agreement), the use of truncated transgenes of MECP2 in a human gene therapy (i.e., delivery of MECP2 nucleic acids) for the treatment, palliation or prevention of the Indication.</w:t>
      </w:r>
    </w:p>
    <w:p>
      <w:pPr>
        <w:spacing w:after="0" w:line="17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Commercial Sale</w:t>
      </w:r>
      <w:r>
        <w:rPr>
          <w:rFonts w:ascii="Times New Roman" w:cs="Times New Roman" w:eastAsia="Times New Roman" w:hAnsi="Times New Roman"/>
          <w:sz w:val="20"/>
          <w:szCs w:val="20"/>
          <w:color w:val="auto"/>
        </w:rPr>
        <w:t>” of Licensed Product(s) means any transfer for value in an arms-length transaction to an independent Third Party distributor, agent or end user in a country after obtaining all Regulatory Approvals from applicable Regulatory Authorities required for the manufacture, importation, marketing, promotion, pricing, reimbursement and sale of the Licensed Product(s) in such country.</w:t>
      </w:r>
    </w:p>
    <w:p>
      <w:pPr>
        <w:spacing w:after="0" w:line="176"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Body</w:t>
      </w:r>
      <w:r>
        <w:rPr>
          <w:rFonts w:ascii="Times New Roman" w:cs="Times New Roman" w:eastAsia="Times New Roman" w:hAnsi="Times New Roman"/>
          <w:sz w:val="20"/>
          <w:szCs w:val="20"/>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179"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 means an investigational new drug application submitted to applicable Regulatory Authorities for approval to commence Clinical Trials in a given jurisdiction.</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Indication</w:t>
      </w:r>
      <w:r>
        <w:rPr>
          <w:rFonts w:ascii="Times New Roman" w:cs="Times New Roman" w:eastAsia="Times New Roman" w:hAnsi="Times New Roman"/>
          <w:sz w:val="19"/>
          <w:szCs w:val="19"/>
          <w:color w:val="auto"/>
        </w:rPr>
        <w:t>” means Rett syndrome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5" w:name="page156"/>
    <w:bookmarkEnd w:id="155"/>
    <w:p>
      <w:pPr>
        <w:jc w:val="both"/>
        <w:ind w:left="860" w:hanging="849"/>
        <w:spacing w:after="0" w:line="241" w:lineRule="auto"/>
        <w:tabs>
          <w:tab w:leader="none" w:pos="8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Know-How</w:t>
      </w:r>
      <w:r>
        <w:rPr>
          <w:rFonts w:ascii="Times New Roman" w:cs="Times New Roman" w:eastAsia="Times New Roman" w:hAnsi="Times New Roman"/>
          <w:sz w:val="20"/>
          <w:szCs w:val="20"/>
          <w:color w:val="auto"/>
        </w:rPr>
        <w:t>” means any: (a) scientific or technical information, results or data of any type whatsoever, in any tangible or intangible form whatsoever, that is not in the public domain or otherwise publicly known, including, without limitation, discoveries, inventions, trade secrets, devices, databases, practices, protocols, regulatory filings, methods, processes (including manufacturing processes, specification and techniques), techniques, concepts, ideas, specifications, formulations, formulae, data (including pharmacological, biological, chemical, toxicological, clinical and analytical information, quality control, trial and stability data), case reports forms, medical records, data analyses, reports, studies and procedures, designs for experiments and tests and results of experimentation and testing (including results of research or development), summaries and information contained in submissions to and information from ethical committees, or Regulatory Authorities, and manufacturing process and development information, results and data, whether or not patentable, all to the extent not claimed or disclosed in a patent or patent application; and (b) compositions of matter including, without limitation, plasmids, viruses, cells, cell lines, assays, animal models and physical, biological or chemical material, including drug substance samples, intermediates of drug substance samples, drug product samples and intermediates of drug product samples. The fact that an item is known to the public shall not be taken to exclude the possibility that a compilation including the item, and/or a development relating to the item, is (and remains) not known to the public. “Know-How” includes any rights including copyright, database or design rights protecting such Know-How. “Know-How” excludes Patents.</w:t>
      </w:r>
    </w:p>
    <w:p>
      <w:pPr>
        <w:spacing w:after="0" w:line="194"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means all applicable laws, statutes, rules, regulations, ordinances and other pronouncements having the binding effect of law of any Governmental Body.</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Licensor Bankruptcy Event</w:t>
      </w:r>
      <w:r>
        <w:rPr>
          <w:rFonts w:ascii="Times New Roman" w:cs="Times New Roman" w:eastAsia="Times New Roman" w:hAnsi="Times New Roman"/>
          <w:sz w:val="19"/>
          <w:szCs w:val="19"/>
          <w:color w:val="auto"/>
        </w:rPr>
        <w:t>” means an Insolvency Event of Licensor.</w:t>
      </w:r>
    </w:p>
    <w:p>
      <w:pPr>
        <w:spacing w:after="0" w:line="21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Know-How</w:t>
      </w:r>
      <w:r>
        <w:rPr>
          <w:rFonts w:ascii="Times New Roman" w:cs="Times New Roman" w:eastAsia="Times New Roman" w:hAnsi="Times New Roman"/>
          <w:sz w:val="20"/>
          <w:szCs w:val="20"/>
          <w:color w:val="auto"/>
        </w:rPr>
        <w:t xml:space="preserve">” means all (a) Edinburgh Know-How (as defined in the Edinburgh Agreement), and (b) Know-How that is Controlled by Licensor or any of its Affiliates, as of the Effective Date that is necessary or useful in the research, Development, manufacture, use, or Commercialization of Licensed Products. The Licensed Know-How shall include all Know-How set forth on </w:t>
      </w:r>
      <w:r>
        <w:rPr>
          <w:rFonts w:ascii="Times New Roman" w:cs="Times New Roman" w:eastAsia="Times New Roman" w:hAnsi="Times New Roman"/>
          <w:sz w:val="20"/>
          <w:szCs w:val="20"/>
          <w:u w:val="single" w:color="auto"/>
          <w:color w:val="auto"/>
        </w:rPr>
        <w:t>Schedule 1.25</w:t>
      </w:r>
      <w:r>
        <w:rPr>
          <w:rFonts w:ascii="Times New Roman" w:cs="Times New Roman" w:eastAsia="Times New Roman" w:hAnsi="Times New Roman"/>
          <w:sz w:val="20"/>
          <w:szCs w:val="20"/>
          <w:color w:val="auto"/>
        </w:rPr>
        <w:t xml:space="preserve"> and is inclusive of Licensed Materials.</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Licensed Materials</w:t>
      </w:r>
      <w:r>
        <w:rPr>
          <w:rFonts w:ascii="Times New Roman" w:cs="Times New Roman" w:eastAsia="Times New Roman" w:hAnsi="Times New Roman"/>
          <w:sz w:val="19"/>
          <w:szCs w:val="19"/>
          <w:color w:val="auto"/>
        </w:rPr>
        <w:t xml:space="preserve">” means the chemical, biological or physical materials that are set forth on </w:t>
      </w:r>
      <w:r>
        <w:rPr>
          <w:rFonts w:ascii="Times New Roman" w:cs="Times New Roman" w:eastAsia="Times New Roman" w:hAnsi="Times New Roman"/>
          <w:sz w:val="19"/>
          <w:szCs w:val="19"/>
          <w:u w:val="single" w:color="auto"/>
          <w:color w:val="auto"/>
        </w:rPr>
        <w:t>Schedule 1.26</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Patents</w:t>
      </w:r>
      <w:r>
        <w:rPr>
          <w:rFonts w:ascii="Times New Roman" w:cs="Times New Roman" w:eastAsia="Times New Roman" w:hAnsi="Times New Roman"/>
          <w:sz w:val="20"/>
          <w:szCs w:val="20"/>
          <w:color w:val="auto"/>
        </w:rPr>
        <w:t xml:space="preserve">” means (a) the Patents listed on </w:t>
      </w:r>
      <w:r>
        <w:rPr>
          <w:rFonts w:ascii="Times New Roman" w:cs="Times New Roman" w:eastAsia="Times New Roman" w:hAnsi="Times New Roman"/>
          <w:sz w:val="20"/>
          <w:szCs w:val="20"/>
          <w:u w:val="single" w:color="auto"/>
          <w:color w:val="auto"/>
        </w:rPr>
        <w:t>Schedule 1.27</w:t>
      </w:r>
      <w:r>
        <w:rPr>
          <w:rFonts w:ascii="Times New Roman" w:cs="Times New Roman" w:eastAsia="Times New Roman" w:hAnsi="Times New Roman"/>
          <w:sz w:val="20"/>
          <w:szCs w:val="20"/>
          <w:color w:val="auto"/>
        </w:rPr>
        <w:t xml:space="preserve">, (b) the Edinburgh Patent Rights (as defined in the Edinburgh Agreement), (c) the Patent Rights (as defined in the UNC Agreement), and (d) all Patents Controlled by Licensor or its Affiliates as of the Effective Date (to the extent not already set forth on </w:t>
      </w:r>
      <w:r>
        <w:rPr>
          <w:rFonts w:ascii="Times New Roman" w:cs="Times New Roman" w:eastAsia="Times New Roman" w:hAnsi="Times New Roman"/>
          <w:sz w:val="20"/>
          <w:szCs w:val="20"/>
          <w:u w:val="single" w:color="auto"/>
          <w:color w:val="auto"/>
        </w:rPr>
        <w:t>Schedule 1.27</w:t>
      </w:r>
      <w:r>
        <w:rPr>
          <w:rFonts w:ascii="Times New Roman" w:cs="Times New Roman" w:eastAsia="Times New Roman" w:hAnsi="Times New Roman"/>
          <w:sz w:val="20"/>
          <w:szCs w:val="20"/>
          <w:color w:val="auto"/>
        </w:rPr>
        <w:t xml:space="preserve"> as of the Effective Date) or during the Term which would be infringed, absent the license granted to the Company hereunder, by the research, Development, manufacture, use or Commercialization of a Licensed Product in the Field by the Company, its Affiliates or a Sublicensee.</w:t>
      </w:r>
    </w:p>
    <w:p>
      <w:pPr>
        <w:spacing w:after="0" w:line="18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Product</w:t>
      </w:r>
      <w:r>
        <w:rPr>
          <w:rFonts w:ascii="Times New Roman" w:cs="Times New Roman" w:eastAsia="Times New Roman" w:hAnsi="Times New Roman"/>
          <w:sz w:val="20"/>
          <w:szCs w:val="20"/>
          <w:color w:val="auto"/>
        </w:rPr>
        <w:t>” means a product (a) where the manufacture, use, importation or sale is Covered by a Valid Claim in such country in the Field, or (b) (i) that embodies, contains, incorporates, or uses in a material capacity Licensed Know-How or (ii) incorporates the Licensed Materials.</w:t>
      </w:r>
    </w:p>
    <w:p>
      <w:pPr>
        <w:spacing w:after="0" w:line="169"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Licensed Technology</w:t>
      </w:r>
      <w:r>
        <w:rPr>
          <w:rFonts w:ascii="Times New Roman" w:cs="Times New Roman" w:eastAsia="Times New Roman" w:hAnsi="Times New Roman"/>
          <w:sz w:val="20"/>
          <w:szCs w:val="20"/>
          <w:color w:val="auto"/>
        </w:rPr>
        <w:t>” means the Licensed Patents, the Licensed Know-How and the Licensed Materials. For the avoidance of doubt, the Licensed Technology includes any Licensed Patents, Licensed Know-How and/or Licensed Materials Controlled by Licensor pursuant to any Existing Third-Party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6" w:name="page157"/>
    <w:bookmarkEnd w:id="156"/>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1.30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 Exclusivity</w:t>
      </w:r>
      <w:r>
        <w:rPr>
          <w:rFonts w:ascii="Times New Roman" w:cs="Times New Roman" w:eastAsia="Times New Roman" w:hAnsi="Times New Roman"/>
          <w:sz w:val="20"/>
          <w:szCs w:val="20"/>
          <w:color w:val="auto"/>
        </w:rPr>
        <w:t>” means an exclusive benefit by grant or an exclusion under or from the FDA, European Medicines Agency or other similar Regulatory Authority, relating to a Licensed Product, including orphan drug protection or data exclusivity.</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color w:val="auto"/>
        </w:rPr>
        <w:t>” means [***].</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Out-of-Pocket Expenses</w:t>
      </w:r>
      <w:r>
        <w:rPr>
          <w:rFonts w:ascii="Times New Roman" w:cs="Times New Roman" w:eastAsia="Times New Roman" w:hAnsi="Times New Roman"/>
          <w:sz w:val="20"/>
          <w:szCs w:val="20"/>
          <w:color w:val="auto"/>
        </w:rPr>
        <w:t>” means expenses actually paid by a Party or its Affiliate to any Third Party; provided, that “Out-of-Pocket Expenses” shall not include expenses paid to any consultants (or service providers of like kind), except for travel expenses associated with a consultant (or service provider of like kind).</w:t>
      </w:r>
    </w:p>
    <w:p>
      <w:pPr>
        <w:spacing w:after="0" w:line="16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means: (a) an issued or granted patent, including any extension, supplemental protection certificate, registration, confirmation, reissue, reexamination or renewal thereof; (b) a pending patent application, including any continuation, divisional, continuation-in-part, substitute or provisional application thereof; and (c) all counterparts or foreign equivalents of any of the foregoing issued by or filed in any country or other jurisdiction.</w:t>
      </w:r>
    </w:p>
    <w:p>
      <w:pPr>
        <w:spacing w:after="0" w:line="17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1.34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firm, business trust, joint venture, association, organization, company, partnership or other business entity, or any government or agency or political subdivision thereof.</w:t>
      </w:r>
    </w:p>
    <w:p>
      <w:pPr>
        <w:spacing w:after="0" w:line="152"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Phase 1 Study</w:t>
      </w:r>
      <w:r>
        <w:rPr>
          <w:rFonts w:ascii="Times New Roman" w:cs="Times New Roman" w:eastAsia="Times New Roman" w:hAnsi="Times New Roman"/>
          <w:sz w:val="20"/>
          <w:szCs w:val="20"/>
          <w:color w:val="auto"/>
        </w:rPr>
        <w:t>” means a Clinical Trial with the principal purpose of characterizing its safety, tolerability, and pharmacokinetics and identifying a recommended dose and regimen for future studies as described in 21 C.F.R. §312.21(a), or a comparable clinical study prescribed by the relevant Regulatory Authority in a country other than the United States.</w:t>
      </w:r>
    </w:p>
    <w:p>
      <w:pPr>
        <w:spacing w:after="0" w:line="16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Phase 1/2 Study</w:t>
      </w:r>
      <w:r>
        <w:rPr>
          <w:rFonts w:ascii="Times New Roman" w:cs="Times New Roman" w:eastAsia="Times New Roman" w:hAnsi="Times New Roman"/>
          <w:sz w:val="19"/>
          <w:szCs w:val="19"/>
          <w:color w:val="auto"/>
        </w:rPr>
        <w:t>” means a Clinical Trial that satisfies the requirements of a Phase 1 Study and a Phase 2 Study.</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Phase 2 Study</w:t>
      </w:r>
      <w:r>
        <w:rPr>
          <w:rFonts w:ascii="Times New Roman" w:cs="Times New Roman" w:eastAsia="Times New Roman" w:hAnsi="Times New Roman"/>
          <w:sz w:val="20"/>
          <w:szCs w:val="20"/>
          <w:color w:val="auto"/>
        </w:rPr>
        <w:t>” means a Clinical Trial with the principal purpose of characterizing its activity in a specific disease state as well as generating detailed safety, tolerability, and pharmacokinetics information as described in 21 C.F.R. §312.21(b), or a comparable clinical study prescribed by the relevant Regulatory Authority in a country other than the United States including a human clinical trial that is also designed to satisfy the requirements of 21 C.F.R. §312.21(a) or corresponding foreign regulations and is subsequently optimized or expanded to satisfy the requirements of 21 C.F.R. §312.21(b) (or corresponding foreign regulations) or otherwise to enable a Pivotal Study (e.g., a phase 1/2 trial).</w:t>
      </w:r>
    </w:p>
    <w:p>
      <w:pPr>
        <w:spacing w:after="0" w:line="179"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Pivotal Study</w:t>
      </w:r>
      <w:r>
        <w:rPr>
          <w:rFonts w:ascii="Times New Roman" w:cs="Times New Roman" w:eastAsia="Times New Roman" w:hAnsi="Times New Roman"/>
          <w:sz w:val="20"/>
          <w:szCs w:val="20"/>
          <w:color w:val="auto"/>
        </w:rPr>
        <w:t>” means either (a) a Clinical Trial, the principal purpose of which is to demonstrate clinically and statistically the efficacy and safety of a Licensed Product as a basis for obtaining Regulatory Approval, and has been recognized and approved as such by the Regulatory Authority, or (b) a Clinical Trial of a Licensed Product on a sufficient number of subjects that satisfies both of the following (i) and (ii): (i) such trial is designed to establish that such Licensed Product has an acceptable safety and efficacy profile for its intended use, and to determine warnings, precautions, and adverse reactions that are associated with such Licensed Product, which trial is intended to support Regulatory Approval of such Licensed Product; and (ii) such trial is a registration trial intended to be sufficient to support the filing of an application for Regulatory Approval for such Licensed Product in the US, or applicable country, as evidenced by (A) an agreement with or statement from the FDA or its foreign equivalent, or (B) other guidance or minutes issued by the FDA or its foreign equivalent, for such registration trial.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7" w:name="page158"/>
    <w:bookmarkEnd w:id="157"/>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1.39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Price Approvals</w:t>
      </w:r>
      <w:r>
        <w:rPr>
          <w:rFonts w:ascii="Times New Roman" w:cs="Times New Roman" w:eastAsia="Times New Roman" w:hAnsi="Times New Roman"/>
          <w:sz w:val="20"/>
          <w:szCs w:val="20"/>
          <w:color w:val="auto"/>
        </w:rPr>
        <w:t>” means, in those countries in the Territory where Regulatory Authorities may approve or determine pricing and/or pricing reimbursement for pharmaceutical products, such pricing and/or pricing reimbursement approval or determination.</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Regulatory Authority</w:t>
      </w:r>
      <w:r>
        <w:rPr>
          <w:rFonts w:ascii="Times New Roman" w:cs="Times New Roman" w:eastAsia="Times New Roman" w:hAnsi="Times New Roman"/>
          <w:sz w:val="19"/>
          <w:szCs w:val="19"/>
          <w:color w:val="auto"/>
        </w:rPr>
        <w:t>” means the FDA or any foreign equivalent.</w:t>
      </w:r>
    </w:p>
    <w:p>
      <w:pPr>
        <w:spacing w:after="0" w:line="21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Approval</w:t>
      </w:r>
      <w:r>
        <w:rPr>
          <w:rFonts w:ascii="Times New Roman" w:cs="Times New Roman" w:eastAsia="Times New Roman" w:hAnsi="Times New Roman"/>
          <w:sz w:val="20"/>
          <w:szCs w:val="20"/>
          <w:color w:val="auto"/>
        </w:rPr>
        <w:t>” means any and all approvals, licenses, registrations, or authorizations of the relevant Regulatory Authority, including Price Approvals, necessary for the Development, manufacture, use, storage, import, transport or Commercialization of Licensed Product in a particular country or jurisdiction. For the avoidance of doubt, Regulatory Approval to Commercialize Licensed Product shall include Price Approval.</w:t>
      </w:r>
    </w:p>
    <w:p>
      <w:pPr>
        <w:spacing w:after="0" w:line="176"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1.42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Royalty Term</w:t>
      </w:r>
      <w:r>
        <w:rPr>
          <w:rFonts w:ascii="Times New Roman" w:cs="Times New Roman" w:eastAsia="Times New Roman" w:hAnsi="Times New Roman"/>
          <w:sz w:val="20"/>
          <w:szCs w:val="20"/>
          <w:color w:val="auto"/>
        </w:rPr>
        <w:t>” means, on a Licensed Product-by-Licensed Product and country-by-country basis, the period from the First Commercial Sale of such Licensed Product in such country until the later of (a) the expiration or revocation or complete rejection of the last to expire or to be revoked or to be completely rejected of any Licensed Patent Covering such Licensed Product in the country in which the Licensed Product is sold, (b) the loss of Market Exclusivity in the country in which such Licensed Product is sold, or (c) if no Licensed Patent exists in the country where the Licensed Product is sold Covering the manufacture, use or sale of the Licensed Product and no Market Exclusivity exists in the country in which the Licensed Product is sold, ten (10) years from the First Commercial Sale of such Licensed Product in such country.</w:t>
      </w:r>
    </w:p>
    <w:p>
      <w:pPr>
        <w:spacing w:after="0" w:line="179"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1.43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Sublicensee</w:t>
      </w:r>
      <w:r>
        <w:rPr>
          <w:rFonts w:ascii="Times New Roman" w:cs="Times New Roman" w:eastAsia="Times New Roman" w:hAnsi="Times New Roman"/>
          <w:sz w:val="20"/>
          <w:szCs w:val="20"/>
          <w:color w:val="auto"/>
        </w:rPr>
        <w:t>” means any Person other than an Affiliate of Company to which Company (or its Affiliates) grants a sublicense under Licensed Patents or Licensed Know-How, except for any distributors.</w:t>
      </w:r>
    </w:p>
    <w:p>
      <w:pPr>
        <w:spacing w:after="0" w:line="152"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1.44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any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Territory</w:t>
      </w:r>
      <w:r>
        <w:rPr>
          <w:rFonts w:ascii="Times New Roman" w:cs="Times New Roman" w:eastAsia="Times New Roman" w:hAnsi="Times New Roman"/>
          <w:sz w:val="19"/>
          <w:szCs w:val="19"/>
          <w:color w:val="auto"/>
        </w:rPr>
        <w:t>” means all the countries of the world.</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Third Party</w:t>
      </w:r>
      <w:r>
        <w:rPr>
          <w:rFonts w:ascii="Times New Roman" w:cs="Times New Roman" w:eastAsia="Times New Roman" w:hAnsi="Times New Roman"/>
          <w:sz w:val="19"/>
          <w:szCs w:val="19"/>
          <w:color w:val="auto"/>
        </w:rPr>
        <w:t>” means any Person other than Licensor, Company or any of their respective Affiliates.</w:t>
      </w:r>
    </w:p>
    <w:p>
      <w:pPr>
        <w:spacing w:after="0" w:line="216"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1.47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Party License Agreement</w:t>
      </w:r>
      <w:r>
        <w:rPr>
          <w:rFonts w:ascii="Times New Roman" w:cs="Times New Roman" w:eastAsia="Times New Roman" w:hAnsi="Times New Roman"/>
          <w:sz w:val="20"/>
          <w:szCs w:val="20"/>
          <w:color w:val="auto"/>
        </w:rPr>
        <w:t>” means any agreement entered into by a Party or its Affiliate with a Third Party, or any amendment or supplement thereto, in each case following the Effective Date, whereby royalties, fees or other payments are to be made by a Party or its Affiliate to such Third Party in connection with the grant of rights under intellectual property rights Controlled by such Third Party, which rights are necessary or useful to research, Develop, manufacture, have made, import, export, use or Commercialize Licensed Product.</w:t>
      </w:r>
    </w:p>
    <w:p>
      <w:pPr>
        <w:spacing w:after="0" w:line="180"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UNC Agreement</w:t>
      </w:r>
      <w:r>
        <w:rPr>
          <w:rFonts w:ascii="Times New Roman" w:cs="Times New Roman" w:eastAsia="Times New Roman" w:hAnsi="Times New Roman"/>
          <w:sz w:val="20"/>
          <w:szCs w:val="20"/>
          <w:color w:val="auto"/>
        </w:rPr>
        <w:t>” means the Exclusive License Agreement by and between the University of North Carolina at Chapel Hill (the “</w:t>
      </w:r>
      <w:r>
        <w:rPr>
          <w:rFonts w:ascii="Times New Roman" w:cs="Times New Roman" w:eastAsia="Times New Roman" w:hAnsi="Times New Roman"/>
          <w:sz w:val="20"/>
          <w:szCs w:val="20"/>
          <w:b w:val="1"/>
          <w:bCs w:val="1"/>
          <w:color w:val="auto"/>
        </w:rPr>
        <w:t>University</w:t>
      </w:r>
      <w:r>
        <w:rPr>
          <w:rFonts w:ascii="Times New Roman" w:cs="Times New Roman" w:eastAsia="Times New Roman" w:hAnsi="Times New Roman"/>
          <w:sz w:val="20"/>
          <w:szCs w:val="20"/>
          <w:color w:val="auto"/>
        </w:rPr>
        <w:t xml:space="preserve">”) and the Licensor dated as of August 7, 2019, as attached hereto as </w:t>
      </w:r>
      <w:r>
        <w:rPr>
          <w:rFonts w:ascii="Times New Roman" w:cs="Times New Roman" w:eastAsia="Times New Roman" w:hAnsi="Times New Roman"/>
          <w:sz w:val="20"/>
          <w:szCs w:val="20"/>
          <w:u w:val="single" w:color="auto"/>
          <w:color w:val="auto"/>
        </w:rPr>
        <w:t>Schedule 1.48</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1.49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means the United States of America, its territories and possessions.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8" w:name="page159"/>
    <w:bookmarkEnd w:id="158"/>
    <w:p>
      <w:pPr>
        <w:spacing w:after="0"/>
        <w:tabs>
          <w:tab w:leader="none" w:pos="840" w:val="left"/>
        </w:tabs>
        <w:rPr>
          <w:sz w:val="20"/>
          <w:szCs w:val="20"/>
          <w:color w:val="auto"/>
        </w:rPr>
      </w:pPr>
      <w:r>
        <w:rPr>
          <w:rFonts w:ascii="Times New Roman" w:cs="Times New Roman" w:eastAsia="Times New Roman" w:hAnsi="Times New Roman"/>
          <w:sz w:val="20"/>
          <w:szCs w:val="20"/>
          <w:color w:val="auto"/>
        </w:rPr>
        <w:t>1.50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USD</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means the lawful currency of the United States.</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Valid Claim</w:t>
      </w:r>
      <w:r>
        <w:rPr>
          <w:rFonts w:ascii="Times New Roman" w:cs="Times New Roman" w:eastAsia="Times New Roman" w:hAnsi="Times New Roman"/>
          <w:sz w:val="20"/>
          <w:szCs w:val="20"/>
          <w:color w:val="auto"/>
        </w:rPr>
        <w:t>” means, with respect to the Licensed Patents, (a) any unexpired claim of an issued Patent that has not been found to be unpatentable, unenforceable or invalid by a court or other governmental agency of competent jurisdiction that is unappealable or unappealed in the time allowed for appeal; or (b) a claim of a pending application, which application claims a first priority no more than [***] prior to the date upon which pendency is determined. For purposes of clarification, if a claim in an application has been pending for more than [***] from its priority date, and a Patent subsequently issues containing such claim, then upon issuance of the Patent, the claim shall thereafter be considered a Valid Claim.</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b w:val="1"/>
          <w:bCs w:val="1"/>
          <w:color w:val="auto"/>
        </w:rPr>
        <w:t>Other Terms</w:t>
      </w:r>
      <w:r>
        <w:rPr>
          <w:rFonts w:ascii="Times New Roman" w:cs="Times New Roman" w:eastAsia="Times New Roman" w:hAnsi="Times New Roman"/>
          <w:sz w:val="19"/>
          <w:szCs w:val="19"/>
          <w:color w:val="auto"/>
        </w:rPr>
        <w:t>. The definition of each of the following terms is set forth in the section of the Agreement indicated below:</w:t>
      </w:r>
    </w:p>
    <w:p>
      <w:pPr>
        <w:spacing w:after="0" w:line="200" w:lineRule="exact"/>
        <w:rPr>
          <w:sz w:val="20"/>
          <w:szCs w:val="20"/>
          <w:color w:val="auto"/>
        </w:rPr>
      </w:pPr>
    </w:p>
    <w:p>
      <w:pPr>
        <w:spacing w:after="0" w:line="252" w:lineRule="exact"/>
        <w:rPr>
          <w:sz w:val="20"/>
          <w:szCs w:val="20"/>
          <w:color w:val="auto"/>
        </w:rPr>
      </w:pPr>
    </w:p>
    <w:tbl>
      <w:tblPr>
        <w:tblLayout w:type="fixed"/>
        <w:tblInd w:w="890" w:type="dxa"/>
        <w:tblCellMar>
          <w:top w:w="0" w:type="dxa"/>
          <w:left w:w="0" w:type="dxa"/>
          <w:bottom w:w="0" w:type="dxa"/>
          <w:right w:w="0" w:type="dxa"/>
        </w:tblCellMar>
      </w:tblPr>
      <w:tr>
        <w:trPr>
          <w:trHeight w:val="243"/>
        </w:trPr>
        <w:tc>
          <w:tcPr>
            <w:tcW w:w="7400" w:type="dxa"/>
            <w:vAlign w:val="bottom"/>
            <w:tcBorders>
              <w:top w:val="single" w:sz="8" w:color="auto"/>
              <w:left w:val="single" w:sz="8" w:color="auto"/>
              <w:bottom w:val="single" w:sz="8" w:color="auto"/>
              <w:right w:val="single" w:sz="8" w:color="auto"/>
            </w:tcBorders>
            <w:shd w:val="clear" w:color="auto" w:fill="E7E6E6"/>
          </w:tcPr>
          <w:p>
            <w:pPr>
              <w:ind w:left="3120"/>
              <w:spacing w:after="0"/>
              <w:rPr>
                <w:sz w:val="20"/>
                <w:szCs w:val="20"/>
                <w:color w:val="auto"/>
              </w:rPr>
            </w:pPr>
            <w:r>
              <w:rPr>
                <w:rFonts w:ascii="Times New Roman" w:cs="Times New Roman" w:eastAsia="Times New Roman" w:hAnsi="Times New Roman"/>
                <w:sz w:val="20"/>
                <w:szCs w:val="20"/>
                <w:b w:val="1"/>
                <w:bCs w:val="1"/>
                <w:color w:val="auto"/>
              </w:rPr>
              <w:t>Defined Term</w:t>
            </w:r>
          </w:p>
        </w:tc>
        <w:tc>
          <w:tcPr>
            <w:tcW w:w="2100" w:type="dxa"/>
            <w:vAlign w:val="bottom"/>
            <w:tcBorders>
              <w:top w:val="single" w:sz="8" w:color="auto"/>
              <w:bottom w:val="single" w:sz="8" w:color="auto"/>
              <w:right w:val="single" w:sz="8" w:color="auto"/>
            </w:tcBorders>
            <w:shd w:val="clear" w:color="auto" w:fill="E7E6E6"/>
          </w:tcPr>
          <w:p>
            <w:pPr>
              <w:ind w:left="72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6.3(b)(i)</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Preamble</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CM&amp;C Know-How</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2.4</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Indemnitees</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9.2</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IP</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10.4(b)(ii)(6)</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Patent</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6.2(d)</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Preamble</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Development Support</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3.2</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Edinburgh</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1.13</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Preamble</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b w:val="1"/>
                <w:bCs w:val="1"/>
                <w:color w:val="auto"/>
              </w:rPr>
              <w:t>“Inventor Presentations”</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8.2</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Licensor Indemnitees</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9.1</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Licensor</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Preamble</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Technology Transfer Plan</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2.4</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Technology Transfer</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2.4</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Preamble</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3.2</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10.5(b)</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 Notice Period</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10.5(b)</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Sales Milestone</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5.3</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10.1</w:t>
            </w:r>
          </w:p>
        </w:tc>
      </w:tr>
      <w:tr>
        <w:trPr>
          <w:trHeight w:val="223"/>
        </w:trPr>
        <w:tc>
          <w:tcPr>
            <w:tcW w:w="7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University</w:t>
            </w:r>
            <w:r>
              <w:rPr>
                <w:rFonts w:ascii="Times New Roman" w:cs="Times New Roman" w:eastAsia="Times New Roman" w:hAnsi="Times New Roman"/>
                <w:sz w:val="20"/>
                <w:szCs w:val="20"/>
                <w:color w:val="auto"/>
              </w:rPr>
              <w:t>”</w:t>
            </w:r>
          </w:p>
        </w:tc>
        <w:tc>
          <w:tcPr>
            <w:tcW w:w="2100" w:type="dxa"/>
            <w:vAlign w:val="bottom"/>
            <w:tcBorders>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0"/>
                <w:szCs w:val="20"/>
                <w:color w:val="auto"/>
              </w:rPr>
              <w:t>1.13</w:t>
            </w: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LICENSES AND OTHER RIGHTS</w:t>
      </w:r>
    </w:p>
    <w:p>
      <w:pPr>
        <w:spacing w:after="0" w:line="190"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b w:val="1"/>
          <w:bCs w:val="1"/>
          <w:color w:val="auto"/>
        </w:rPr>
        <w:t>Grant of License to Company</w:t>
      </w:r>
      <w:r>
        <w:rPr>
          <w:rFonts w:ascii="Times New Roman" w:cs="Times New Roman" w:eastAsia="Times New Roman" w:hAnsi="Times New Roman"/>
          <w:sz w:val="20"/>
          <w:szCs w:val="20"/>
          <w:color w:val="auto"/>
        </w:rPr>
        <w:t>. Subject to the terms and conditions of this Agreement, Licensor hereby grants to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its Affiliates an exclusive (even as to Licensor), worldwide, royalty-bearing right and license (with the right to sublicense, subject to the provisions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under the Licensed Technology to research, Develop, manufacture, have manufactured, use and Commercialize Licensed Product in the Field in the Territory.</w:t>
      </w:r>
    </w:p>
    <w:p>
      <w:pPr>
        <w:spacing w:after="0" w:line="17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b w:val="1"/>
          <w:bCs w:val="1"/>
          <w:color w:val="auto"/>
        </w:rPr>
        <w:t>Grant of Sublicense by Company</w:t>
      </w:r>
      <w:r>
        <w:rPr>
          <w:rFonts w:ascii="Times New Roman" w:cs="Times New Roman" w:eastAsia="Times New Roman" w:hAnsi="Times New Roman"/>
          <w:sz w:val="20"/>
          <w:szCs w:val="20"/>
          <w:color w:val="auto"/>
        </w:rPr>
        <w:t>. Company shall have the right, in its sole discretion, to grant sublicenses, in whole or in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the licenses granted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provided, however, that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59" w:name="page160"/>
    <w:bookmarkEnd w:id="159"/>
    <w:p>
      <w:pPr>
        <w:jc w:val="both"/>
        <w:ind w:left="860" w:hanging="2"/>
        <w:spacing w:after="0" w:line="254" w:lineRule="auto"/>
        <w:tabs>
          <w:tab w:leader="none" w:pos="115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of each sublicense shall be consistent with the terms and conditions of this Agreement, the UNC Agreement and the Edinburgh Agreement and (b) the granting by Company of a sublicense shall not relieve Company of any of its obligations hereunder.</w:t>
      </w:r>
    </w:p>
    <w:p>
      <w:pPr>
        <w:spacing w:after="0" w:line="170"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b w:val="1"/>
          <w:bCs w:val="1"/>
          <w:color w:val="auto"/>
        </w:rPr>
        <w:t>Technology Transfer</w:t>
      </w:r>
      <w:r>
        <w:rPr>
          <w:rFonts w:ascii="Times New Roman" w:cs="Times New Roman" w:eastAsia="Times New Roman" w:hAnsi="Times New Roman"/>
          <w:sz w:val="20"/>
          <w:szCs w:val="20"/>
          <w:color w:val="auto"/>
        </w:rPr>
        <w:t>. As soon as reasonably practicable after the Effective Date, but in no event later than [***] following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Effective Date (provided that Company shall have the right to reasonably extend such time period of time to the extent reasonably necessary to enable Company to receive the foregoing transfer), Licensor will transfer to Company, at Licensor’s cost and expense, the Licensed Know-How set forth on </w:t>
      </w:r>
      <w:r>
        <w:rPr>
          <w:rFonts w:ascii="Times New Roman" w:cs="Times New Roman" w:eastAsia="Times New Roman" w:hAnsi="Times New Roman"/>
          <w:sz w:val="20"/>
          <w:szCs w:val="20"/>
          <w:u w:val="single" w:color="auto"/>
          <w:color w:val="auto"/>
        </w:rPr>
        <w:t>Schedule 1.26</w:t>
      </w:r>
      <w:r>
        <w:rPr>
          <w:rFonts w:ascii="Times New Roman" w:cs="Times New Roman" w:eastAsia="Times New Roman" w:hAnsi="Times New Roman"/>
          <w:sz w:val="20"/>
          <w:szCs w:val="20"/>
          <w:color w:val="auto"/>
        </w:rPr>
        <w:t xml:space="preserve"> and Licensed Materials (except for Licensed Know-How and Licensed Materials relating to the manufacture of Licensed Product, which are the subject of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b w:val="1"/>
          <w:bCs w:val="1"/>
          <w:color w:val="auto"/>
        </w:rPr>
        <w:t>Manufacturing Technology Transfer</w:t>
      </w:r>
      <w:r>
        <w:rPr>
          <w:rFonts w:ascii="Times New Roman" w:cs="Times New Roman" w:eastAsia="Times New Roman" w:hAnsi="Times New Roman"/>
          <w:sz w:val="20"/>
          <w:szCs w:val="20"/>
          <w:color w:val="auto"/>
        </w:rPr>
        <w:t>. The technology transfer described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referred to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Manufacturing Technology Transfer</w:t>
      </w:r>
      <w:r>
        <w:rPr>
          <w:rFonts w:ascii="Times New Roman" w:cs="Times New Roman" w:eastAsia="Times New Roman" w:hAnsi="Times New Roman"/>
          <w:sz w:val="20"/>
          <w:szCs w:val="20"/>
          <w:color w:val="auto"/>
        </w:rPr>
        <w:t>” and shall be conducted in accordance with a manufacturing technology transfer plan to be mutually agreed upon in writing by the Parties within [***] after the Effective Date (the “</w:t>
      </w:r>
      <w:r>
        <w:rPr>
          <w:rFonts w:ascii="Times New Roman" w:cs="Times New Roman" w:eastAsia="Times New Roman" w:hAnsi="Times New Roman"/>
          <w:sz w:val="20"/>
          <w:szCs w:val="20"/>
          <w:b w:val="1"/>
          <w:bCs w:val="1"/>
          <w:color w:val="auto"/>
        </w:rPr>
        <w:t>Manufacturing Technology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Transfer Plan</w:t>
      </w:r>
      <w:r>
        <w:rPr>
          <w:rFonts w:ascii="Times New Roman" w:cs="Times New Roman" w:eastAsia="Times New Roman" w:hAnsi="Times New Roman"/>
          <w:sz w:val="20"/>
          <w:szCs w:val="20"/>
          <w:color w:val="auto"/>
        </w:rPr>
        <w:t>”). The Manufacturing Technology Transfer Plan will: (a) specify goals and estimated time lines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achievement of the Manufacturing Technology Transfer; (b) identify certain of the technology to be transferred; (c) specify the activities related to implementation of such technology in Company’s facilities; and (d) set forth those obligations assigned to each Party with respect to such technology transfer. Manufacturing Technology Transfer Plan shall also include an obligation for Licensor to transfer to Company a copy of all Licensed Know-How and all Licensed Materials, including such Know-How as is specifically identified in the Manufacturing Technology Transfer Plan, including, without limitation, toxicity data related to Licensed Product, as is reasonably necessary to complete part of the Chemistry, Manufacturing and Controls section of a regulatory submission document included in a BLA (collectively, “</w:t>
      </w:r>
      <w:r>
        <w:rPr>
          <w:rFonts w:ascii="Times New Roman" w:cs="Times New Roman" w:eastAsia="Times New Roman" w:hAnsi="Times New Roman"/>
          <w:sz w:val="20"/>
          <w:szCs w:val="20"/>
          <w:b w:val="1"/>
          <w:bCs w:val="1"/>
          <w:color w:val="auto"/>
        </w:rPr>
        <w:t>CM&amp;C Know-How</w:t>
      </w:r>
      <w:r>
        <w:rPr>
          <w:rFonts w:ascii="Times New Roman" w:cs="Times New Roman" w:eastAsia="Times New Roman" w:hAnsi="Times New Roman"/>
          <w:sz w:val="20"/>
          <w:szCs w:val="20"/>
          <w:color w:val="auto"/>
        </w:rPr>
        <w:t>”). Each Party will bear its costs and expenses associated with performing the Manufacturing Technology Transfer.</w:t>
      </w:r>
    </w:p>
    <w:p>
      <w:pPr>
        <w:spacing w:after="0" w:line="187"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b w:val="1"/>
          <w:bCs w:val="1"/>
          <w:color w:val="auto"/>
        </w:rPr>
        <w:t>Procedures for Technology Transfer</w:t>
      </w:r>
      <w:r>
        <w:rPr>
          <w:rFonts w:ascii="Times New Roman" w:cs="Times New Roman" w:eastAsia="Times New Roman" w:hAnsi="Times New Roman"/>
          <w:sz w:val="20"/>
          <w:szCs w:val="20"/>
          <w:color w:val="auto"/>
        </w:rPr>
        <w:t>. The technology transfers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occur in an orderly fashion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a manner such that the value, usefulness and confidentiality of the transferred Licensed Know-How, Licensed Materials and regulatory documentation are preserved in all material respects. During the Term, Licensor shall, upon Company’s written request, provide full and prompt disclosure of, and shall license, and hereby does license, to Company as a part of Licensed Know-How, any Know-How (including CM&amp;C Know-How) that becomes Controlled by Licensor or any of its Affiliates after the Effective Date that is reasonably necessary for Company to manufacture Licensed Product or complete the Chemistry, Manufacturing and Controls section of a regulatory submission document included in a BLA.</w:t>
      </w:r>
    </w:p>
    <w:p>
      <w:pPr>
        <w:spacing w:after="0" w:line="17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b w:val="1"/>
          <w:bCs w:val="1"/>
          <w:color w:val="auto"/>
        </w:rPr>
        <w:t>UNC Agreement</w:t>
      </w:r>
      <w:r>
        <w:rPr>
          <w:rFonts w:ascii="Times New Roman" w:cs="Times New Roman" w:eastAsia="Times New Roman" w:hAnsi="Times New Roman"/>
          <w:sz w:val="19"/>
          <w:szCs w:val="19"/>
          <w:color w:val="auto"/>
        </w:rPr>
        <w:t>. Company hereby (a) acknowledges the [***].</w:t>
      </w: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b w:val="1"/>
          <w:bCs w:val="1"/>
          <w:color w:val="auto"/>
        </w:rPr>
        <w:t>Edinburgh Agreement</w:t>
      </w:r>
      <w:r>
        <w:rPr>
          <w:rFonts w:ascii="Times New Roman" w:cs="Times New Roman" w:eastAsia="Times New Roman" w:hAnsi="Times New Roman"/>
          <w:sz w:val="19"/>
          <w:szCs w:val="19"/>
          <w:color w:val="auto"/>
        </w:rPr>
        <w:t>. Company hereby (a) acknowledges [***].</w:t>
      </w:r>
    </w:p>
    <w:p>
      <w:pPr>
        <w:spacing w:after="0" w:line="21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0"/>
          <w:szCs w:val="20"/>
          <w:b w:val="1"/>
          <w:bCs w:val="1"/>
          <w:color w:val="auto"/>
        </w:rPr>
        <w:t>No Implied Licenses</w:t>
      </w:r>
      <w:r>
        <w:rPr>
          <w:rFonts w:ascii="Times New Roman" w:cs="Times New Roman" w:eastAsia="Times New Roman" w:hAnsi="Times New Roman"/>
          <w:sz w:val="20"/>
          <w:szCs w:val="20"/>
          <w:color w:val="auto"/>
        </w:rPr>
        <w:t>. Except as explicitly set forth in this Agreement, neither Party shall be deemed by estoppel or implication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granted the other Party any license or other right to any intellectual property of such Party. For clarity, notwithstanding anything contained in this Agreement to the contrary, Licensor retains all rights under the Licensed Technology for any and all uses outside of the Field.</w:t>
      </w:r>
    </w:p>
    <w:p>
      <w:pPr>
        <w:spacing w:after="0" w:line="17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20"/>
          <w:szCs w:val="20"/>
          <w:b w:val="1"/>
          <w:bCs w:val="1"/>
          <w:color w:val="auto"/>
        </w:rPr>
        <w:t>Negative Covenant</w:t>
      </w:r>
      <w:r>
        <w:rPr>
          <w:rFonts w:ascii="Times New Roman" w:cs="Times New Roman" w:eastAsia="Times New Roman" w:hAnsi="Times New Roman"/>
          <w:sz w:val="20"/>
          <w:szCs w:val="20"/>
          <w:color w:val="auto"/>
        </w:rPr>
        <w:t>. Company covenants that it will not, and will not permit any of its Affiliates or Sublicensees to, use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practice any Licensed Technology outside the scope of the license granted to it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DEVELOPMENT, MANUFACTURE AND COMMERCIALIZATION OF PRODUCT</w:t>
      </w:r>
    </w:p>
    <w:p>
      <w:pPr>
        <w:spacing w:after="0" w:line="190"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b w:val="1"/>
          <w:bCs w:val="1"/>
          <w:color w:val="auto"/>
        </w:rPr>
        <w:t>Development of the Licensed Product by Company</w:t>
      </w:r>
      <w:r>
        <w:rPr>
          <w:rFonts w:ascii="Times New Roman" w:cs="Times New Roman" w:eastAsia="Times New Roman" w:hAnsi="Times New Roman"/>
          <w:sz w:val="20"/>
          <w:szCs w:val="20"/>
          <w:color w:val="auto"/>
        </w:rPr>
        <w:t>. Company shall have the exclusive right, and sole responsibility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decision-making authority, to research and Develop the Licensed Product and to conduct (either itself or through its Affiliates, agents, subcontractors and/or Sublicensees) all Clinical Trials and non-clinical studies Company believes appropriate to obtain Regulatory Approval for the Licensed Product in the Field.</w:t>
      </w:r>
    </w:p>
    <w:p>
      <w:pPr>
        <w:spacing w:after="0" w:line="17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b w:val="1"/>
          <w:bCs w:val="1"/>
          <w:color w:val="auto"/>
        </w:rPr>
        <w:t>Licensor Support in Development</w:t>
      </w:r>
      <w:r>
        <w:rPr>
          <w:rFonts w:ascii="Times New Roman" w:cs="Times New Roman" w:eastAsia="Times New Roman" w:hAnsi="Times New Roman"/>
          <w:sz w:val="20"/>
          <w:szCs w:val="20"/>
          <w:color w:val="auto"/>
        </w:rPr>
        <w:t>. Until the [***], Licensor shall make its employees, consultants, contractors, advisors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agents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that are knowledgeable regarding the Licensed Technology or Licensed Product (including the properties and functions thereof), available to Company for scientific and technical explanations, and advice that may reasonably be required by Company relating to the Development of Licensed Products (the “</w:t>
      </w:r>
      <w:r>
        <w:rPr>
          <w:rFonts w:ascii="Times New Roman" w:cs="Times New Roman" w:eastAsia="Times New Roman" w:hAnsi="Times New Roman"/>
          <w:sz w:val="20"/>
          <w:szCs w:val="20"/>
          <w:b w:val="1"/>
          <w:bCs w:val="1"/>
          <w:color w:val="auto"/>
        </w:rPr>
        <w:t>Development Support</w:t>
      </w:r>
      <w:r>
        <w:rPr>
          <w:rFonts w:ascii="Times New Roman" w:cs="Times New Roman" w:eastAsia="Times New Roman" w:hAnsi="Times New Roman"/>
          <w:sz w:val="20"/>
          <w:szCs w:val="20"/>
          <w:color w:val="auto"/>
        </w:rPr>
        <w:t>”). The Development Support shall be provided by Licensor free-of-charge up to [***]. Thereafter, any Development Support will be reimbursed by Company at a mutually agreed upon (in writing) hourly rate.</w:t>
      </w:r>
    </w:p>
    <w:p>
      <w:pPr>
        <w:spacing w:after="0" w:line="17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b w:val="1"/>
          <w:bCs w:val="1"/>
          <w:color w:val="auto"/>
        </w:rPr>
        <w:t>Commercialization</w:t>
      </w:r>
      <w:r>
        <w:rPr>
          <w:rFonts w:ascii="Times New Roman" w:cs="Times New Roman" w:eastAsia="Times New Roman" w:hAnsi="Times New Roman"/>
          <w:sz w:val="20"/>
          <w:szCs w:val="20"/>
          <w:color w:val="auto"/>
        </w:rPr>
        <w:t>. Company shall have the exclusive right, and sole responsibility and decision-making authority,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Commercialize Licensed Product itself or through one or more Affiliates or Sublicensees or other Third Parties selected by Company and shall have the sole decision-making authority and responsibility in all matters relating to the Commercialization of the Licensed Product.</w:t>
      </w:r>
    </w:p>
    <w:p>
      <w:pPr>
        <w:spacing w:after="0" w:line="176"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b w:val="1"/>
          <w:bCs w:val="1"/>
          <w:color w:val="auto"/>
        </w:rPr>
        <w:t>Clinical and Commercial Manufacturing</w:t>
      </w:r>
      <w:r>
        <w:rPr>
          <w:rFonts w:ascii="Times New Roman" w:cs="Times New Roman" w:eastAsia="Times New Roman" w:hAnsi="Times New Roman"/>
          <w:sz w:val="20"/>
          <w:szCs w:val="20"/>
          <w:color w:val="auto"/>
        </w:rPr>
        <w:t>. Company shall have the exclusive right to manufacture Licensed Product itself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one or more Affiliates or Sublicensees or other Third Parties selected by Company.</w:t>
      </w:r>
    </w:p>
    <w:p>
      <w:pPr>
        <w:spacing w:after="0" w:line="152"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b w:val="1"/>
          <w:bCs w:val="1"/>
          <w:color w:val="auto"/>
        </w:rPr>
        <w:t>Diligence by Company</w:t>
      </w:r>
      <w:r>
        <w:rPr>
          <w:rFonts w:ascii="Times New Roman" w:cs="Times New Roman" w:eastAsia="Times New Roman" w:hAnsi="Times New Roman"/>
          <w:sz w:val="20"/>
          <w:szCs w:val="20"/>
          <w:color w:val="auto"/>
        </w:rPr>
        <w:t>. Subject to Licensor’s fulfillment of its obligations under this Agreement, Company shall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Commercially Reasonable Efforts to (a) Develop at least one Licensed Product and (b) Commercialize at least one (1) Licensed Product in the United States. Activities by Company’s Affiliates and Sublicensees will be considered as Company’s activities under this Agreement for purposes of determining whether Company has complied with its obligation to use Commercially Reasonably Efforts.</w:t>
      </w:r>
    </w:p>
    <w:p>
      <w:pPr>
        <w:spacing w:after="0" w:line="180"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b w:val="1"/>
          <w:bCs w:val="1"/>
          <w:color w:val="auto"/>
        </w:rPr>
        <w:t>Trademarks</w:t>
      </w:r>
      <w:r>
        <w:rPr>
          <w:rFonts w:ascii="Times New Roman" w:cs="Times New Roman" w:eastAsia="Times New Roman" w:hAnsi="Times New Roman"/>
          <w:sz w:val="20"/>
          <w:szCs w:val="20"/>
          <w:color w:val="auto"/>
        </w:rPr>
        <w:t>. As between Licensor and Company, Company shall have the sole authority to select trademarks for the Licensed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 and shall own all such trademarks.</w:t>
      </w:r>
    </w:p>
    <w:p>
      <w:pPr>
        <w:spacing w:after="0" w:line="152"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b w:val="1"/>
          <w:bCs w:val="1"/>
          <w:color w:val="auto"/>
        </w:rPr>
        <w:t>Reporting</w:t>
      </w:r>
      <w:r>
        <w:rPr>
          <w:rFonts w:ascii="Times New Roman" w:cs="Times New Roman" w:eastAsia="Times New Roman" w:hAnsi="Times New Roman"/>
          <w:sz w:val="20"/>
          <w:szCs w:val="20"/>
          <w:color w:val="auto"/>
        </w:rPr>
        <w:t>. Company shall, within plus or minus [***] of each anniversary of the Effective Date, provide Licensor with a 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report summarizing in reasonable detail its major Development and, as applicable, Commercialization activities conducted during the prior Calendar Year. All information and reports provided to Licensor pursuant to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shall be without any commitment from Company and shall be treated as Confidential Information of Company hereunder. Notwithstanding the foregoing, Company’s obligation to provide reports under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shall expire upon First Commercial Sale in the United States.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REGULATORY MATTERS</w:t>
      </w:r>
    </w:p>
    <w:p>
      <w:pPr>
        <w:spacing w:after="0" w:line="190"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b w:val="1"/>
          <w:bCs w:val="1"/>
          <w:color w:val="auto"/>
        </w:rPr>
        <w:t>Regulatory Filings</w:t>
      </w:r>
      <w:r>
        <w:rPr>
          <w:rFonts w:ascii="Times New Roman" w:cs="Times New Roman" w:eastAsia="Times New Roman" w:hAnsi="Times New Roman"/>
          <w:sz w:val="20"/>
          <w:szCs w:val="20"/>
          <w:color w:val="auto"/>
        </w:rPr>
        <w:t>. As between Company and Licensor, Company shall own and maintain all regulatory filings and Regulatory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Approvals for the Licensed Product, including all INDs and BLAs.</w:t>
      </w:r>
    </w:p>
    <w:p>
      <w:pPr>
        <w:spacing w:after="0" w:line="152" w:lineRule="exact"/>
        <w:rPr>
          <w:sz w:val="20"/>
          <w:szCs w:val="20"/>
          <w:color w:val="auto"/>
        </w:rPr>
      </w:pPr>
    </w:p>
    <w:p>
      <w:pPr>
        <w:jc w:val="both"/>
        <w:ind w:left="860" w:hanging="849"/>
        <w:spacing w:after="0" w:line="244" w:lineRule="auto"/>
        <w:tabs>
          <w:tab w:leader="none" w:pos="8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b w:val="1"/>
          <w:bCs w:val="1"/>
          <w:color w:val="auto"/>
        </w:rPr>
        <w:t>Communications with Authorities</w:t>
      </w:r>
      <w:r>
        <w:rPr>
          <w:rFonts w:ascii="Times New Roman" w:cs="Times New Roman" w:eastAsia="Times New Roman" w:hAnsi="Times New Roman"/>
          <w:sz w:val="20"/>
          <w:szCs w:val="20"/>
          <w:color w:val="auto"/>
        </w:rPr>
        <w:t>. Company (or one of its Affiliates or Sublicensees) shall be responsible, and act as the sole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point of contact, for communications with Regulatory Authorities in connection with the Development, Commercialization, and manufacturing of Licensed Product. Following the Effective Date, Licensor shall not initiate, with respect to Licensed Product, any meetings or contact with Regulatory Authorities without Company’s prior written consent. To the extent Licensor receives any written or oral communication from any Regulatory Authority relating to Licensed Product, Licensor shall (a) refer such Regulatory Authority to Company, and (b) as soon as reasonably practicable (but in any event within [***] after becoming aware of such communication), notify Company and provide Company with a copy of any written communication received by Licensor or, if applicable, complete and accurate minutes of such oral communication.</w:t>
      </w:r>
    </w:p>
    <w:p>
      <w:pPr>
        <w:spacing w:after="0" w:line="182"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b w:val="1"/>
          <w:bCs w:val="1"/>
          <w:color w:val="auto"/>
        </w:rPr>
        <w:t>Licensor Support in Regulatory Matters</w:t>
      </w:r>
      <w:r>
        <w:rPr>
          <w:rFonts w:ascii="Times New Roman" w:cs="Times New Roman" w:eastAsia="Times New Roman" w:hAnsi="Times New Roman"/>
          <w:sz w:val="20"/>
          <w:szCs w:val="20"/>
          <w:color w:val="auto"/>
        </w:rPr>
        <w:t>. Licensor shall, subject to reimbursement of reasonable, out-of-pocket external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expenses, make its Representatives that are knowledgeable regarding the Licensed Technology, the Licensed Materials or the Licensed Product available to Company for regulatory explanations, advice and on-site support, that may reasonably be required by Company relating to regulatory matters (including preparation and filing for any INDs); such support not to exceed more than</w:t>
      </w:r>
    </w:p>
    <w:p>
      <w:pPr>
        <w:spacing w:after="0" w:line="1" w:lineRule="exact"/>
        <w:rPr>
          <w:sz w:val="20"/>
          <w:szCs w:val="20"/>
          <w:color w:val="auto"/>
        </w:rPr>
      </w:pPr>
    </w:p>
    <w:p>
      <w:pPr>
        <w:jc w:val="both"/>
        <w:ind w:left="860" w:hanging="2"/>
        <w:spacing w:after="0" w:line="242" w:lineRule="auto"/>
        <w:tabs>
          <w:tab w:leader="none" w:pos="134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 calendar month. If a Regulatory Authority requests any non-clinical or clinical information or data related to the use of Licensed Technology, then upon Company’s request, Licensor shall have a continuing obligation to provide to Company access, and a right of reference, to any such information or data.</w:t>
      </w:r>
    </w:p>
    <w:p>
      <w:pPr>
        <w:spacing w:after="0" w:line="183"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b w:val="1"/>
          <w:bCs w:val="1"/>
          <w:color w:val="auto"/>
        </w:rPr>
        <w:t>Recalls</w:t>
      </w:r>
      <w:r>
        <w:rPr>
          <w:rFonts w:ascii="Times New Roman" w:cs="Times New Roman" w:eastAsia="Times New Roman" w:hAnsi="Times New Roman"/>
          <w:sz w:val="20"/>
          <w:szCs w:val="20"/>
          <w:color w:val="auto"/>
        </w:rPr>
        <w:t>. Company shall have the sole right to determine whether and how to implement a recall or other market withdrawal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Product.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FINANCIAL PROVISIONS</w:t>
      </w:r>
    </w:p>
    <w:p>
      <w:pPr>
        <w:spacing w:after="0" w:line="19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b w:val="1"/>
          <w:bCs w:val="1"/>
          <w:color w:val="auto"/>
        </w:rPr>
        <w:t>Initial Fee</w:t>
      </w:r>
      <w:r>
        <w:rPr>
          <w:rFonts w:ascii="Times New Roman" w:cs="Times New Roman" w:eastAsia="Times New Roman" w:hAnsi="Times New Roman"/>
          <w:sz w:val="20"/>
          <w:szCs w:val="20"/>
          <w:color w:val="auto"/>
        </w:rPr>
        <w:t>. Company shall pay, or cause to be paid, to Licensor a fee of Three Million USD (USD 3,000,000) (“</w:t>
      </w:r>
      <w:r>
        <w:rPr>
          <w:rFonts w:ascii="Times New Roman" w:cs="Times New Roman" w:eastAsia="Times New Roman" w:hAnsi="Times New Roman"/>
          <w:sz w:val="20"/>
          <w:szCs w:val="20"/>
          <w:b w:val="1"/>
          <w:bCs w:val="1"/>
          <w:color w:val="auto"/>
        </w:rPr>
        <w:t>Initial Fee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within [***] following the Effective Date. Payment of the initial fee shall be subject to any withholding tax obligations set forth in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w:t>
      </w:r>
    </w:p>
    <w:p>
      <w:pPr>
        <w:spacing w:after="0" w:line="169"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b w:val="1"/>
          <w:bCs w:val="1"/>
          <w:color w:val="auto"/>
        </w:rPr>
        <w:t>Milestone Payments</w:t>
      </w:r>
      <w:r>
        <w:rPr>
          <w:rFonts w:ascii="Times New Roman" w:cs="Times New Roman" w:eastAsia="Times New Roman" w:hAnsi="Times New Roman"/>
          <w:sz w:val="20"/>
          <w:szCs w:val="20"/>
          <w:color w:val="auto"/>
        </w:rPr>
        <w:t>. Company shall pay to Licensor the following milestone payments upon the first achievement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milestone events described below for each Licensed Product, whether achieved by Company, its Affiliates or their respective Sublicensees. Company shall notify Licensor in writing of the achievement of any such milestone event, within [***] of such achievement, and Licensor shall issue Company an invoice for the amount of the corresponding milestone payment, which invoice Company shall pay within [***] following receipt of such invoice.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2" w:name="page163"/>
    <w:bookmarkEnd w:id="162"/>
    <w:tbl>
      <w:tblPr>
        <w:tblLayout w:type="fixed"/>
        <w:tblInd w:w="890" w:type="dxa"/>
        <w:tblCellMar>
          <w:top w:w="0" w:type="dxa"/>
          <w:left w:w="0" w:type="dxa"/>
          <w:bottom w:w="0" w:type="dxa"/>
          <w:right w:w="0" w:type="dxa"/>
        </w:tblCellMar>
      </w:tblPr>
      <w:tr>
        <w:trPr>
          <w:trHeight w:val="216"/>
        </w:trPr>
        <w:tc>
          <w:tcPr>
            <w:tcW w:w="768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700" w:type="dxa"/>
            <w:vAlign w:val="bottom"/>
            <w:tcBorders>
              <w:top w:val="single" w:sz="8" w:color="auto"/>
              <w:right w:val="single" w:sz="8" w:color="auto"/>
            </w:tcBorders>
            <w:shd w:val="clear" w:color="auto" w:fill="BFBFBF"/>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Milestone Payment</w:t>
            </w:r>
          </w:p>
        </w:tc>
      </w:tr>
      <w:tr>
        <w:trPr>
          <w:trHeight w:val="256"/>
        </w:trPr>
        <w:tc>
          <w:tcPr>
            <w:tcW w:w="7680" w:type="dxa"/>
            <w:vAlign w:val="bottom"/>
            <w:tcBorders>
              <w:left w:val="single" w:sz="8" w:color="auto"/>
              <w:bottom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20"/>
                <w:szCs w:val="20"/>
                <w:b w:val="1"/>
                <w:bCs w:val="1"/>
                <w:color w:val="auto"/>
              </w:rPr>
              <w:t>Milestone event for each Licensed Product</w:t>
            </w:r>
          </w:p>
        </w:tc>
        <w:tc>
          <w:tcPr>
            <w:tcW w:w="2700" w:type="dxa"/>
            <w:vAlign w:val="bottom"/>
            <w:tcBorders>
              <w:bottom w:val="single" w:sz="8" w:color="auto"/>
              <w:right w:val="single" w:sz="8" w:color="auto"/>
            </w:tcBorders>
            <w:shd w:val="clear" w:color="auto" w:fill="BFBFBF"/>
          </w:tcPr>
          <w:p>
            <w:pPr>
              <w:jc w:val="center"/>
              <w:ind w:right="2014"/>
              <w:spacing w:after="0"/>
              <w:rPr>
                <w:sz w:val="20"/>
                <w:szCs w:val="20"/>
                <w:color w:val="auto"/>
              </w:rPr>
            </w:pPr>
            <w:r>
              <w:rPr>
                <w:rFonts w:ascii="Times New Roman" w:cs="Times New Roman" w:eastAsia="Times New Roman" w:hAnsi="Times New Roman"/>
                <w:sz w:val="20"/>
                <w:szCs w:val="20"/>
                <w:b w:val="1"/>
                <w:bCs w:val="1"/>
                <w:color w:val="auto"/>
                <w:w w:val="94"/>
              </w:rPr>
              <w:t>USD</w:t>
            </w:r>
          </w:p>
        </w:tc>
      </w:tr>
      <w:tr>
        <w:trPr>
          <w:trHeight w:val="237"/>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4"/>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4"/>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4"/>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6"/>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4"/>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4"/>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4"/>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4"/>
              <w:spacing w:after="0" w:line="237" w:lineRule="exact"/>
              <w:rPr>
                <w:sz w:val="20"/>
                <w:szCs w:val="20"/>
                <w:color w:val="auto"/>
              </w:rPr>
            </w:pPr>
            <w:r>
              <w:rPr>
                <w:rFonts w:ascii="Times New Roman" w:cs="Times New Roman" w:eastAsia="Times New Roman" w:hAnsi="Times New Roman"/>
                <w:sz w:val="22"/>
                <w:szCs w:val="22"/>
                <w:color w:val="auto"/>
                <w:w w:val="96"/>
              </w:rPr>
              <w:t>[***]</w:t>
            </w:r>
          </w:p>
        </w:tc>
      </w:tr>
    </w:tbl>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For the avoidance of doubt, the total foregoing milestones shall be payable once per Licensed Product.</w:t>
      </w:r>
    </w:p>
    <w:p>
      <w:pPr>
        <w:spacing w:after="0" w:line="212"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b w:val="1"/>
          <w:bCs w:val="1"/>
          <w:color w:val="auto"/>
        </w:rPr>
        <w:t>Commercial Event Payments</w:t>
      </w:r>
      <w:r>
        <w:rPr>
          <w:rFonts w:ascii="Times New Roman" w:cs="Times New Roman" w:eastAsia="Times New Roman" w:hAnsi="Times New Roman"/>
          <w:sz w:val="20"/>
          <w:szCs w:val="20"/>
          <w:color w:val="auto"/>
        </w:rPr>
        <w:t>. Company shall pay Licensor the following amounts for the first and only the first achievement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sales event milestones (each, a “</w:t>
      </w:r>
      <w:r>
        <w:rPr>
          <w:rFonts w:ascii="Times New Roman" w:cs="Times New Roman" w:eastAsia="Times New Roman" w:hAnsi="Times New Roman"/>
          <w:sz w:val="20"/>
          <w:szCs w:val="20"/>
          <w:b w:val="1"/>
          <w:bCs w:val="1"/>
          <w:color w:val="auto"/>
        </w:rPr>
        <w:t>Sales Milestone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2" w:lineRule="exact"/>
        <w:rPr>
          <w:sz w:val="20"/>
          <w:szCs w:val="20"/>
          <w:color w:val="auto"/>
        </w:rPr>
      </w:pPr>
    </w:p>
    <w:tbl>
      <w:tblPr>
        <w:tblLayout w:type="fixed"/>
        <w:tblInd w:w="890" w:type="dxa"/>
        <w:tblCellMar>
          <w:top w:w="0" w:type="dxa"/>
          <w:left w:w="0" w:type="dxa"/>
          <w:bottom w:w="0" w:type="dxa"/>
          <w:right w:w="0" w:type="dxa"/>
        </w:tblCellMar>
      </w:tblPr>
      <w:tr>
        <w:trPr>
          <w:trHeight w:val="216"/>
        </w:trPr>
        <w:tc>
          <w:tcPr>
            <w:tcW w:w="768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700" w:type="dxa"/>
            <w:vAlign w:val="bottom"/>
            <w:tcBorders>
              <w:top w:val="single" w:sz="8" w:color="auto"/>
              <w:right w:val="single" w:sz="8" w:color="auto"/>
            </w:tcBorders>
            <w:shd w:val="clear" w:color="auto" w:fill="BFBFBF"/>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Milestone Payment</w:t>
            </w:r>
          </w:p>
        </w:tc>
      </w:tr>
      <w:tr>
        <w:trPr>
          <w:trHeight w:val="256"/>
        </w:trPr>
        <w:tc>
          <w:tcPr>
            <w:tcW w:w="7680" w:type="dxa"/>
            <w:vAlign w:val="bottom"/>
            <w:tcBorders>
              <w:left w:val="single" w:sz="8" w:color="auto"/>
              <w:bottom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20"/>
                <w:szCs w:val="20"/>
                <w:b w:val="1"/>
                <w:bCs w:val="1"/>
                <w:color w:val="auto"/>
              </w:rPr>
              <w:t>Sales Milestones for each Licensed Product</w:t>
            </w:r>
          </w:p>
        </w:tc>
        <w:tc>
          <w:tcPr>
            <w:tcW w:w="2700" w:type="dxa"/>
            <w:vAlign w:val="bottom"/>
            <w:tcBorders>
              <w:bottom w:val="single" w:sz="8" w:color="auto"/>
              <w:right w:val="single" w:sz="8" w:color="auto"/>
            </w:tcBorders>
            <w:shd w:val="clear" w:color="auto" w:fill="BFBFBF"/>
          </w:tcPr>
          <w:p>
            <w:pPr>
              <w:jc w:val="center"/>
              <w:ind w:right="2017"/>
              <w:spacing w:after="0"/>
              <w:rPr>
                <w:sz w:val="20"/>
                <w:szCs w:val="20"/>
                <w:color w:val="auto"/>
              </w:rPr>
            </w:pPr>
            <w:r>
              <w:rPr>
                <w:rFonts w:ascii="Times New Roman" w:cs="Times New Roman" w:eastAsia="Times New Roman" w:hAnsi="Times New Roman"/>
                <w:sz w:val="20"/>
                <w:szCs w:val="20"/>
                <w:b w:val="1"/>
                <w:bCs w:val="1"/>
                <w:color w:val="auto"/>
                <w:w w:val="94"/>
              </w:rPr>
              <w:t>USD</w:t>
            </w:r>
          </w:p>
        </w:tc>
      </w:tr>
      <w:tr>
        <w:trPr>
          <w:trHeight w:val="236"/>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7"/>
              <w:spacing w:after="0" w:line="237" w:lineRule="exact"/>
              <w:rPr>
                <w:sz w:val="20"/>
                <w:szCs w:val="20"/>
                <w:color w:val="auto"/>
              </w:rPr>
            </w:pPr>
            <w:r>
              <w:rPr>
                <w:rFonts w:ascii="Times New Roman" w:cs="Times New Roman" w:eastAsia="Times New Roman" w:hAnsi="Times New Roman"/>
                <w:sz w:val="22"/>
                <w:szCs w:val="22"/>
                <w:color w:val="auto"/>
                <w:w w:val="96"/>
              </w:rPr>
              <w:t>[***]</w:t>
            </w:r>
          </w:p>
        </w:tc>
      </w:tr>
      <w:tr>
        <w:trPr>
          <w:trHeight w:val="237"/>
        </w:trPr>
        <w:tc>
          <w:tcPr>
            <w:tcW w:w="76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700" w:type="dxa"/>
            <w:vAlign w:val="bottom"/>
            <w:tcBorders>
              <w:bottom w:val="single" w:sz="8" w:color="auto"/>
              <w:right w:val="single" w:sz="8" w:color="auto"/>
            </w:tcBorders>
          </w:tcPr>
          <w:p>
            <w:pPr>
              <w:jc w:val="center"/>
              <w:ind w:right="2017"/>
              <w:spacing w:after="0" w:line="237" w:lineRule="exact"/>
              <w:rPr>
                <w:sz w:val="20"/>
                <w:szCs w:val="20"/>
                <w:color w:val="auto"/>
              </w:rPr>
            </w:pPr>
            <w:r>
              <w:rPr>
                <w:rFonts w:ascii="Times New Roman" w:cs="Times New Roman" w:eastAsia="Times New Roman" w:hAnsi="Times New Roman"/>
                <w:sz w:val="22"/>
                <w:szCs w:val="22"/>
                <w:color w:val="auto"/>
                <w:w w:val="96"/>
              </w:rPr>
              <w:t>[***]</w:t>
            </w:r>
          </w:p>
        </w:tc>
      </w:tr>
    </w:tbl>
    <w:p>
      <w:pPr>
        <w:spacing w:after="0" w:line="220" w:lineRule="exact"/>
        <w:rPr>
          <w:sz w:val="20"/>
          <w:szCs w:val="20"/>
          <w:color w:val="auto"/>
        </w:rPr>
      </w:pPr>
    </w:p>
    <w:p>
      <w:pPr>
        <w:jc w:val="both"/>
        <w:ind w:left="880" w:right="20"/>
        <w:spacing w:after="0" w:line="254" w:lineRule="auto"/>
        <w:rPr>
          <w:sz w:val="20"/>
          <w:szCs w:val="20"/>
          <w:color w:val="auto"/>
        </w:rPr>
      </w:pPr>
      <w:r>
        <w:rPr>
          <w:rFonts w:ascii="Times New Roman" w:cs="Times New Roman" w:eastAsia="Times New Roman" w:hAnsi="Times New Roman"/>
          <w:sz w:val="20"/>
          <w:szCs w:val="20"/>
          <w:color w:val="auto"/>
        </w:rPr>
        <w:t>Company shall deliver written notice to Licensor within [***] of the end of the Calendar Year in which a Sales Milestone occurs and Licensor shall issue Company an invoice for the amount of the corresponding Sales Milestone payment, which invoice Company shall pay within [***] following receipt of such invoice.</w:t>
      </w:r>
    </w:p>
    <w:p>
      <w:pPr>
        <w:spacing w:after="0" w:line="174" w:lineRule="exact"/>
        <w:rPr>
          <w:sz w:val="20"/>
          <w:szCs w:val="20"/>
          <w:color w:val="auto"/>
        </w:rPr>
      </w:pPr>
    </w:p>
    <w:p>
      <w:pPr>
        <w:jc w:val="both"/>
        <w:ind w:left="880" w:right="20"/>
        <w:spacing w:after="0" w:line="269" w:lineRule="auto"/>
        <w:rPr>
          <w:sz w:val="20"/>
          <w:szCs w:val="20"/>
          <w:color w:val="auto"/>
        </w:rPr>
      </w:pPr>
      <w:r>
        <w:rPr>
          <w:rFonts w:ascii="Times New Roman" w:cs="Times New Roman" w:eastAsia="Times New Roman" w:hAnsi="Times New Roman"/>
          <w:sz w:val="20"/>
          <w:szCs w:val="20"/>
          <w:color w:val="auto"/>
        </w:rPr>
        <w:t>For the avoidance of doubt, each aforementioned Sales Milestone payment shall be made only once for each Licensed Product that achieves such Sales Milestone.</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color w:val="auto"/>
        </w:rPr>
        <w:t>Royalty Payments for Licensed Product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080" w:right="20" w:hanging="222"/>
        <w:spacing w:after="0" w:line="300" w:lineRule="auto"/>
        <w:tabs>
          <w:tab w:leader="none" w:pos="108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Royalty Rate</w:t>
      </w:r>
      <w:r>
        <w:rPr>
          <w:rFonts w:ascii="Times New Roman" w:cs="Times New Roman" w:eastAsia="Times New Roman" w:hAnsi="Times New Roman"/>
          <w:sz w:val="19"/>
          <w:szCs w:val="19"/>
          <w:color w:val="auto"/>
        </w:rPr>
        <w:t>. During the Royalty Term, Company shall pay to Licensor a [***] royalty on worldwide aggregate annual Net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Sales of Licensed Product for each Calendar Year (subject to </w:t>
      </w:r>
      <w:r>
        <w:rPr>
          <w:rFonts w:ascii="Times New Roman" w:cs="Times New Roman" w:eastAsia="Times New Roman" w:hAnsi="Times New Roman"/>
          <w:sz w:val="19"/>
          <w:szCs w:val="19"/>
          <w:u w:val="single" w:color="auto"/>
          <w:color w:val="auto"/>
        </w:rPr>
        <w:t>Section 5.5</w:t>
      </w:r>
      <w:r>
        <w:rPr>
          <w:rFonts w:ascii="Times New Roman" w:cs="Times New Roman" w:eastAsia="Times New Roman" w:hAnsi="Times New Roman"/>
          <w:sz w:val="19"/>
          <w:szCs w:val="19"/>
          <w:color w:val="auto"/>
        </w:rPr>
        <w:t xml:space="preserve"> below):</w:t>
      </w:r>
    </w:p>
    <w:p>
      <w:pPr>
        <w:spacing w:after="0" w:line="128" w:lineRule="exact"/>
        <w:rPr>
          <w:rFonts w:ascii="Times New Roman" w:cs="Times New Roman" w:eastAsia="Times New Roman" w:hAnsi="Times New Roman"/>
          <w:sz w:val="19"/>
          <w:szCs w:val="19"/>
          <w:color w:val="auto"/>
        </w:rPr>
      </w:pPr>
    </w:p>
    <w:p>
      <w:pPr>
        <w:jc w:val="both"/>
        <w:ind w:left="1100" w:right="20" w:hanging="242"/>
        <w:spacing w:after="0" w:line="247" w:lineRule="auto"/>
        <w:tabs>
          <w:tab w:leader="none" w:pos="11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Net Sales Subject to Royalty Payments</w:t>
      </w:r>
      <w:r>
        <w:rPr>
          <w:rFonts w:ascii="Times New Roman" w:cs="Times New Roman" w:eastAsia="Times New Roman" w:hAnsi="Times New Roman"/>
          <w:sz w:val="20"/>
          <w:szCs w:val="20"/>
          <w:color w:val="auto"/>
        </w:rPr>
        <w:t>. For purposes of determining whether a royalty threshold or a Sales Milestone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been attained, only Net Sales that are subject to a royalty payment shall be included in the total amount of Net Sales and any Net Sales that are not subject to a royalty payment shall be excluded. For clarity, Company’s obligation to pay royalties to Licensor under this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is imposed only once with respect to the same unit of Licensed Product regardless of the number of Licensed Patents pertaining thereto.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606" w:right="319" w:bottom="1440" w:gutter="0" w:footer="0" w:header="0"/>
        </w:sectPr>
      </w:pPr>
    </w:p>
    <w:bookmarkStart w:id="163" w:name="page164"/>
    <w:bookmarkEnd w:id="163"/>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b w:val="1"/>
          <w:bCs w:val="1"/>
          <w:color w:val="auto"/>
        </w:rPr>
        <w:t>Existing Third-Party Agreements</w:t>
      </w:r>
      <w:r>
        <w:rPr>
          <w:rFonts w:ascii="Times New Roman" w:cs="Times New Roman" w:eastAsia="Times New Roman" w:hAnsi="Times New Roman"/>
          <w:sz w:val="20"/>
          <w:szCs w:val="20"/>
          <w:color w:val="auto"/>
        </w:rPr>
        <w:t>. Licensor shall be responsible for the timely payment of any amounts due under any Existing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Third-Party Agreement, and in the event that Licensor shall fail to make any payment when due under such Existing Third-Party Agreement, Company shall have the right, but not the obligation, to make such payment on behalf of Licensor. In such event, Licensor shall promptly reimburse Company any such amounts paid by Company or, at Company’s election, Company may offset such amounts paid by Company against any amounts payable to Licensor hereunder. For clarity, Company has no obligation to make any payments due under the Existing Third-Party Agreement and all such payment obligations, including payments arising from Company’s exploitation of the license set forth in Section 2.1, are the responsibility of Licensor.</w:t>
      </w:r>
    </w:p>
    <w:p>
      <w:pPr>
        <w:spacing w:after="0" w:line="17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b w:val="1"/>
          <w:bCs w:val="1"/>
          <w:color w:val="auto"/>
        </w:rPr>
        <w:t>Timing of Payment</w:t>
      </w:r>
      <w:r>
        <w:rPr>
          <w:rFonts w:ascii="Times New Roman" w:cs="Times New Roman" w:eastAsia="Times New Roman" w:hAnsi="Times New Roman"/>
          <w:sz w:val="20"/>
          <w:szCs w:val="20"/>
          <w:color w:val="auto"/>
        </w:rPr>
        <w:t>. Royalties payable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payable on actual Net Sales and shall accrue at the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invoice for the sale of Licensed Product is delivered. Royalty obligations that have accrued during a particular Calendar Quarter shall be paid, on a Calendar Quarter basis, within [***] after the end of each Calendar Quarter during which the royalty obligation accrued.</w:t>
      </w:r>
    </w:p>
    <w:p>
      <w:pPr>
        <w:spacing w:after="0" w:line="1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b w:val="1"/>
          <w:bCs w:val="1"/>
          <w:color w:val="auto"/>
        </w:rPr>
        <w:t>Mode of Payment and Currency; Invoices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080" w:hanging="229"/>
        <w:spacing w:after="0" w:line="24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Currency</w:t>
      </w:r>
      <w:r>
        <w:rPr>
          <w:rFonts w:ascii="Times New Roman" w:cs="Times New Roman" w:eastAsia="Times New Roman" w:hAnsi="Times New Roman"/>
          <w:sz w:val="20"/>
          <w:szCs w:val="20"/>
          <w:color w:val="auto"/>
        </w:rPr>
        <w:t>. All payments to Licensor hereunder shall be made by deposit of USD in the requisite amount to such bank account as Licensor may from time to time designate by written notice to Company. With respect to sales not denominated in USD, Company shall convert applicable sales in foreign currency into USD by using the then current and reasonable standard exchange rate methodology applied to its external reporting. Based on the resulting sales in USD, the then applicable royalties shall be calculated. The Parties may vary the method of payment set forth herein at any time upon mutual written agreement, and any change shall be consistent with the local Law at the place of payment or remittance.</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b w:val="1"/>
          <w:bCs w:val="1"/>
          <w:color w:val="auto"/>
        </w:rPr>
        <w:t>Invoices</w:t>
      </w:r>
      <w:r>
        <w:rPr>
          <w:rFonts w:ascii="Times New Roman" w:cs="Times New Roman" w:eastAsia="Times New Roman" w:hAnsi="Times New Roman"/>
          <w:sz w:val="20"/>
          <w:szCs w:val="20"/>
          <w:color w:val="auto"/>
        </w:rPr>
        <w:t xml:space="preserve">. Licensor shall submit its invoices to </w:t>
      </w:r>
      <w:r>
        <w:rPr>
          <w:rFonts w:ascii="Times New Roman" w:cs="Times New Roman" w:eastAsia="Times New Roman" w:hAnsi="Times New Roman"/>
          <w:sz w:val="20"/>
          <w:szCs w:val="20"/>
          <w:u w:val="single" w:color="auto"/>
          <w:color w:val="auto"/>
        </w:rPr>
        <w:t>accountspayable@pbmcap.com</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20"/>
          <w:szCs w:val="20"/>
          <w:b w:val="1"/>
          <w:bCs w:val="1"/>
          <w:color w:val="auto"/>
        </w:rPr>
        <w:t>Royalty Reports</w:t>
      </w:r>
      <w:r>
        <w:rPr>
          <w:rFonts w:ascii="Times New Roman" w:cs="Times New Roman" w:eastAsia="Times New Roman" w:hAnsi="Times New Roman"/>
          <w:sz w:val="20"/>
          <w:szCs w:val="20"/>
          <w:color w:val="auto"/>
        </w:rPr>
        <w:t>. Within [***] after the end of each Calendar Quarter during which Licensed Product has been sold,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deliver to Licensor, together with the applicable royalty payment due for such Calendar Quarter, a written report, on a Licensed Product-by-Licensed Product basis, of Net Sales subject to royalty payments for such Calendar Quarter. Such report shall be deemed “Confidential Information” of Company subject to the obligations of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 xml:space="preserve"> of this Agreement.</w:t>
      </w:r>
    </w:p>
    <w:p>
      <w:pPr>
        <w:spacing w:after="0" w:line="176" w:lineRule="exact"/>
        <w:rPr>
          <w:sz w:val="20"/>
          <w:szCs w:val="20"/>
          <w:color w:val="auto"/>
        </w:rPr>
      </w:pPr>
    </w:p>
    <w:p>
      <w:pPr>
        <w:jc w:val="both"/>
        <w:ind w:left="860" w:hanging="849"/>
        <w:spacing w:after="0" w:line="266" w:lineRule="auto"/>
        <w:tabs>
          <w:tab w:leader="none" w:pos="84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19"/>
          <w:szCs w:val="19"/>
          <w:b w:val="1"/>
          <w:bCs w:val="1"/>
          <w:color w:val="auto"/>
        </w:rPr>
        <w:t>Late Payments</w:t>
      </w:r>
      <w:r>
        <w:rPr>
          <w:rFonts w:ascii="Times New Roman" w:cs="Times New Roman" w:eastAsia="Times New Roman" w:hAnsi="Times New Roman"/>
          <w:sz w:val="19"/>
          <w:szCs w:val="19"/>
          <w:color w:val="auto"/>
        </w:rPr>
        <w:t>. Any failure by Company to make a payment within [***] after the date when due shall obligate Company to pay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computed interest, the interest period commencing on the due date and ending on the actual payment date, to Licensor at a rate of</w:t>
      </w:r>
    </w:p>
    <w:p>
      <w:pPr>
        <w:spacing w:after="0" w:line="1" w:lineRule="exact"/>
        <w:rPr>
          <w:sz w:val="20"/>
          <w:szCs w:val="20"/>
          <w:color w:val="auto"/>
        </w:rPr>
      </w:pPr>
    </w:p>
    <w:p>
      <w:pPr>
        <w:ind w:left="1340" w:hanging="482"/>
        <w:spacing w:after="0"/>
        <w:tabs>
          <w:tab w:leader="none" w:pos="13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 month, or the highest rate allowed by Law, whichever is lower.</w:t>
      </w:r>
    </w:p>
    <w:p>
      <w:pPr>
        <w:spacing w:after="0" w:line="18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5.10</w:t>
      </w:r>
      <w:r>
        <w:rPr>
          <w:rFonts w:ascii="Times New Roman" w:cs="Times New Roman" w:eastAsia="Times New Roman" w:hAnsi="Times New Roman"/>
          <w:sz w:val="19"/>
          <w:szCs w:val="19"/>
          <w:b w:val="1"/>
          <w:bCs w:val="1"/>
          <w:color w:val="auto"/>
        </w:rPr>
        <w:t>Audits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080" w:hanging="222"/>
        <w:spacing w:after="0" w:line="260" w:lineRule="auto"/>
        <w:tabs>
          <w:tab w:leader="none" w:pos="108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Audits Generally</w:t>
      </w:r>
      <w:r>
        <w:rPr>
          <w:rFonts w:ascii="Times New Roman" w:cs="Times New Roman" w:eastAsia="Times New Roman" w:hAnsi="Times New Roman"/>
          <w:sz w:val="19"/>
          <w:szCs w:val="19"/>
          <w:color w:val="auto"/>
        </w:rPr>
        <w:t>. During the Royalty Term and for [***] thereafter, and not more than once in each Calendar Year,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shall permit, and shall cause its Affiliates or Sublicensees to permit, an independent certified public accounting firm of nationally recognized standing selected by Licensor, and reasonably acceptable to Company or such Affiliate or Sublicensee, to have access to and to review, during normal business hours upon reasonable prior written notice, the applicable records of Company and its Affiliates or Sublicensees to verify the accuracy of the royalty reports and payments under this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w:t>
      </w:r>
      <w:r>
        <w:rPr>
          <w:rFonts w:ascii="Times New Roman" w:cs="Times New Roman" w:eastAsia="Times New Roman" w:hAnsi="Times New Roman"/>
          <w:sz w:val="19"/>
          <w:szCs w:val="19"/>
          <w:color w:val="auto"/>
        </w:rPr>
        <w:t>. Such review may cover the records for sales made in any Calendar Year ending not more than [***] prior to the date of such request.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4" w:name="page165"/>
    <w:bookmarkEnd w:id="164"/>
    <w:p>
      <w:pPr>
        <w:ind w:left="860"/>
        <w:spacing w:after="0" w:line="269" w:lineRule="auto"/>
        <w:rPr>
          <w:sz w:val="20"/>
          <w:szCs w:val="20"/>
          <w:color w:val="auto"/>
        </w:rPr>
      </w:pPr>
      <w:r>
        <w:rPr>
          <w:rFonts w:ascii="Times New Roman" w:cs="Times New Roman" w:eastAsia="Times New Roman" w:hAnsi="Times New Roman"/>
          <w:sz w:val="20"/>
          <w:szCs w:val="20"/>
          <w:color w:val="auto"/>
        </w:rPr>
        <w:t>accounting firm shall disclose to Licensor and Company only whether the royalty reports are correct or incorrect and the specific details concerning any discrepancies. No other information shall be provided to Licensor.</w:t>
      </w:r>
    </w:p>
    <w:p>
      <w:pPr>
        <w:spacing w:after="0" w:line="155" w:lineRule="exact"/>
        <w:rPr>
          <w:sz w:val="20"/>
          <w:szCs w:val="20"/>
          <w:color w:val="auto"/>
        </w:rPr>
      </w:pPr>
    </w:p>
    <w:p>
      <w:pPr>
        <w:jc w:val="both"/>
        <w:ind w:left="1100" w:hanging="242"/>
        <w:spacing w:after="0" w:line="242" w:lineRule="auto"/>
        <w:tabs>
          <w:tab w:leader="none" w:pos="11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Audit-Based Reconciliation</w:t>
      </w:r>
      <w:r>
        <w:rPr>
          <w:rFonts w:ascii="Times New Roman" w:cs="Times New Roman" w:eastAsia="Times New Roman" w:hAnsi="Times New Roman"/>
          <w:sz w:val="20"/>
          <w:szCs w:val="20"/>
          <w:color w:val="auto"/>
        </w:rPr>
        <w:t>. If such accounting firm concludes that additional royalties were owed during such period,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agrees with such calculation, Company shall pay the additional undisputed royalties within [***] after the date Licensor delivers to Company such accounting firm’s written report, together with any interest payable under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If such accounting firm concludes that an overpayment was made, such overpayment shall be fully creditable against amounts payable in subsequent payment periods or, at Company’s request, shall be promptly reimbursed to Company. If Company disagrees with such calculation, it may retain its own independent certified public accounting firm of recognized standing and reasonably acceptable to Licensor, to conduct a review, and if such firm concurs with the other accounting firm, Company shall make the required payment within [***] after the date Company receives the report of its accounting firm. If Company’s accounting firm does not concur, Company and Licensor shall meet and negotiate in good faith a resolution of the discrepancies between the two firms. Licensor shall pay for the cost of any audit, unless Company has underpaid Licensor by more than [***], in which case Company shall pay for the costs of audit.</w:t>
      </w:r>
    </w:p>
    <w:p>
      <w:pPr>
        <w:spacing w:after="0" w:line="189" w:lineRule="exact"/>
        <w:rPr>
          <w:rFonts w:ascii="Times New Roman" w:cs="Times New Roman" w:eastAsia="Times New Roman" w:hAnsi="Times New Roman"/>
          <w:sz w:val="20"/>
          <w:szCs w:val="20"/>
          <w:color w:val="auto"/>
        </w:rPr>
      </w:pPr>
    </w:p>
    <w:p>
      <w:pPr>
        <w:jc w:val="both"/>
        <w:ind w:left="1080" w:hanging="222"/>
        <w:spacing w:after="0" w:line="261" w:lineRule="auto"/>
        <w:tabs>
          <w:tab w:leader="none" w:pos="108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Audit Confidentiality</w:t>
      </w:r>
      <w:r>
        <w:rPr>
          <w:rFonts w:ascii="Times New Roman" w:cs="Times New Roman" w:eastAsia="Times New Roman" w:hAnsi="Times New Roman"/>
          <w:sz w:val="19"/>
          <w:szCs w:val="19"/>
          <w:color w:val="auto"/>
        </w:rPr>
        <w:t>. Each Party shall treat all information that it receives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accordance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confidentiality provisions of </w:t>
      </w:r>
      <w:r>
        <w:rPr>
          <w:rFonts w:ascii="Times New Roman" w:cs="Times New Roman" w:eastAsia="Times New Roman" w:hAnsi="Times New Roman"/>
          <w:sz w:val="19"/>
          <w:szCs w:val="19"/>
          <w:u w:val="single" w:color="auto"/>
          <w:color w:val="auto"/>
        </w:rPr>
        <w:t>ARTICLE 7</w:t>
      </w:r>
      <w:r>
        <w:rPr>
          <w:rFonts w:ascii="Times New Roman" w:cs="Times New Roman" w:eastAsia="Times New Roman" w:hAnsi="Times New Roman"/>
          <w:sz w:val="19"/>
          <w:szCs w:val="19"/>
          <w:color w:val="auto"/>
        </w:rPr>
        <w:t xml:space="preserve"> of this Agreement, and shall cause its accounting firm to enter into an acceptable confidentiality agreement with the other Party obligating such firm to retain all such financial information in confidence pursuant to such confidentiality agreement, except to the extent necessary for such Party to enforce its rights under this Agreement. The terms of this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 xml:space="preserve">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xml:space="preserve"> with respect to Company’s right to audit Licensor’s records related to those Out-of-Pocket Expenses for which Licensor seeks reimbursement hereunder.</w:t>
      </w:r>
    </w:p>
    <w:p>
      <w:pPr>
        <w:spacing w:after="0" w:line="167"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Licensor shall be responsible for the payment of any and all Taxes levied on account of the royalties and other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paid to Licensor by Company or its Affiliates or Sublicensees under this Agreement. If Law requires that Taxes be deducted and withheld from royalties or other payments paid under this Agreement, Company shall (a) deduct those Taxes and interests and penalties assessed thereon from the payment or from any other payment owed by Company hereunder; (b) pay the Taxes to the proper Governmental Body; (c) send evidence of the obligation together with proof of Tax payment to Licensor within [***] following such payment; (d) remit the net amount, after deductions or withholding made under this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and (e) cooperate with Licensor in any way reasonably requested by Licensor, to obtain available reductions, credits or refunds of such Taxes; provided, however, that Licensor shall reimburse Company for Company’s Out-of-Pocket Expenses incurred in providing such assistance.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INVENTIONS AND PATENTS</w:t>
      </w:r>
    </w:p>
    <w:p>
      <w:pPr>
        <w:spacing w:after="0" w:line="19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b w:val="1"/>
          <w:bCs w:val="1"/>
          <w:color w:val="auto"/>
        </w:rPr>
        <w:t>Further Assurances</w:t>
      </w:r>
      <w:r>
        <w:rPr>
          <w:rFonts w:ascii="Times New Roman" w:cs="Times New Roman" w:eastAsia="Times New Roman" w:hAnsi="Times New Roman"/>
          <w:sz w:val="20"/>
          <w:szCs w:val="20"/>
          <w:color w:val="auto"/>
        </w:rPr>
        <w:t>. Licensor shall require all of its employees, and use its best efforts to require its contractors and agents,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Affiliates and Third Parties working on its behalf under this Agreement (and their respective employees, contractors and agents), to assign to Licensor any Licensed Technology.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5" w:name="page166"/>
    <w:bookmarkEnd w:id="165"/>
    <w:p>
      <w:pPr>
        <w:spacing w:after="0"/>
        <w:tabs>
          <w:tab w:leader="none" w:pos="8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b w:val="1"/>
          <w:bCs w:val="1"/>
          <w:color w:val="auto"/>
        </w:rPr>
        <w:t>Patent Prosecution and Maintenance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880" w:hanging="8"/>
        <w:spacing w:after="0" w:line="246" w:lineRule="auto"/>
        <w:tabs>
          <w:tab w:leader="none" w:pos="174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Licensed Patents</w:t>
      </w:r>
      <w:r>
        <w:rPr>
          <w:rFonts w:ascii="Times New Roman" w:cs="Times New Roman" w:eastAsia="Times New Roman" w:hAnsi="Times New Roman"/>
          <w:sz w:val="20"/>
          <w:szCs w:val="20"/>
          <w:color w:val="auto"/>
        </w:rPr>
        <w:t>. As between the Parties, and subject to the UNC Agreement and the Edinburgh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Licensor shall have the first right, and the obligation, to file, prosecute (including initiating or defending any reexamination and reissue proceedings), and maintain Licensed Patents in Licensor’s name. Company shall bear all costs and expenses of filing, prosecuting and maintaining Licensed Patents that are the subject of the sublicenses under the Edinburgh Agreement and UNC</w:t>
      </w:r>
    </w:p>
    <w:p>
      <w:pPr>
        <w:spacing w:after="0" w:line="1" w:lineRule="exact"/>
        <w:rPr>
          <w:sz w:val="20"/>
          <w:szCs w:val="20"/>
          <w:color w:val="auto"/>
        </w:rPr>
      </w:pPr>
    </w:p>
    <w:p>
      <w:pPr>
        <w:jc w:val="both"/>
        <w:ind w:left="880"/>
        <w:spacing w:after="0" w:line="241" w:lineRule="auto"/>
        <w:rPr>
          <w:sz w:val="20"/>
          <w:szCs w:val="20"/>
          <w:color w:val="auto"/>
        </w:rPr>
      </w:pPr>
      <w:r>
        <w:rPr>
          <w:rFonts w:ascii="Times New Roman" w:cs="Times New Roman" w:eastAsia="Times New Roman" w:hAnsi="Times New Roman"/>
          <w:sz w:val="20"/>
          <w:szCs w:val="20"/>
          <w:color w:val="auto"/>
        </w:rPr>
        <w:t>Agreement. Licensor shall keep Company informed of the status of the filing and prosecution of Licensed Patents. Notwithstanding the foregoing, upon written agreement between the Parties, Company shall have the step-in right to lead prosecution and file, prosecute and maintain the foregoing Licensed Patents in Licensor’s name. In such event, Company agrees to keep Licensor informed of the status of the filing and prosecution of Licensed Patents.</w:t>
      </w:r>
    </w:p>
    <w:p>
      <w:pPr>
        <w:spacing w:after="0" w:line="184" w:lineRule="exact"/>
        <w:rPr>
          <w:sz w:val="20"/>
          <w:szCs w:val="20"/>
          <w:color w:val="auto"/>
        </w:rPr>
      </w:pPr>
    </w:p>
    <w:p>
      <w:pPr>
        <w:jc w:val="both"/>
        <w:ind w:left="880" w:hanging="8"/>
        <w:spacing w:after="0" w:line="243" w:lineRule="auto"/>
        <w:tabs>
          <w:tab w:leader="none" w:pos="175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Election Not to File and Prosecute Licensed Patents</w:t>
      </w:r>
      <w:r>
        <w:rPr>
          <w:rFonts w:ascii="Times New Roman" w:cs="Times New Roman" w:eastAsia="Times New Roman" w:hAnsi="Times New Roman"/>
          <w:sz w:val="20"/>
          <w:szCs w:val="20"/>
          <w:color w:val="auto"/>
        </w:rPr>
        <w:t>. As between the Parties, and subject to the UNC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Edinburgh Agreement, if Licensor is leading prosecution and maintenance of the Licensed Patents and elects not to file or to continue to prosecute or maintain a Licensed Patent (or receives notification from UNC or University of Edinburgh), then it shall notify the Company in writing at least [***] before any deadline applicable to the filing, prosecution or maintenance of such Licensed Patent, as the case may be, or any other date by which an action must be taken to establish or preserve such Licensed Patent in such country or possession. In such case and except in cases of strategic abandonment, Company shall have the right to pursue the filing or support the continued prosecution or maintenance of such Licensed Patent. If Company fails to continue prosecution or maintenance of any of the Licensed Patents, then such abandoned Licensed Patents shall not extend the Royalty Term (i.e., no royalty payments shall be due under this Agreement on account of such abandoned Licensed Patents).</w:t>
      </w:r>
    </w:p>
    <w:p>
      <w:pPr>
        <w:spacing w:after="0" w:line="185" w:lineRule="exact"/>
        <w:rPr>
          <w:rFonts w:ascii="Times New Roman" w:cs="Times New Roman" w:eastAsia="Times New Roman" w:hAnsi="Times New Roman"/>
          <w:sz w:val="20"/>
          <w:szCs w:val="20"/>
          <w:color w:val="auto"/>
        </w:rPr>
      </w:pPr>
    </w:p>
    <w:p>
      <w:pPr>
        <w:jc w:val="both"/>
        <w:ind w:left="880" w:hanging="8"/>
        <w:spacing w:after="0" w:line="246" w:lineRule="auto"/>
        <w:tabs>
          <w:tab w:leader="none" w:pos="174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Patent Term Extension</w:t>
      </w:r>
      <w:r>
        <w:rPr>
          <w:rFonts w:ascii="Times New Roman" w:cs="Times New Roman" w:eastAsia="Times New Roman" w:hAnsi="Times New Roman"/>
          <w:sz w:val="20"/>
          <w:szCs w:val="20"/>
          <w:color w:val="auto"/>
        </w:rPr>
        <w:t>. As between the Parties, and subject to the UNC Agreement and the Edinburgh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be responsible for obtaining patent term extensions wherever available for Licensed Patents, but Company has no obligation to seek any patent term extension. Licensor shall provide Company with all relevant information, documentation and assistance in this respect as may reasonably be requested by Company. Any such assistance, supply of information and consultation shall be provided promptly and in a manner that will ensure that all patent term extensions for Licensed Patents are obtained wherever legally permissible, and to the maximum extent available.</w:t>
      </w:r>
    </w:p>
    <w:p>
      <w:pPr>
        <w:spacing w:after="0" w:line="178" w:lineRule="exact"/>
        <w:rPr>
          <w:rFonts w:ascii="Times New Roman" w:cs="Times New Roman" w:eastAsia="Times New Roman" w:hAnsi="Times New Roman"/>
          <w:sz w:val="20"/>
          <w:szCs w:val="20"/>
          <w:color w:val="auto"/>
        </w:rPr>
      </w:pPr>
    </w:p>
    <w:p>
      <w:pPr>
        <w:jc w:val="both"/>
        <w:ind w:left="880" w:hanging="8"/>
        <w:spacing w:after="0" w:line="247" w:lineRule="auto"/>
        <w:tabs>
          <w:tab w:leader="none" w:pos="175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Patents</w:t>
      </w:r>
      <w:r>
        <w:rPr>
          <w:rFonts w:ascii="Times New Roman" w:cs="Times New Roman" w:eastAsia="Times New Roman" w:hAnsi="Times New Roman"/>
          <w:sz w:val="20"/>
          <w:szCs w:val="20"/>
          <w:color w:val="auto"/>
        </w:rPr>
        <w:t>. Company shall own any inventions, discoveries, Know-How and intellectual property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developed by Company or any of its Affiliates or a Third Party on behalf of Company and shall have the right, but not the obligation, to file, prosecute and maintain Patent Rights covering or claiming any such inventions, discoveries, Know-How or intellectual property (“</w:t>
      </w:r>
      <w:r>
        <w:rPr>
          <w:rFonts w:ascii="Times New Roman" w:cs="Times New Roman" w:eastAsia="Times New Roman" w:hAnsi="Times New Roman"/>
          <w:sz w:val="20"/>
          <w:szCs w:val="20"/>
          <w:b w:val="1"/>
          <w:bCs w:val="1"/>
          <w:color w:val="auto"/>
        </w:rPr>
        <w:t>Company Patents</w:t>
      </w:r>
      <w:r>
        <w:rPr>
          <w:rFonts w:ascii="Times New Roman" w:cs="Times New Roman" w:eastAsia="Times New Roman" w:hAnsi="Times New Roman"/>
          <w:sz w:val="20"/>
          <w:szCs w:val="20"/>
          <w:color w:val="auto"/>
        </w:rPr>
        <w:t>”). Company shall bear all costs and expenses of filing, prosecuting and maintaining Company Patents and Licensor shall have no particular rights with respect thereto.</w:t>
      </w:r>
    </w:p>
    <w:p>
      <w:pPr>
        <w:spacing w:after="0" w:line="184" w:lineRule="exact"/>
        <w:rPr>
          <w:rFonts w:ascii="Times New Roman" w:cs="Times New Roman" w:eastAsia="Times New Roman" w:hAnsi="Times New Roman"/>
          <w:sz w:val="20"/>
          <w:szCs w:val="20"/>
          <w:color w:val="auto"/>
        </w:rPr>
      </w:pPr>
    </w:p>
    <w:p>
      <w:pPr>
        <w:jc w:val="both"/>
        <w:ind w:left="880" w:hanging="8"/>
        <w:spacing w:after="0" w:line="266" w:lineRule="auto"/>
        <w:tabs>
          <w:tab w:leader="none" w:pos="1748"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UNC or University of Edinburgh control prosecution, maintenance or enforcement of the Licensed Patents, Licensor shall provide all rights of Licensor under the UNC Agreement and Edinburgh Agreement to Company hereunder relating to the prosecution, maintenance and enforcement of the Licensed Patents. Licensor shall keep Company timely informed of any prosecution actions and provide Company the ability to provide comments to any filings relating to the Licensed Patents.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6" w:name="page167"/>
    <w:bookmarkEnd w:id="166"/>
    <w:p>
      <w:pPr>
        <w:spacing w:after="0"/>
        <w:tabs>
          <w:tab w:leader="none" w:pos="8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b w:val="1"/>
          <w:bCs w:val="1"/>
          <w:color w:val="auto"/>
        </w:rPr>
        <w:t>Enforcement and Defense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740" w:hanging="868"/>
        <w:spacing w:after="0"/>
        <w:tabs>
          <w:tab w:leader="none" w:pos="17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880" w:firstLine="789"/>
        <w:spacing w:after="0" w:line="249" w:lineRule="auto"/>
        <w:tabs>
          <w:tab w:leader="none" w:pos="251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Party believes that an infringement, unauthorized use, misappropriation or ownership claim or threatened infringement or other such activity by a Third Party with respect to any Licensed Technology, or if a Third Party claims that any Licensed Patent is invalid or unenforceable, the Party possessing such knowledge or belief shall notify the other Party and provide it with details of such infringement or claim that are known by such Party.</w:t>
      </w:r>
    </w:p>
    <w:p>
      <w:pPr>
        <w:spacing w:after="0" w:line="179"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567"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Licensor believes that a Company Patent, if any, is being infringed by a Third Party or if a Third Party claims that any Company Patent is invalid or unenforceable, Licensor shall notify Company and provide it with details of such infringement or claim.</w:t>
      </w:r>
    </w:p>
    <w:p>
      <w:pPr>
        <w:spacing w:after="0" w:line="170"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Actions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880" w:firstLine="789"/>
        <w:spacing w:after="0" w:line="243" w:lineRule="auto"/>
        <w:tabs>
          <w:tab w:leader="none" w:pos="251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and subject to the UNC Agreement and the Edinburgh Agreement, Company shall have the first right to attempt to resolve any infringement or claim, including by filing an infringement suit, defending against such claim or taking other similar action, with respect to a Licensed Patent (each, an “</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xml:space="preserve">”) and to compromise or settle any such infringement or claim subject to </w:t>
      </w:r>
      <w:r>
        <w:rPr>
          <w:rFonts w:ascii="Times New Roman" w:cs="Times New Roman" w:eastAsia="Times New Roman" w:hAnsi="Times New Roman"/>
          <w:sz w:val="20"/>
          <w:szCs w:val="20"/>
          <w:u w:val="single" w:color="auto"/>
          <w:color w:val="auto"/>
        </w:rPr>
        <w:t>Section 6.3(c)</w:t>
      </w:r>
      <w:r>
        <w:rPr>
          <w:rFonts w:ascii="Times New Roman" w:cs="Times New Roman" w:eastAsia="Times New Roman" w:hAnsi="Times New Roman"/>
          <w:sz w:val="20"/>
          <w:szCs w:val="20"/>
          <w:color w:val="auto"/>
        </w:rPr>
        <w:t>. Licensor shall provide reasonable assistance to Company at Company’s cost and expense, including by providing access to relevant documents and other evidence and making its employees reasonably available. All amounts recovered by Company shall be allocated, first, to the costs and expenses of the Parties incurred to enforce the Licensed Patents and, second, to Company (provided that such remaining amounts shall be deemed Net Sales for royalty and Sales Milestone calculation purposes).</w:t>
      </w:r>
    </w:p>
    <w:p>
      <w:pPr>
        <w:spacing w:after="0" w:line="189" w:lineRule="exact"/>
        <w:rPr>
          <w:rFonts w:ascii="Times New Roman" w:cs="Times New Roman" w:eastAsia="Times New Roman" w:hAnsi="Times New Roman"/>
          <w:sz w:val="20"/>
          <w:szCs w:val="20"/>
          <w:color w:val="auto"/>
        </w:rPr>
      </w:pPr>
    </w:p>
    <w:p>
      <w:pPr>
        <w:jc w:val="both"/>
        <w:ind w:left="880" w:firstLine="789"/>
        <w:spacing w:after="0" w:line="244" w:lineRule="auto"/>
        <w:tabs>
          <w:tab w:leader="none" w:pos="2567"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between the Parties, and subject to the UNC Agreement and the Edinburgh Agreement, if Company elects not to exercise its first right with respect to an Action as set forth in </w:t>
      </w:r>
      <w:r>
        <w:rPr>
          <w:rFonts w:ascii="Times New Roman" w:cs="Times New Roman" w:eastAsia="Times New Roman" w:hAnsi="Times New Roman"/>
          <w:sz w:val="20"/>
          <w:szCs w:val="20"/>
          <w:u w:val="single" w:color="auto"/>
          <w:color w:val="auto"/>
        </w:rPr>
        <w:t>Section 6.3(b)(i)</w:t>
      </w:r>
      <w:r>
        <w:rPr>
          <w:rFonts w:ascii="Times New Roman" w:cs="Times New Roman" w:eastAsia="Times New Roman" w:hAnsi="Times New Roman"/>
          <w:sz w:val="20"/>
          <w:szCs w:val="20"/>
          <w:color w:val="auto"/>
        </w:rPr>
        <w:t>, then it shall promptly notify Licensor in writing (but in any event with at least [***] before any deadline applicable to such Action or any other date by which an action must be taken to establish or preserve such right bring or defend such Action). In such case, Licensor shall have the right to pursue the Action to enforce or defend such Licensed Patent. Company shall provide Licensor with all relevant information, documentation and assistance in this respect as may reasonably be requested by Licensor. Licensor shall join Company in such Action upon Company’s written request. All amounts recovered by Company shall be retained by Company.</w:t>
      </w:r>
    </w:p>
    <w:p>
      <w:pPr>
        <w:spacing w:after="0" w:line="181" w:lineRule="exact"/>
        <w:rPr>
          <w:rFonts w:ascii="Times New Roman" w:cs="Times New Roman" w:eastAsia="Times New Roman" w:hAnsi="Times New Roman"/>
          <w:sz w:val="20"/>
          <w:szCs w:val="20"/>
          <w:color w:val="auto"/>
        </w:rPr>
      </w:pPr>
    </w:p>
    <w:p>
      <w:pPr>
        <w:jc w:val="both"/>
        <w:ind w:left="880" w:hanging="8"/>
        <w:spacing w:after="0" w:line="256" w:lineRule="auto"/>
        <w:tabs>
          <w:tab w:leader="none" w:pos="17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Settlement without Consent</w:t>
      </w:r>
      <w:r>
        <w:rPr>
          <w:rFonts w:ascii="Times New Roman" w:cs="Times New Roman" w:eastAsia="Times New Roman" w:hAnsi="Times New Roman"/>
          <w:sz w:val="20"/>
          <w:szCs w:val="20"/>
          <w:color w:val="auto"/>
        </w:rPr>
        <w:t>. Neither Party shall settle or otherwise compromise any Action by admitting that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Licensed Patent is invalid or unenforceable without the other Party’s prior written consent, and, in the case of Licensor, Licensor may not settle or otherwise compromise an Action without Company’s prior written consent.</w:t>
      </w:r>
    </w:p>
    <w:p>
      <w:pPr>
        <w:spacing w:after="0" w:line="168" w:lineRule="exact"/>
        <w:rPr>
          <w:rFonts w:ascii="Times New Roman" w:cs="Times New Roman" w:eastAsia="Times New Roman" w:hAnsi="Times New Roman"/>
          <w:sz w:val="20"/>
          <w:szCs w:val="20"/>
          <w:color w:val="auto"/>
        </w:rPr>
      </w:pPr>
    </w:p>
    <w:p>
      <w:pPr>
        <w:jc w:val="both"/>
        <w:ind w:left="880" w:hanging="8"/>
        <w:spacing w:after="0" w:line="250" w:lineRule="auto"/>
        <w:tabs>
          <w:tab w:leader="none" w:pos="175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 Patents</w:t>
      </w:r>
      <w:r>
        <w:rPr>
          <w:rFonts w:ascii="Times New Roman" w:cs="Times New Roman" w:eastAsia="Times New Roman" w:hAnsi="Times New Roman"/>
          <w:sz w:val="20"/>
          <w:szCs w:val="20"/>
          <w:color w:val="auto"/>
        </w:rPr>
        <w:t>. Company shall have the sole right and authority, but not the obligation, to enforce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Patents against any Third Party infringer and defend Company Patents against any Third Party; provided, that Licensor shall provide reasonable assistance to Company with respect thereto, including providing access to relevant documents and other evidence and making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67" w:name="page168"/>
    <w:bookmarkEnd w:id="167"/>
    <w:p>
      <w:pPr>
        <w:ind w:left="880"/>
        <w:spacing w:after="0" w:line="269" w:lineRule="auto"/>
        <w:rPr>
          <w:sz w:val="20"/>
          <w:szCs w:val="20"/>
          <w:color w:val="auto"/>
        </w:rPr>
      </w:pPr>
      <w:r>
        <w:rPr>
          <w:rFonts w:ascii="Times New Roman" w:cs="Times New Roman" w:eastAsia="Times New Roman" w:hAnsi="Times New Roman"/>
          <w:sz w:val="20"/>
          <w:szCs w:val="20"/>
          <w:color w:val="auto"/>
        </w:rPr>
        <w:t>its employees available, subject to Company’s reimbursement of any Out-of-Pocket Expenses incurred on an on-going basis in providing such assistance.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CONFIDENTIALITY</w:t>
      </w:r>
    </w:p>
    <w:p>
      <w:pPr>
        <w:spacing w:after="0" w:line="190"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b w:val="1"/>
          <w:bCs w:val="1"/>
          <w:color w:val="auto"/>
        </w:rPr>
        <w:t>Confidentiality Obligations</w:t>
      </w:r>
      <w:r>
        <w:rPr>
          <w:rFonts w:ascii="Times New Roman" w:cs="Times New Roman" w:eastAsia="Times New Roman" w:hAnsi="Times New Roman"/>
          <w:sz w:val="20"/>
          <w:szCs w:val="20"/>
          <w:color w:val="auto"/>
        </w:rPr>
        <w:t>. Each Party agrees that, for the Term and for [***] thereafter, such Party shall, and shall ensure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Representatives hold in confidence all Confidential Information disclosed to it by the other Party pursuant to this Agreement, unless such information, as demonstrated by competent evidence of the recipient:</w:t>
      </w:r>
    </w:p>
    <w:p>
      <w:pPr>
        <w:spacing w:after="0" w:line="173" w:lineRule="exact"/>
        <w:rPr>
          <w:sz w:val="20"/>
          <w:szCs w:val="20"/>
          <w:color w:val="auto"/>
        </w:rPr>
      </w:pPr>
    </w:p>
    <w:p>
      <w:pPr>
        <w:ind w:left="2500" w:hanging="831"/>
        <w:spacing w:after="0"/>
        <w:tabs>
          <w:tab w:leader="none" w:pos="25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becomes generally available to the public other than as a result of disclosure by the recipient;</w:t>
      </w:r>
    </w:p>
    <w:p>
      <w:pPr>
        <w:spacing w:after="0" w:line="215" w:lineRule="exact"/>
        <w:rPr>
          <w:rFonts w:ascii="Times New Roman" w:cs="Times New Roman" w:eastAsia="Times New Roman" w:hAnsi="Times New Roman"/>
          <w:sz w:val="20"/>
          <w:szCs w:val="20"/>
          <w:color w:val="auto"/>
        </w:rPr>
      </w:pPr>
    </w:p>
    <w:p>
      <w:pPr>
        <w:ind w:left="2560" w:hanging="891"/>
        <w:spacing w:after="0"/>
        <w:tabs>
          <w:tab w:leader="none" w:pos="25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already known by or in the possession of the recipient at the time of disclosure by the disclosing Party;</w:t>
      </w:r>
    </w:p>
    <w:p>
      <w:pPr>
        <w:spacing w:after="0" w:line="215" w:lineRule="exact"/>
        <w:rPr>
          <w:rFonts w:ascii="Times New Roman" w:cs="Times New Roman" w:eastAsia="Times New Roman" w:hAnsi="Times New Roman"/>
          <w:sz w:val="20"/>
          <w:szCs w:val="20"/>
          <w:color w:val="auto"/>
        </w:rPr>
      </w:pPr>
    </w:p>
    <w:p>
      <w:pPr>
        <w:ind w:left="2620" w:hanging="951"/>
        <w:spacing w:after="0"/>
        <w:tabs>
          <w:tab w:leader="none" w:pos="26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independently developed by recipient without use of or reference to the disclosing Party’s Confidential</w:t>
      </w:r>
    </w:p>
    <w:p>
      <w:pPr>
        <w:spacing w:after="0" w:line="21"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or</w:t>
      </w:r>
    </w:p>
    <w:p>
      <w:pPr>
        <w:spacing w:after="0" w:line="193" w:lineRule="exact"/>
        <w:rPr>
          <w:rFonts w:ascii="Times New Roman" w:cs="Times New Roman" w:eastAsia="Times New Roman" w:hAnsi="Times New Roman"/>
          <w:sz w:val="20"/>
          <w:szCs w:val="20"/>
          <w:color w:val="auto"/>
        </w:rPr>
      </w:pPr>
    </w:p>
    <w:p>
      <w:pPr>
        <w:ind w:left="2600" w:hanging="931"/>
        <w:spacing w:after="0"/>
        <w:tabs>
          <w:tab w:leader="none" w:pos="26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obtained by recipient from a Third Party that has not breached any obligations of confidentiality.</w:t>
      </w:r>
    </w:p>
    <w:p>
      <w:pPr>
        <w:spacing w:after="0" w:line="216" w:lineRule="exact"/>
        <w:rPr>
          <w:sz w:val="20"/>
          <w:szCs w:val="20"/>
          <w:color w:val="auto"/>
        </w:rPr>
      </w:pPr>
    </w:p>
    <w:p>
      <w:pPr>
        <w:jc w:val="both"/>
        <w:ind w:left="880"/>
        <w:spacing w:after="0" w:line="243" w:lineRule="auto"/>
        <w:rPr>
          <w:sz w:val="20"/>
          <w:szCs w:val="20"/>
          <w:color w:val="auto"/>
        </w:rPr>
      </w:pPr>
      <w:r>
        <w:rPr>
          <w:rFonts w:ascii="Times New Roman" w:cs="Times New Roman" w:eastAsia="Times New Roman" w:hAnsi="Times New Roman"/>
          <w:sz w:val="20"/>
          <w:szCs w:val="20"/>
          <w:color w:val="auto"/>
        </w:rPr>
        <w:t>The recipient shall not disclose any of the Confidential Information, except to Representatives of the recipient who need to know the Confidential Information for the purpose of performing the recipient’s obligations, or exercising its rights, under this Agreement and who are bound by obligations of non-use and non-disclosure substantially similar to those set forth herein. The recipient shall be responsible for any disclosure or use of the Confidential Information by such Representatives. The recipient shall protect Confidential Information using not less than the same care with which it treats its own confidential information, but at all times shall use at least reasonable care. Each Party shall: (a) implement and maintain appropriate security measures to prevent unauthorized access to, or disclosure of, the other Party’s Confidential Information; (b) promptly notify the other Party of any unauthorized access or disclosure of such other Party’s Confidential Information; and (c) cooperate with such other Party in the investigation and remediation of any such unauthorized access or disclosure.</w:t>
      </w:r>
    </w:p>
    <w:p>
      <w:pPr>
        <w:spacing w:after="0" w:line="182" w:lineRule="exact"/>
        <w:rPr>
          <w:sz w:val="20"/>
          <w:szCs w:val="20"/>
          <w:color w:val="auto"/>
        </w:rPr>
      </w:pPr>
    </w:p>
    <w:p>
      <w:pPr>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b w:val="1"/>
          <w:bCs w:val="1"/>
          <w:color w:val="auto"/>
        </w:rPr>
        <w:t>Use</w:t>
      </w:r>
      <w:r>
        <w:rPr>
          <w:rFonts w:ascii="Times New Roman" w:cs="Times New Roman" w:eastAsia="Times New Roman" w:hAnsi="Times New Roman"/>
          <w:sz w:val="20"/>
          <w:szCs w:val="20"/>
          <w:color w:val="auto"/>
        </w:rPr>
        <w:t>. Notwithstanding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a Party may use the Confidential Information of the other Party for the purpose of performing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obligations, or exercising its rights, under this Agreement, including for purposes of:</w:t>
      </w:r>
    </w:p>
    <w:p>
      <w:pPr>
        <w:spacing w:after="0" w:line="156" w:lineRule="exact"/>
        <w:rPr>
          <w:sz w:val="20"/>
          <w:szCs w:val="20"/>
          <w:color w:val="auto"/>
        </w:rPr>
      </w:pPr>
    </w:p>
    <w:p>
      <w:pPr>
        <w:ind w:left="2500" w:hanging="831"/>
        <w:spacing w:after="0"/>
        <w:tabs>
          <w:tab w:leader="none" w:pos="25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filing or prosecuting patent applications, subject to the terms of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560" w:hanging="891"/>
        <w:spacing w:after="0"/>
        <w:tabs>
          <w:tab w:leader="none" w:pos="25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prosecuting or defending litigation;</w:t>
      </w:r>
    </w:p>
    <w:p>
      <w:pPr>
        <w:spacing w:after="0" w:line="215" w:lineRule="exact"/>
        <w:rPr>
          <w:rFonts w:ascii="Times New Roman" w:cs="Times New Roman" w:eastAsia="Times New Roman" w:hAnsi="Times New Roman"/>
          <w:sz w:val="20"/>
          <w:szCs w:val="20"/>
          <w:color w:val="auto"/>
        </w:rPr>
      </w:pPr>
    </w:p>
    <w:p>
      <w:pPr>
        <w:ind w:left="2620" w:hanging="951"/>
        <w:spacing w:after="0"/>
        <w:tabs>
          <w:tab w:leader="none" w:pos="26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pre-clinical studies or Clinical Trials pursuant to this Agreement;</w:t>
      </w:r>
    </w:p>
    <w:p>
      <w:pPr>
        <w:spacing w:after="0" w:line="215" w:lineRule="exact"/>
        <w:rPr>
          <w:rFonts w:ascii="Times New Roman" w:cs="Times New Roman" w:eastAsia="Times New Roman" w:hAnsi="Times New Roman"/>
          <w:sz w:val="20"/>
          <w:szCs w:val="20"/>
          <w:color w:val="auto"/>
        </w:rPr>
      </w:pPr>
    </w:p>
    <w:p>
      <w:pPr>
        <w:ind w:left="2600" w:hanging="931"/>
        <w:spacing w:after="0"/>
        <w:tabs>
          <w:tab w:leader="none" w:pos="26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seeking or maintaining Regulatory Approval of the Licensed Product; or</w:t>
      </w:r>
    </w:p>
    <w:p>
      <w:pPr>
        <w:spacing w:after="0" w:line="215" w:lineRule="exact"/>
        <w:rPr>
          <w:rFonts w:ascii="Times New Roman" w:cs="Times New Roman" w:eastAsia="Times New Roman" w:hAnsi="Times New Roman"/>
          <w:sz w:val="20"/>
          <w:szCs w:val="20"/>
          <w:color w:val="auto"/>
        </w:rPr>
      </w:pPr>
    </w:p>
    <w:p>
      <w:pPr>
        <w:ind w:left="880" w:right="20" w:firstLine="789"/>
        <w:spacing w:after="0" w:line="269" w:lineRule="auto"/>
        <w:tabs>
          <w:tab w:leader="none" w:pos="255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Law, including securities Law and the rules of any securities exchange or market on which a Party’s securities are listed or traded.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8" w:name="page169"/>
    <w:bookmarkEnd w:id="168"/>
    <w:p>
      <w:pPr>
        <w:jc w:val="both"/>
        <w:ind w:left="880"/>
        <w:spacing w:after="0" w:line="254" w:lineRule="auto"/>
        <w:rPr>
          <w:sz w:val="20"/>
          <w:szCs w:val="20"/>
          <w:color w:val="auto"/>
        </w:rPr>
      </w:pPr>
      <w:r>
        <w:rPr>
          <w:rFonts w:ascii="Times New Roman" w:cs="Times New Roman" w:eastAsia="Times New Roman" w:hAnsi="Times New Roman"/>
          <w:sz w:val="20"/>
          <w:szCs w:val="20"/>
          <w:color w:val="auto"/>
        </w:rPr>
        <w:t>In addition to the foregoing, Company may, in furtherance of its rights under this Agreement, disclose Confidential Information of Licensor to any Third Party, provided that such Third Party is bound by obligations of confidentiality at least as stringent as the ones herein.</w:t>
      </w:r>
    </w:p>
    <w:p>
      <w:pPr>
        <w:spacing w:after="0" w:line="174" w:lineRule="exact"/>
        <w:rPr>
          <w:sz w:val="20"/>
          <w:szCs w:val="20"/>
          <w:color w:val="auto"/>
        </w:rPr>
      </w:pPr>
    </w:p>
    <w:p>
      <w:pPr>
        <w:jc w:val="both"/>
        <w:ind w:left="880"/>
        <w:spacing w:after="0" w:line="243" w:lineRule="auto"/>
        <w:rPr>
          <w:sz w:val="20"/>
          <w:szCs w:val="20"/>
          <w:color w:val="auto"/>
        </w:rPr>
      </w:pPr>
      <w:r>
        <w:rPr>
          <w:rFonts w:ascii="Times New Roman" w:cs="Times New Roman" w:eastAsia="Times New Roman" w:hAnsi="Times New Roman"/>
          <w:sz w:val="20"/>
          <w:szCs w:val="20"/>
          <w:color w:val="auto"/>
        </w:rPr>
        <w:t>In making any disclosures set forth in clauses (i) through (v) above, the disclosing Party shall, where reasonably practicable, give such advance notice to the other Party of such disclosure requirement as is reasonable under the circumstances and will use its reasonable efforts to cooperate with the other Party in order to secure confidential treatment of such Confidential Information required to be disclosed. In addition, in connection with any permitted filing by either Party of this Agreement with any Governmental Body the filing Party shall endeavor to obtain confidential treatment of economic, trade secret information and such other information as may be requested by the other Party, and shall provide the other Party with the proposed confidential treatment request with reasonable time for such other Party to provide comments, and shall include in such confidential treatment request all reasonable comments of the other Party.</w:t>
      </w:r>
    </w:p>
    <w:p>
      <w:pPr>
        <w:spacing w:after="0" w:line="185"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b w:val="1"/>
          <w:bCs w:val="1"/>
          <w:color w:val="auto"/>
        </w:rPr>
        <w:t>Required Disclosure</w:t>
      </w:r>
      <w:r>
        <w:rPr>
          <w:rFonts w:ascii="Times New Roman" w:cs="Times New Roman" w:eastAsia="Times New Roman" w:hAnsi="Times New Roman"/>
          <w:sz w:val="20"/>
          <w:szCs w:val="20"/>
          <w:color w:val="auto"/>
        </w:rPr>
        <w:t>. The recipient may disclose the Confidential Information to the extent required by Law or court order;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however, that the recipient promptly provides to the disclosing party, to the extent legally permissible, prior written notice of such disclosure and provides reasonable assistance in obtaining an order or other remedy protecting the Confidential Information from public disclosure.</w:t>
      </w:r>
    </w:p>
    <w:p>
      <w:pPr>
        <w:spacing w:after="0" w:line="176" w:lineRule="exact"/>
        <w:rPr>
          <w:sz w:val="20"/>
          <w:szCs w:val="20"/>
          <w:color w:val="auto"/>
        </w:rPr>
      </w:pPr>
    </w:p>
    <w:p>
      <w:pPr>
        <w:jc w:val="both"/>
        <w:ind w:left="860" w:hanging="849"/>
        <w:spacing w:after="0" w:line="244" w:lineRule="auto"/>
        <w:tabs>
          <w:tab w:leader="none" w:pos="84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20"/>
          <w:szCs w:val="20"/>
          <w:b w:val="1"/>
          <w:bCs w:val="1"/>
          <w:color w:val="auto"/>
        </w:rPr>
        <w:t>Publications</w:t>
      </w:r>
      <w:r>
        <w:rPr>
          <w:rFonts w:ascii="Times New Roman" w:cs="Times New Roman" w:eastAsia="Times New Roman" w:hAnsi="Times New Roman"/>
          <w:sz w:val="20"/>
          <w:szCs w:val="20"/>
          <w:color w:val="auto"/>
        </w:rPr>
        <w:t>. Licensor shall not publish any information relating to Licensed Product without the prior written consent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(which consent may be withheld or given in Company’s sole discretion), unless such information has already been publicly disclosed either prior to the Effective Date or after the Effective Date through no fault of Licensor or otherwise not in violation of this Agreement. Company shall have the right to make such publications as it chooses, in its sole discretion, without the approval of Licensor. Licensor shall submit to Company for Company’s written approval (which approval be granted or denied in Company’s sole discretion) any publication or presentation (including in any seminars, symposia or otherwise) of information related directly or indirectly to the Licensed Product for review and approval at least [***] prior to submission for the proposed date of publication or presentation.</w:t>
      </w:r>
    </w:p>
    <w:p>
      <w:pPr>
        <w:spacing w:after="0" w:line="1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b w:val="1"/>
          <w:bCs w:val="1"/>
          <w:color w:val="auto"/>
        </w:rPr>
        <w:t>Press Releases and Disclosure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080" w:hanging="222"/>
        <w:spacing w:after="0" w:line="276" w:lineRule="auto"/>
        <w:tabs>
          <w:tab w:leader="none" w:pos="108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Public Disclosures By Licensor</w:t>
      </w:r>
      <w:r>
        <w:rPr>
          <w:rFonts w:ascii="Times New Roman" w:cs="Times New Roman" w:eastAsia="Times New Roman" w:hAnsi="Times New Roman"/>
          <w:sz w:val="19"/>
          <w:szCs w:val="19"/>
          <w:color w:val="auto"/>
        </w:rPr>
        <w:t>. Except as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7.5(c)</w:t>
      </w:r>
      <w:r>
        <w:rPr>
          <w:rFonts w:ascii="Times New Roman" w:cs="Times New Roman" w:eastAsia="Times New Roman" w:hAnsi="Times New Roman"/>
          <w:sz w:val="19"/>
          <w:szCs w:val="19"/>
          <w:color w:val="auto"/>
        </w:rPr>
        <w:t>, Licensor may not make any subsequent press release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public announcement regarding the terms of this Agreement or any matter covered by this Agreement, including the Development or Commercialization of Licensed Products, without the prior written consent of Company.</w:t>
      </w:r>
    </w:p>
    <w:p>
      <w:pPr>
        <w:spacing w:after="0" w:line="150" w:lineRule="exact"/>
        <w:rPr>
          <w:rFonts w:ascii="Times New Roman" w:cs="Times New Roman" w:eastAsia="Times New Roman" w:hAnsi="Times New Roman"/>
          <w:sz w:val="19"/>
          <w:szCs w:val="19"/>
          <w:color w:val="auto"/>
        </w:rPr>
      </w:pPr>
    </w:p>
    <w:p>
      <w:pPr>
        <w:jc w:val="both"/>
        <w:ind w:left="1100" w:hanging="242"/>
        <w:spacing w:after="0" w:line="250" w:lineRule="auto"/>
        <w:tabs>
          <w:tab w:leader="none" w:pos="11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Public Disclosures by Company</w:t>
      </w:r>
      <w:r>
        <w:rPr>
          <w:rFonts w:ascii="Times New Roman" w:cs="Times New Roman" w:eastAsia="Times New Roman" w:hAnsi="Times New Roman"/>
          <w:sz w:val="20"/>
          <w:szCs w:val="20"/>
          <w:color w:val="auto"/>
        </w:rPr>
        <w:t>. Except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7.5(c)</w:t>
      </w:r>
      <w:r>
        <w:rPr>
          <w:rFonts w:ascii="Times New Roman" w:cs="Times New Roman" w:eastAsia="Times New Roman" w:hAnsi="Times New Roman"/>
          <w:sz w:val="20"/>
          <w:szCs w:val="20"/>
          <w:color w:val="auto"/>
        </w:rPr>
        <w:t>, Company may not make any subsequent press release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public announcement regarding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Company shall have the right to make such press releases as it chooses, in its sole discretion, regarding the status of its Development or Commercialization of Licensed Products without the approval of Licensor.</w:t>
      </w:r>
    </w:p>
    <w:p>
      <w:pPr>
        <w:spacing w:after="0" w:line="175" w:lineRule="exact"/>
        <w:rPr>
          <w:rFonts w:ascii="Times New Roman" w:cs="Times New Roman" w:eastAsia="Times New Roman" w:hAnsi="Times New Roman"/>
          <w:sz w:val="20"/>
          <w:szCs w:val="20"/>
          <w:color w:val="auto"/>
        </w:rPr>
      </w:pPr>
    </w:p>
    <w:p>
      <w:pPr>
        <w:jc w:val="both"/>
        <w:ind w:left="1080" w:hanging="222"/>
        <w:spacing w:after="0" w:line="266" w:lineRule="auto"/>
        <w:tabs>
          <w:tab w:leader="none" w:pos="108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Securities Filings and Regulatory Communications</w:t>
      </w:r>
      <w:r>
        <w:rPr>
          <w:rFonts w:ascii="Times New Roman" w:cs="Times New Roman" w:eastAsia="Times New Roman" w:hAnsi="Times New Roman"/>
          <w:sz w:val="19"/>
          <w:szCs w:val="19"/>
          <w:color w:val="auto"/>
        </w:rPr>
        <w:t>. Notwithstanding anything in this Agreement, either Party 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right without the approval of the other Party to make disclosures related to this Agreement or the Licensed Product, including</w:t>
      </w:r>
    </w:p>
    <w:p>
      <w:pPr>
        <w:jc w:val="both"/>
        <w:ind w:left="1080" w:firstLine="8"/>
        <w:spacing w:after="0" w:line="242" w:lineRule="auto"/>
        <w:tabs>
          <w:tab w:leader="none" w:pos="133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filings that such Party determines are required under applicable securities laws and regulations (provided, that it provides the text of such planned disclosure to the non-disclosing Party no less than [***] prior to disclosure, and has used reasonable efforts to incorporate all reasonable comments of the non-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9" w:name="page170"/>
    <w:bookmarkEnd w:id="169"/>
    <w:p>
      <w:pPr>
        <w:jc w:val="both"/>
        <w:ind w:left="860"/>
        <w:spacing w:after="0" w:line="254" w:lineRule="auto"/>
        <w:rPr>
          <w:sz w:val="20"/>
          <w:szCs w:val="20"/>
          <w:color w:val="auto"/>
        </w:rPr>
      </w:pPr>
      <w:r>
        <w:rPr>
          <w:rFonts w:ascii="Times New Roman" w:cs="Times New Roman" w:eastAsia="Times New Roman" w:hAnsi="Times New Roman"/>
          <w:sz w:val="20"/>
          <w:szCs w:val="20"/>
          <w:color w:val="auto"/>
        </w:rPr>
        <w:t>disclosing Party regarding such disclosure) and (ii) regulatory communications to the extent such Party determines that such disclosures are necessary or useful in connection with such regulatory communication (including, but not limited to, regulatory filings).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WARRANTIES AND COVENANTS</w:t>
      </w:r>
    </w:p>
    <w:p>
      <w:pPr>
        <w:spacing w:after="0" w:line="1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 Each Party represents and warrants to the other Party that, as of the Effective Date:</w:t>
      </w:r>
    </w:p>
    <w:p>
      <w:pPr>
        <w:spacing w:after="0" w:line="220" w:lineRule="exact"/>
        <w:rPr>
          <w:sz w:val="20"/>
          <w:szCs w:val="20"/>
          <w:color w:val="auto"/>
        </w:rPr>
      </w:pPr>
    </w:p>
    <w:p>
      <w:pPr>
        <w:ind w:left="2500" w:hanging="831"/>
        <w:spacing w:after="0"/>
        <w:tabs>
          <w:tab w:leader="none" w:pos="25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is duly organized and validly existing under the Laws of the jurisdiction of its incorporation or</w:t>
      </w:r>
    </w:p>
    <w:p>
      <w:pPr>
        <w:spacing w:after="0" w:line="21"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w:t>
      </w:r>
    </w:p>
    <w:p>
      <w:pPr>
        <w:spacing w:after="0" w:line="193" w:lineRule="exact"/>
        <w:rPr>
          <w:rFonts w:ascii="Times New Roman" w:cs="Times New Roman" w:eastAsia="Times New Roman" w:hAnsi="Times New Roman"/>
          <w:sz w:val="20"/>
          <w:szCs w:val="20"/>
          <w:color w:val="auto"/>
        </w:rPr>
      </w:pPr>
    </w:p>
    <w:p>
      <w:pPr>
        <w:ind w:left="880" w:right="20" w:firstLine="789"/>
        <w:spacing w:after="0" w:line="269" w:lineRule="auto"/>
        <w:tabs>
          <w:tab w:leader="none" w:pos="256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has taken all action necessary to authorize the execution and delivery of this Agreement and the performance of its obligations under this Agreement;</w:t>
      </w:r>
    </w:p>
    <w:p>
      <w:pPr>
        <w:spacing w:after="0" w:line="159" w:lineRule="exact"/>
        <w:rPr>
          <w:rFonts w:ascii="Times New Roman" w:cs="Times New Roman" w:eastAsia="Times New Roman" w:hAnsi="Times New Roman"/>
          <w:sz w:val="20"/>
          <w:szCs w:val="20"/>
          <w:color w:val="auto"/>
        </w:rPr>
      </w:pPr>
    </w:p>
    <w:p>
      <w:pPr>
        <w:jc w:val="both"/>
        <w:ind w:left="880" w:firstLine="789"/>
        <w:spacing w:after="0" w:line="244" w:lineRule="auto"/>
        <w:tabs>
          <w:tab w:leader="none" w:pos="262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 The execution, delivery and performance of this Agreement by such Party does not conflict with, breach or create in any Third Party the right to accelerate, terminate or modify any agreement or instrument to which such Party is a party or by which such Party is bound, and does not violate any Law of any Governmental Body having authority over such Party;</w:t>
      </w:r>
    </w:p>
    <w:p>
      <w:pPr>
        <w:spacing w:after="0" w:line="185" w:lineRule="exact"/>
        <w:rPr>
          <w:rFonts w:ascii="Times New Roman" w:cs="Times New Roman" w:eastAsia="Times New Roman" w:hAnsi="Times New Roman"/>
          <w:sz w:val="20"/>
          <w:szCs w:val="20"/>
          <w:color w:val="auto"/>
        </w:rPr>
      </w:pPr>
    </w:p>
    <w:p>
      <w:pPr>
        <w:ind w:left="880" w:firstLine="789"/>
        <w:spacing w:after="0" w:line="269" w:lineRule="auto"/>
        <w:tabs>
          <w:tab w:leader="none" w:pos="261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by any Third Party or Governmental Body is required with respect to the execution and delivery of this Agreement by such Party or the consummation by such Party of the transactions contemplated hereby;</w:t>
      </w:r>
    </w:p>
    <w:p>
      <w:pPr>
        <w:spacing w:after="0" w:line="159" w:lineRule="exact"/>
        <w:rPr>
          <w:rFonts w:ascii="Times New Roman" w:cs="Times New Roman" w:eastAsia="Times New Roman" w:hAnsi="Times New Roman"/>
          <w:sz w:val="20"/>
          <w:szCs w:val="20"/>
          <w:color w:val="auto"/>
        </w:rPr>
      </w:pPr>
    </w:p>
    <w:p>
      <w:pPr>
        <w:ind w:left="2540" w:hanging="871"/>
        <w:spacing w:after="0"/>
        <w:tabs>
          <w:tab w:leader="none" w:pos="25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has all right, power and authority to enter into this Agreement, to perform its obligations under</w:t>
      </w:r>
    </w:p>
    <w:p>
      <w:pPr>
        <w:spacing w:after="0" w:line="21" w:lineRule="exact"/>
        <w:rPr>
          <w:rFonts w:ascii="Times New Roman" w:cs="Times New Roman" w:eastAsia="Times New Roman" w:hAnsi="Times New Roman"/>
          <w:sz w:val="20"/>
          <w:szCs w:val="20"/>
          <w:color w:val="auto"/>
        </w:rPr>
      </w:pPr>
    </w:p>
    <w:p>
      <w:pPr>
        <w:ind w:left="8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w:t>
      </w:r>
    </w:p>
    <w:p>
      <w:pPr>
        <w:spacing w:after="0" w:line="193"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61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Party is solvent, the consideration exchanged between the Parties under this Agreement is fair and of reasonably equivalent value and constitutes a single integrated transaction and there is no consideration being exchanged between the Parties on account of antecedent obligations.</w:t>
      </w:r>
    </w:p>
    <w:p>
      <w:pPr>
        <w:spacing w:after="0" w:line="170" w:lineRule="exact"/>
        <w:rPr>
          <w:sz w:val="20"/>
          <w:szCs w:val="20"/>
          <w:color w:val="auto"/>
        </w:rPr>
      </w:pPr>
    </w:p>
    <w:p>
      <w:pPr>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b w:val="1"/>
          <w:bCs w:val="1"/>
          <w:color w:val="auto"/>
        </w:rPr>
        <w:t>Additional Representations and Warranties of Licensor</w:t>
      </w:r>
      <w:r>
        <w:rPr>
          <w:rFonts w:ascii="Times New Roman" w:cs="Times New Roman" w:eastAsia="Times New Roman" w:hAnsi="Times New Roman"/>
          <w:sz w:val="20"/>
          <w:szCs w:val="20"/>
          <w:color w:val="auto"/>
        </w:rPr>
        <w:t>. Licensor represents and warrants to Company that, as of the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w:t>
      </w:r>
    </w:p>
    <w:p>
      <w:pPr>
        <w:spacing w:after="0" w:line="156" w:lineRule="exact"/>
        <w:rPr>
          <w:sz w:val="20"/>
          <w:szCs w:val="20"/>
          <w:color w:val="auto"/>
        </w:rPr>
      </w:pPr>
    </w:p>
    <w:p>
      <w:pPr>
        <w:jc w:val="both"/>
        <w:ind w:left="880" w:firstLine="789"/>
        <w:spacing w:after="0" w:line="245" w:lineRule="auto"/>
        <w:tabs>
          <w:tab w:leader="none" w:pos="251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claims have been asserted, or, to Licensor’s knowledge, threatened by any Person, nor, to Licensor’s knowledge, are there any valid grounds for any claim of any such kind (a) challenging the validity, effectiveness, or ownership of Licensed Technology (with the caveat that Company is aware of certain presentations (“Inventor Presentations”) given by the inventors of the Edinburgh Licensed Patents as shown in Schedule 8.2), and/or (b) to the effect that the use, reproduction, modification, manufacturing, distribution, licensing, sublicensing, sale or any other exercise of rights in any of Licensed Technology infringes or will infringe on any intellectual property right of any Person;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0" w:name="page171"/>
    <w:bookmarkEnd w:id="170"/>
    <w:p>
      <w:pPr>
        <w:ind w:left="-240" w:right="20" w:firstLine="789"/>
        <w:spacing w:after="0" w:line="269" w:lineRule="auto"/>
        <w:tabs>
          <w:tab w:leader="none" w:pos="144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Licensor, there is no unauthorized use, infringement or misappropriation of any of Licensed Technology by any employee or former employee of Licensor, or any other Third Party;</w:t>
      </w:r>
    </w:p>
    <w:p>
      <w:pPr>
        <w:spacing w:after="0" w:line="159" w:lineRule="exact"/>
        <w:rPr>
          <w:rFonts w:ascii="Times New Roman" w:cs="Times New Roman" w:eastAsia="Times New Roman" w:hAnsi="Times New Roman"/>
          <w:sz w:val="20"/>
          <w:szCs w:val="20"/>
          <w:color w:val="auto"/>
        </w:rPr>
      </w:pPr>
    </w:p>
    <w:p>
      <w:pPr>
        <w:ind w:left="-240" w:firstLine="789"/>
        <w:spacing w:after="0" w:line="269" w:lineRule="auto"/>
        <w:tabs>
          <w:tab w:leader="none" w:pos="150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Licensed Patents are subsisting and are not the subject of any litigation procedure, discovery process, interference, reissue, reexamination, opposition, appeal proceedings or any other legal dispute;</w:t>
      </w:r>
    </w:p>
    <w:p>
      <w:pPr>
        <w:spacing w:after="0" w:line="159" w:lineRule="exact"/>
        <w:rPr>
          <w:rFonts w:ascii="Times New Roman" w:cs="Times New Roman" w:eastAsia="Times New Roman" w:hAnsi="Times New Roman"/>
          <w:sz w:val="20"/>
          <w:szCs w:val="20"/>
          <w:color w:val="auto"/>
        </w:rPr>
      </w:pPr>
    </w:p>
    <w:p>
      <w:pPr>
        <w:ind w:left="-240" w:firstLine="789"/>
        <w:spacing w:after="0" w:line="295" w:lineRule="auto"/>
        <w:tabs>
          <w:tab w:leader="none" w:pos="149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Licensed Patents constitute all Patents Controlled by Licensor as of the Effective Date that are directly related to, or are necessary or useful for, the research, Development, manufacture, use or Commercialization of Licensed Product;</w:t>
      </w:r>
    </w:p>
    <w:p>
      <w:pPr>
        <w:spacing w:after="0" w:line="137" w:lineRule="exact"/>
        <w:rPr>
          <w:rFonts w:ascii="Times New Roman" w:cs="Times New Roman" w:eastAsia="Times New Roman" w:hAnsi="Times New Roman"/>
          <w:sz w:val="19"/>
          <w:szCs w:val="19"/>
          <w:color w:val="auto"/>
        </w:rPr>
      </w:pPr>
    </w:p>
    <w:p>
      <w:pPr>
        <w:jc w:val="both"/>
        <w:ind w:left="-240" w:firstLine="789"/>
        <w:spacing w:after="0" w:line="249" w:lineRule="auto"/>
        <w:tabs>
          <w:tab w:leader="none" w:pos="143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Licensed Know-How (a) constitutes all Know-How Controlled by Licensor as of the Effective Date that is reasonably necessary for the research, Development, manufacture, use or Commercialization of Licensed Product and (b) constitutes all Know-How that is, to Licensor’s knowledge, reasonably necessary for the research, Development, manufacture, use or Commercialization of Licensed Product;</w:t>
      </w:r>
    </w:p>
    <w:p>
      <w:pPr>
        <w:spacing w:after="0" w:line="179" w:lineRule="exact"/>
        <w:rPr>
          <w:rFonts w:ascii="Times New Roman" w:cs="Times New Roman" w:eastAsia="Times New Roman" w:hAnsi="Times New Roman"/>
          <w:sz w:val="20"/>
          <w:szCs w:val="20"/>
          <w:color w:val="auto"/>
        </w:rPr>
      </w:pPr>
    </w:p>
    <w:p>
      <w:pPr>
        <w:ind w:left="1480" w:hanging="931"/>
        <w:spacing w:after="0"/>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full right to license and provide the Licensed Materials to Company;</w:t>
      </w:r>
    </w:p>
    <w:p>
      <w:pPr>
        <w:spacing w:after="0" w:line="215" w:lineRule="exact"/>
        <w:rPr>
          <w:rFonts w:ascii="Times New Roman" w:cs="Times New Roman" w:eastAsia="Times New Roman" w:hAnsi="Times New Roman"/>
          <w:sz w:val="20"/>
          <w:szCs w:val="20"/>
          <w:color w:val="auto"/>
        </w:rPr>
      </w:pPr>
    </w:p>
    <w:p>
      <w:pPr>
        <w:jc w:val="both"/>
        <w:ind w:left="-240" w:firstLine="789"/>
        <w:spacing w:after="0" w:line="274" w:lineRule="auto"/>
        <w:tabs>
          <w:tab w:leader="none" w:pos="1546"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Representatives of Licensor who have performed any activities on its behalf in connection with research regarding Licensed Product have assigned to Licensor in all material respects their rights in any intellectual property made, discovered or developed by them as a result of such research, and no Third Party has any rights to any such intellectual property;</w:t>
      </w:r>
    </w:p>
    <w:p>
      <w:pPr>
        <w:spacing w:after="0" w:line="156" w:lineRule="exact"/>
        <w:rPr>
          <w:rFonts w:ascii="Times New Roman" w:cs="Times New Roman" w:eastAsia="Times New Roman" w:hAnsi="Times New Roman"/>
          <w:sz w:val="19"/>
          <w:szCs w:val="19"/>
          <w:color w:val="auto"/>
        </w:rPr>
      </w:pPr>
    </w:p>
    <w:p>
      <w:pPr>
        <w:jc w:val="both"/>
        <w:ind w:left="-240" w:firstLine="789"/>
        <w:spacing w:after="0" w:line="246" w:lineRule="auto"/>
        <w:tabs>
          <w:tab w:leader="none" w:pos="160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has the right, power and authority to grant to Company the rights granted to Company hereunder, including, but not limited to, with respect to the Existing Third-Party Agreements. In particular, the grant of such sublicense requires no consent, waiver or other action by any party to the Existing Third-Party Agreements and the rights and obligations of Company set forth in this Agreement do not contravene nor are they inconsistent with or in conflict with the terms of any Existing Third-Party Agreement;</w:t>
      </w:r>
    </w:p>
    <w:p>
      <w:pPr>
        <w:spacing w:after="0" w:line="184" w:lineRule="exact"/>
        <w:rPr>
          <w:rFonts w:ascii="Times New Roman" w:cs="Times New Roman" w:eastAsia="Times New Roman" w:hAnsi="Times New Roman"/>
          <w:sz w:val="20"/>
          <w:szCs w:val="20"/>
          <w:color w:val="auto"/>
        </w:rPr>
      </w:pPr>
    </w:p>
    <w:p>
      <w:pPr>
        <w:jc w:val="both"/>
        <w:ind w:left="-240" w:firstLine="789"/>
        <w:spacing w:after="0" w:line="259" w:lineRule="auto"/>
        <w:tabs>
          <w:tab w:leader="none" w:pos="1491"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Existing Third-Party Agreements constitute all agreements with Third Parties pursuant to which Licensor has in-licensed, or otherwise obtained rights, with respect to Licensed Product. Licensor has provided to Company an accurate, true and complete copy of each of the Existing Third Party Agreements, as amended to-date and each of the Existing Third Party Agreements is in full force and effect and Licensor is not in breach or default in the performance of its obligations under any of the Existing Third Party Agreements. Licensor has not received any notice from any Third Party of any breach, default or non-compliance of Licensor under the terms of any of the Existing Third-Party Agreements. There have been no amendments or other modification to any Existing Third-Party Agreements, except as have been disclosed to Company in writing;</w:t>
      </w:r>
    </w:p>
    <w:p>
      <w:pPr>
        <w:spacing w:after="0" w:line="172" w:lineRule="exact"/>
        <w:rPr>
          <w:rFonts w:ascii="Times New Roman" w:cs="Times New Roman" w:eastAsia="Times New Roman" w:hAnsi="Times New Roman"/>
          <w:sz w:val="19"/>
          <w:szCs w:val="19"/>
          <w:color w:val="auto"/>
        </w:rPr>
      </w:pPr>
    </w:p>
    <w:p>
      <w:pPr>
        <w:ind w:left="-240" w:firstLine="789"/>
        <w:spacing w:after="0" w:line="269" w:lineRule="auto"/>
        <w:tabs>
          <w:tab w:leader="none" w:pos="143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has not received any communication from Edinburgh regarding any failure to achieve the Performance Criteria (as defined in the Edinburgh Agreement);</w:t>
      </w:r>
    </w:p>
    <w:p>
      <w:pPr>
        <w:spacing w:after="0" w:line="159" w:lineRule="exact"/>
        <w:rPr>
          <w:rFonts w:ascii="Times New Roman" w:cs="Times New Roman" w:eastAsia="Times New Roman" w:hAnsi="Times New Roman"/>
          <w:sz w:val="20"/>
          <w:szCs w:val="20"/>
          <w:color w:val="auto"/>
        </w:rPr>
      </w:pPr>
    </w:p>
    <w:p>
      <w:pPr>
        <w:jc w:val="both"/>
        <w:ind w:left="-240" w:firstLine="789"/>
        <w:spacing w:after="0" w:line="249" w:lineRule="auto"/>
        <w:tabs>
          <w:tab w:leader="none" w:pos="149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tangible information and data provided by or on behalf of Licensor to Company on or before the Effective Date in contemplation of this Agreement was and is true, accurate and complete in all material respects, and Licensor has not failed to disclose, or cause to be disclosed, any information or data that would cause the information and data that has been disclosed to be misleading in any material respect;</w:t>
      </w: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71" w:name="page172"/>
    <w:bookmarkEnd w:id="171"/>
    <w:p>
      <w:pPr>
        <w:jc w:val="both"/>
        <w:ind w:left="880" w:firstLine="789"/>
        <w:spacing w:after="0" w:line="254" w:lineRule="auto"/>
        <w:tabs>
          <w:tab w:leader="none" w:pos="266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(and its Affiliates) has not employed or otherwise used in any capacity the services of any Person debarred under United States law, including under 21 USC §335a or any foreign equivalent thereof, with respect to Licensed Product; and</w:t>
      </w:r>
    </w:p>
    <w:p>
      <w:pPr>
        <w:spacing w:after="0" w:line="174" w:lineRule="exact"/>
        <w:rPr>
          <w:rFonts w:ascii="Times New Roman" w:cs="Times New Roman" w:eastAsia="Times New Roman" w:hAnsi="Times New Roman"/>
          <w:sz w:val="20"/>
          <w:szCs w:val="20"/>
          <w:color w:val="auto"/>
        </w:rPr>
      </w:pPr>
    </w:p>
    <w:p>
      <w:pPr>
        <w:ind w:left="880" w:firstLine="789"/>
        <w:spacing w:after="0" w:line="269" w:lineRule="auto"/>
        <w:tabs>
          <w:tab w:leader="none" w:pos="272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research and development (including non-clinical studies and Clinical Trials) related to Licensed Product prior to the Effective Date has been conducted in accordance with all Laws.</w:t>
      </w:r>
    </w:p>
    <w:p>
      <w:pPr>
        <w:spacing w:after="0" w:line="15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b w:val="1"/>
          <w:bCs w:val="1"/>
          <w:color w:val="auto"/>
        </w:rPr>
        <w:t>Licensor Covenants</w:t>
      </w:r>
      <w:r>
        <w:rPr>
          <w:rFonts w:ascii="Times New Roman" w:cs="Times New Roman" w:eastAsia="Times New Roman" w:hAnsi="Times New Roman"/>
          <w:sz w:val="19"/>
          <w:szCs w:val="19"/>
          <w:color w:val="auto"/>
        </w:rPr>
        <w:t>. Licensor covenants to Company that:</w:t>
      </w:r>
    </w:p>
    <w:p>
      <w:pPr>
        <w:spacing w:after="0" w:line="220" w:lineRule="exact"/>
        <w:rPr>
          <w:sz w:val="20"/>
          <w:szCs w:val="20"/>
          <w:color w:val="auto"/>
        </w:rPr>
      </w:pPr>
    </w:p>
    <w:p>
      <w:pPr>
        <w:jc w:val="both"/>
        <w:ind w:left="880" w:firstLine="789"/>
        <w:spacing w:after="0" w:line="274" w:lineRule="auto"/>
        <w:tabs>
          <w:tab w:leader="none" w:pos="2512"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Licensor shall fulfill all of its obligations (other than any obligations that Licensor cannot fulfill itself without breaching its obligations, or infringing the license and rights granted, to Company pursuant to this Agreement), including but not limited to its payment obligations, under any Existing Third-Party Agreement or any Third-Party License Agreement;</w:t>
      </w:r>
    </w:p>
    <w:p>
      <w:pPr>
        <w:spacing w:after="0" w:line="156" w:lineRule="exact"/>
        <w:rPr>
          <w:rFonts w:ascii="Times New Roman" w:cs="Times New Roman" w:eastAsia="Times New Roman" w:hAnsi="Times New Roman"/>
          <w:sz w:val="19"/>
          <w:szCs w:val="19"/>
          <w:color w:val="auto"/>
        </w:rPr>
      </w:pPr>
    </w:p>
    <w:p>
      <w:pPr>
        <w:jc w:val="both"/>
        <w:ind w:left="880" w:firstLine="789"/>
        <w:spacing w:after="0" w:line="246" w:lineRule="auto"/>
        <w:tabs>
          <w:tab w:leader="none" w:pos="256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shall not amend or waive, or take any action or omit to taking any action that would alter, any of Licensor’s rights under any Existing Third-Party Agreement or any Third-Party License Agreement in any manner that adversely affects, or would reasonably be expected to adversely affect, Company’s rights and benefits under this Agreement. Licensor shall promptly notify Company of any default under, termination or amendment of, any Existing Third-Party Agreement or Third-Party License Agreement;</w:t>
      </w:r>
    </w:p>
    <w:p>
      <w:pPr>
        <w:spacing w:after="0" w:line="184" w:lineRule="exact"/>
        <w:rPr>
          <w:rFonts w:ascii="Times New Roman" w:cs="Times New Roman" w:eastAsia="Times New Roman" w:hAnsi="Times New Roman"/>
          <w:sz w:val="20"/>
          <w:szCs w:val="20"/>
          <w:color w:val="auto"/>
        </w:rPr>
      </w:pPr>
    </w:p>
    <w:p>
      <w:pPr>
        <w:jc w:val="both"/>
        <w:ind w:left="880" w:firstLine="789"/>
        <w:spacing w:after="0" w:line="254" w:lineRule="auto"/>
        <w:tabs>
          <w:tab w:leader="none" w:pos="262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shall promptly notify Company with any communication from UNC or Edinburgh relating to the rights licensed thereunder or any termination, or notice of termination, received by Licensor relating to the UNC Agreement or Edinburgh Agreement.</w:t>
      </w:r>
    </w:p>
    <w:p>
      <w:pPr>
        <w:spacing w:after="0" w:line="174" w:lineRule="exact"/>
        <w:rPr>
          <w:rFonts w:ascii="Times New Roman" w:cs="Times New Roman" w:eastAsia="Times New Roman" w:hAnsi="Times New Roman"/>
          <w:sz w:val="20"/>
          <w:szCs w:val="20"/>
          <w:color w:val="auto"/>
        </w:rPr>
      </w:pPr>
    </w:p>
    <w:p>
      <w:pPr>
        <w:ind w:left="2600" w:hanging="931"/>
        <w:spacing w:after="0"/>
        <w:tabs>
          <w:tab w:leader="none" w:pos="26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AND INSURANCE</w:t>
      </w:r>
    </w:p>
    <w:p>
      <w:pPr>
        <w:spacing w:after="0" w:line="190"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b w:val="1"/>
          <w:bCs w:val="1"/>
          <w:color w:val="auto"/>
        </w:rPr>
        <w:t>Indemnification by Company</w:t>
      </w:r>
      <w:r>
        <w:rPr>
          <w:rFonts w:ascii="Times New Roman" w:cs="Times New Roman" w:eastAsia="Times New Roman" w:hAnsi="Times New Roman"/>
          <w:sz w:val="20"/>
          <w:szCs w:val="20"/>
          <w:color w:val="auto"/>
        </w:rPr>
        <w:t>. Company shall indemnify, defend and hold harmless Licensor and its Affiliates and each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agents, employees, officers and directors (the “</w:t>
      </w:r>
      <w:r>
        <w:rPr>
          <w:rFonts w:ascii="Times New Roman" w:cs="Times New Roman" w:eastAsia="Times New Roman" w:hAnsi="Times New Roman"/>
          <w:sz w:val="20"/>
          <w:szCs w:val="20"/>
          <w:b w:val="1"/>
          <w:bCs w:val="1"/>
          <w:color w:val="auto"/>
        </w:rPr>
        <w:t>Licensor Indemnitees</w:t>
      </w:r>
      <w:r>
        <w:rPr>
          <w:rFonts w:ascii="Times New Roman" w:cs="Times New Roman" w:eastAsia="Times New Roman" w:hAnsi="Times New Roman"/>
          <w:sz w:val="20"/>
          <w:szCs w:val="20"/>
          <w:color w:val="auto"/>
        </w:rPr>
        <w:t xml:space="preserve">”) from and against any and all liability, damage, loss, cost or expense (including reasonable attorneys’ fees) to the extent arising out of Third Party claims or suits related to: (a) Company’s negligence or willful misconduct; (b) Company’s exploitation, including Development or Commercialization, of Licensed Products; or (c) breach by Company of this Agreement; provided, however, that Company’s obligations pursuant to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shall not apply (i) to the extent such claims or suits result from the negligence or willful misconduct of any of the Licensor Indemnitees, or (ii) with respect to claims or suits arising out of breach by Licensor of this Agreement.</w:t>
      </w:r>
    </w:p>
    <w:p>
      <w:pPr>
        <w:spacing w:after="0" w:line="179"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b w:val="1"/>
          <w:bCs w:val="1"/>
          <w:color w:val="auto"/>
        </w:rPr>
        <w:t>Indemnification by Licensor</w:t>
      </w:r>
      <w:r>
        <w:rPr>
          <w:rFonts w:ascii="Times New Roman" w:cs="Times New Roman" w:eastAsia="Times New Roman" w:hAnsi="Times New Roman"/>
          <w:sz w:val="20"/>
          <w:szCs w:val="20"/>
          <w:color w:val="auto"/>
        </w:rPr>
        <w:t>. Licensor shall indemnify, defend and hold harmless Company and its Affiliates and each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agents, employees, officers and directors (the “</w:t>
      </w:r>
      <w:r>
        <w:rPr>
          <w:rFonts w:ascii="Times New Roman" w:cs="Times New Roman" w:eastAsia="Times New Roman" w:hAnsi="Times New Roman"/>
          <w:sz w:val="20"/>
          <w:szCs w:val="20"/>
          <w:b w:val="1"/>
          <w:bCs w:val="1"/>
          <w:color w:val="auto"/>
        </w:rPr>
        <w:t>Company Indemnitees</w:t>
      </w:r>
      <w:r>
        <w:rPr>
          <w:rFonts w:ascii="Times New Roman" w:cs="Times New Roman" w:eastAsia="Times New Roman" w:hAnsi="Times New Roman"/>
          <w:sz w:val="20"/>
          <w:szCs w:val="20"/>
          <w:color w:val="auto"/>
        </w:rPr>
        <w:t xml:space="preserve">”) from and against any and all liability, damage, loss, cost or expense (including reasonable attorney’s fees) to the extent arising out of Third Party claims or suits (including Actions) related to: (a) Licensor’s negligence or willful misconduct; or (b) breach by Licensor of this Agreement; provided, however, that Licensor’s obligations pursuant to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shall not apply (i) to the extent that such claims or suits result from the negligence or willful misconduct of any of Company Indemnitees or (ii) with respect to claims or suits arising out of a breach by Company of this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2" w:name="page173"/>
    <w:bookmarkEnd w:id="172"/>
    <w:p>
      <w:pPr>
        <w:jc w:val="both"/>
        <w:ind w:left="860" w:hanging="849"/>
        <w:spacing w:after="0" w:line="243" w:lineRule="auto"/>
        <w:tabs>
          <w:tab w:leader="none" w:pos="8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b w:val="1"/>
          <w:bCs w:val="1"/>
          <w:color w:val="auto"/>
        </w:rPr>
        <w:t>No Consequential Damages</w:t>
      </w:r>
      <w:r>
        <w:rPr>
          <w:rFonts w:ascii="Times New Roman" w:cs="Times New Roman" w:eastAsia="Times New Roman" w:hAnsi="Times New Roman"/>
          <w:sz w:val="20"/>
          <w:szCs w:val="20"/>
          <w:color w:val="auto"/>
        </w:rPr>
        <w:t>. EXCEPT WITH RESPECT TO A PARTY’S GROSS NEGLIGENCE OR WILLFUL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MISCONDUCT OR EACH PARTY’S INDEMNIFICATION OBLIGATIONS UNDER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AS APPLICABLE, IN NO EVENT SHALL EITHER PARTY OR ANY OF ITS AFFILIATES BE LIABLE TO THE OTHER PARTY OR ANY OF ITS AFFILIATES FOR SPECIAL, INDIRECT, INCIDENTAL, CONSEQUENTIAL OR PUNITIVE DAMAGES, INCLUDING LOSS OF PROFITS, WHETHER IN CONTRACT, WARRANTY, TORT, NEGLIGENCE, STRICT LIABILITY OR OTHERWISE ARISING OUT OF OR RELATING TO THIS AGREEMENT, THE TRANSACTIONS CONTEMPLATED HEREIN OR ANY BREACH HEREOF. NOTWITHSTANDING THE FOREGOING, NOTHING IN THIS AGREEMENT SHALL LIMIT EITHER PARTY FROM SEEKING OR OBTAINING ANY REMEDY AVAILABLE UNDER LAW FOR ANY BREACH OF BY THE OTHER PARTY OF ITS CONFIDENTIALITY AND NON-USE OBLIGATIONS UNDER </w:t>
      </w:r>
      <w:r>
        <w:rPr>
          <w:rFonts w:ascii="Times New Roman" w:cs="Times New Roman" w:eastAsia="Times New Roman" w:hAnsi="Times New Roman"/>
          <w:sz w:val="20"/>
          <w:szCs w:val="20"/>
          <w:u w:val="single" w:color="auto"/>
          <w:color w:val="auto"/>
        </w:rPr>
        <w:t>ARTICLE 8</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20"/>
          <w:szCs w:val="20"/>
          <w:b w:val="1"/>
          <w:bCs w:val="1"/>
          <w:color w:val="auto"/>
        </w:rPr>
        <w:t>Notification of Claims; Conditions to Indemnification Obligations</w:t>
      </w:r>
      <w:r>
        <w:rPr>
          <w:rFonts w:ascii="Times New Roman" w:cs="Times New Roman" w:eastAsia="Times New Roman" w:hAnsi="Times New Roman"/>
          <w:sz w:val="20"/>
          <w:szCs w:val="20"/>
          <w:color w:val="auto"/>
        </w:rPr>
        <w:t>. As a condition to a Party’s right to receive indemnification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under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it shall: (a) promptly notify the other Party as soon as it 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In no event, however, may the indemnifying Party compromise or settle any claim or suit in a manner which admits fault or negligence on the part of the indemnified Party or any indemnitee without the prior written consent of the indemnified Party. Each Party shall reasonably cooperate with the other Party and its counsel in the course of the defense of any such suit, claim or demand, such cooperation to include without limitation using reasonable efforts to provide or make available documents, information and witnesses. The indemnifying Party shall have no liability under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with respect to claims or suits settled or compromised without its prior written consent.</w:t>
      </w:r>
    </w:p>
    <w:p>
      <w:pPr>
        <w:spacing w:after="0" w:line="190"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 xml:space="preserve">. During the Term, each Party shall obtain and maintain, at its sole cost and expense, insurance (including any self-insured arrangements) in types and amounts, that are reasonable and customary in the United States pharmaceutical and biotechnology industry for companies engaged in comparable activities.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 AND TERMINATION</w:t>
      </w:r>
    </w:p>
    <w:p>
      <w:pPr>
        <w:spacing w:after="0" w:line="190"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b w:val="1"/>
          <w:bCs w:val="1"/>
          <w:color w:val="auto"/>
        </w:rPr>
        <w:t>Term and Expiration</w:t>
      </w:r>
      <w:r>
        <w:rPr>
          <w:rFonts w:ascii="Times New Roman" w:cs="Times New Roman" w:eastAsia="Times New Roman" w:hAnsi="Times New Roman"/>
          <w:sz w:val="20"/>
          <w:szCs w:val="20"/>
          <w:color w:val="auto"/>
        </w:rPr>
        <w:t>. The term of this Agreement (the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shall commence on the Effective Date and, unless earlier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terminated as provided in this </w:t>
      </w:r>
      <w:r>
        <w:rPr>
          <w:rFonts w:ascii="Times New Roman" w:cs="Times New Roman" w:eastAsia="Times New Roman" w:hAnsi="Times New Roman"/>
          <w:sz w:val="20"/>
          <w:szCs w:val="20"/>
          <w:u w:val="single" w:color="auto"/>
          <w:color w:val="auto"/>
        </w:rPr>
        <w:t>ARTICLE 10</w:t>
      </w:r>
      <w:r>
        <w:rPr>
          <w:rFonts w:ascii="Times New Roman" w:cs="Times New Roman" w:eastAsia="Times New Roman" w:hAnsi="Times New Roman"/>
          <w:sz w:val="20"/>
          <w:szCs w:val="20"/>
          <w:color w:val="auto"/>
        </w:rPr>
        <w:t xml:space="preserve">, shall continue in full force and effect, on a country-by-country and Licensed Product-by-Licensed Product basis until the date on which the Royalty Term in such country with respect to such Licensed Product expires, at which time this Agreement shall expire in its entirety with respect to such Licensed Product in such country and the terms of </w:t>
      </w:r>
      <w:r>
        <w:rPr>
          <w:rFonts w:ascii="Times New Roman" w:cs="Times New Roman" w:eastAsia="Times New Roman" w:hAnsi="Times New Roman"/>
          <w:sz w:val="20"/>
          <w:szCs w:val="20"/>
          <w:u w:val="single" w:color="auto"/>
          <w:color w:val="auto"/>
        </w:rPr>
        <w:t>Section 10.4(b)(i)</w:t>
      </w:r>
      <w:r>
        <w:rPr>
          <w:rFonts w:ascii="Times New Roman" w:cs="Times New Roman" w:eastAsia="Times New Roman" w:hAnsi="Times New Roman"/>
          <w:sz w:val="20"/>
          <w:szCs w:val="20"/>
          <w:color w:val="auto"/>
        </w:rPr>
        <w:t xml:space="preserve"> shall apply.</w:t>
      </w:r>
    </w:p>
    <w:p>
      <w:pPr>
        <w:spacing w:after="0" w:line="180"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b w:val="1"/>
          <w:bCs w:val="1"/>
          <w:color w:val="auto"/>
        </w:rPr>
        <w:t>Termination of the Agreement for Convenience</w:t>
      </w:r>
      <w:r>
        <w:rPr>
          <w:rFonts w:ascii="Times New Roman" w:cs="Times New Roman" w:eastAsia="Times New Roman" w:hAnsi="Times New Roman"/>
          <w:sz w:val="20"/>
          <w:szCs w:val="20"/>
          <w:color w:val="auto"/>
        </w:rPr>
        <w:t>. At any time during the Term, Company may, at its convenience, upon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written notice to Licensor, terminate this Agreement in its entirety.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3" w:name="page174"/>
    <w:bookmarkEnd w:id="173"/>
    <w:p>
      <w:pPr>
        <w:spacing w:after="0"/>
        <w:tabs>
          <w:tab w:leader="none" w:pos="8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b w:val="1"/>
          <w:bCs w:val="1"/>
          <w:color w:val="auto"/>
        </w:rPr>
        <w:t>Termination upon Material Breach</w:t>
      </w:r>
      <w:r>
        <w:rPr>
          <w:rFonts w:ascii="Times New Roman" w:cs="Times New Roman" w:eastAsia="Times New Roman" w:hAnsi="Times New Roman"/>
          <w:sz w:val="19"/>
          <w:szCs w:val="19"/>
          <w:color w:val="auto"/>
        </w:rPr>
        <w:t>.</w:t>
      </w:r>
    </w:p>
    <w:p>
      <w:pPr>
        <w:spacing w:after="0" w:line="215"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2"/>
          <w:szCs w:val="22"/>
          <w:color w:val="auto"/>
        </w:rPr>
        <w:t>10.3.1</w:t>
      </w:r>
      <w:r>
        <w:rPr>
          <w:sz w:val="20"/>
          <w:szCs w:val="20"/>
          <w:color w:val="auto"/>
        </w:rPr>
        <w:tab/>
      </w:r>
      <w:r>
        <w:rPr>
          <w:rFonts w:ascii="Times New Roman" w:cs="Times New Roman" w:eastAsia="Times New Roman" w:hAnsi="Times New Roman"/>
          <w:sz w:val="20"/>
          <w:szCs w:val="20"/>
          <w:color w:val="auto"/>
        </w:rPr>
        <w:t xml:space="preserve">If a Party breaches any of its material obligations under this Agreement, the Party not in default may give to the breaching Party written notice specifying the nature of the default, requiring it to cure such breach, and stating its intention to terminate this Agreement if such breach is not cured within [***]. If such breach is not cured within [***] after the receipt of such notice, the Party not in default shall be entitled to terminate this Agreement immediately by written notice to the other Party. Any dispute regarding an alleged material breach of this Agreement shall be resolved in accordance with </w:t>
      </w:r>
      <w:r>
        <w:rPr>
          <w:rFonts w:ascii="Times New Roman" w:cs="Times New Roman" w:eastAsia="Times New Roman" w:hAnsi="Times New Roman"/>
          <w:sz w:val="20"/>
          <w:szCs w:val="20"/>
          <w:u w:val="single" w:color="auto"/>
          <w:color w:val="auto"/>
        </w:rPr>
        <w:t>ARTICLE 11</w:t>
      </w:r>
      <w:r>
        <w:rPr>
          <w:rFonts w:ascii="Times New Roman" w:cs="Times New Roman" w:eastAsia="Times New Roman" w:hAnsi="Times New Roman"/>
          <w:sz w:val="20"/>
          <w:szCs w:val="20"/>
          <w:color w:val="auto"/>
        </w:rPr>
        <w:t xml:space="preserve"> hereof.</w:t>
      </w:r>
    </w:p>
    <w:p>
      <w:pPr>
        <w:spacing w:after="0" w:line="189"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Either Party may terminate this Agreement if, at any time, (a) voluntary or involuntary proceedings by or against the other Party are instituted in bankruptcy under any insolvency Law, which proceedings, if involuntary, shall not have been dismissed within</w:t>
      </w:r>
    </w:p>
    <w:p>
      <w:pPr>
        <w:spacing w:after="0" w:line="2" w:lineRule="exact"/>
        <w:rPr>
          <w:sz w:val="20"/>
          <w:szCs w:val="20"/>
          <w:color w:val="auto"/>
        </w:rPr>
      </w:pPr>
    </w:p>
    <w:p>
      <w:pPr>
        <w:jc w:val="both"/>
        <w:ind w:left="860" w:hanging="2"/>
        <w:spacing w:after="0" w:line="241" w:lineRule="auto"/>
        <w:tabs>
          <w:tab w:leader="none" w:pos="133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date of filing; (b) a receiver or custodian is appointed for the other Party; (c) proceedings are instituted by or against the other Party for corporate reorganization, dissolution, liquidation or winding-up of the other Party, which proceedings, if involuntary, shall not have been dismissed within [***] after the date of filing; (d) substantially all of the assets of the other Party are seized or attached and not released within [***] thereafter; (e) a Party becomes insolvent; or (f) a Party makes a general assignment for the benefit of creditors (each individual event set forth in clauses (a) through (f), an “</w:t>
      </w:r>
      <w:r>
        <w:rPr>
          <w:rFonts w:ascii="Times New Roman" w:cs="Times New Roman" w:eastAsia="Times New Roman" w:hAnsi="Times New Roman"/>
          <w:sz w:val="20"/>
          <w:szCs w:val="20"/>
          <w:b w:val="1"/>
          <w:bCs w:val="1"/>
          <w:color w:val="auto"/>
        </w:rPr>
        <w:t>Insolvency Event</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b w:val="1"/>
          <w:bCs w:val="1"/>
          <w:color w:val="auto"/>
        </w:rPr>
        <w:t>Effects of Termination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860"/>
        <w:spacing w:after="0"/>
        <w:tabs>
          <w:tab w:leader="none" w:pos="32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880" w:firstLine="789"/>
        <w:spacing w:after="0" w:line="269" w:lineRule="auto"/>
        <w:tabs>
          <w:tab w:leader="none" w:pos="251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expiration or termination of this Agreement, the following provisions shall survive: </w:t>
      </w:r>
      <w:r>
        <w:rPr>
          <w:rFonts w:ascii="Times New Roman" w:cs="Times New Roman" w:eastAsia="Times New Roman" w:hAnsi="Times New Roman"/>
          <w:sz w:val="20"/>
          <w:szCs w:val="20"/>
          <w:u w:val="single" w:color="auto"/>
          <w:color w:val="auto"/>
        </w:rPr>
        <w:t>Articles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2.6(a)-(c)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2.7(a)-(c)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6.3(d)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880" w:firstLine="789"/>
        <w:spacing w:after="0" w:line="246" w:lineRule="auto"/>
        <w:tabs>
          <w:tab w:leader="none" w:pos="2567"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Expiration or termination of this Agreement shall not relieve the Parties of any liability that accrued hereunder prior to the effective date of such termination. In addition, except for the termination events addressed in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181" w:lineRule="exact"/>
        <w:rPr>
          <w:sz w:val="20"/>
          <w:szCs w:val="20"/>
          <w:color w:val="auto"/>
        </w:rPr>
      </w:pPr>
    </w:p>
    <w:p>
      <w:pPr>
        <w:ind w:left="860"/>
        <w:spacing w:after="0"/>
        <w:tabs>
          <w:tab w:leader="none" w:pos="332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b w:val="1"/>
          <w:bCs w:val="1"/>
          <w:color w:val="auto"/>
        </w:rPr>
        <w:t>Licenses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80" w:firstLine="789"/>
        <w:spacing w:after="0" w:line="249" w:lineRule="auto"/>
        <w:tabs>
          <w:tab w:leader="none" w:pos="251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effective date of expiration of the Royalty Term with respect to a given Licensed Product and country, the license from Licensor to Company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shall convert to a fully paid, royalty free, irrevocable, perpetual, exclusive, and sublicensable license under the Licensed Technology to research, Develop, manufacture, have manufactured, use and Commercialize such Licensed Product in the Field in such country.</w:t>
      </w:r>
    </w:p>
    <w:p>
      <w:pPr>
        <w:spacing w:after="0" w:line="179" w:lineRule="exact"/>
        <w:rPr>
          <w:rFonts w:ascii="Times New Roman" w:cs="Times New Roman" w:eastAsia="Times New Roman" w:hAnsi="Times New Roman"/>
          <w:sz w:val="20"/>
          <w:szCs w:val="20"/>
          <w:color w:val="auto"/>
        </w:rPr>
      </w:pPr>
    </w:p>
    <w:p>
      <w:pPr>
        <w:ind w:left="880" w:firstLine="789"/>
        <w:spacing w:after="0" w:line="269" w:lineRule="auto"/>
        <w:tabs>
          <w:tab w:leader="none" w:pos="256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termination of this Agreement by Company pursuant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by Licensor pursuant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the following terms and conditions shall apply:</w:t>
      </w:r>
    </w:p>
    <w:p>
      <w:pPr>
        <w:spacing w:after="0" w:line="172" w:lineRule="exact"/>
        <w:rPr>
          <w:rFonts w:ascii="Times New Roman" w:cs="Times New Roman" w:eastAsia="Times New Roman" w:hAnsi="Times New Roman"/>
          <w:sz w:val="20"/>
          <w:szCs w:val="20"/>
          <w:color w:val="auto"/>
        </w:rPr>
      </w:pPr>
    </w:p>
    <w:p>
      <w:pPr>
        <w:ind w:left="3500" w:hanging="900"/>
        <w:spacing w:after="0"/>
        <w:tabs>
          <w:tab w:leader="none" w:pos="35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all licenses granted to Company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shall terminate;</w:t>
      </w:r>
    </w:p>
    <w:p>
      <w:pPr>
        <w:spacing w:after="0" w:line="206" w:lineRule="exact"/>
        <w:rPr>
          <w:rFonts w:ascii="Times New Roman" w:cs="Times New Roman" w:eastAsia="Times New Roman" w:hAnsi="Times New Roman"/>
          <w:sz w:val="22"/>
          <w:szCs w:val="22"/>
          <w:color w:val="auto"/>
        </w:rPr>
      </w:pPr>
    </w:p>
    <w:p>
      <w:pPr>
        <w:ind w:left="2600"/>
        <w:spacing w:after="0" w:line="245" w:lineRule="auto"/>
        <w:tabs>
          <w:tab w:leader="none" w:pos="35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Company shall, upon written request by Licensor and subject to Licensor assuming legal responsibility for any Clinical Trials of such Licensed Product(s)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4" w:name="page175"/>
    <w:bookmarkEnd w:id="174"/>
    <w:p>
      <w:pPr>
        <w:jc w:val="both"/>
        <w:ind w:left="1480"/>
        <w:spacing w:after="0" w:line="246" w:lineRule="auto"/>
        <w:rPr>
          <w:sz w:val="20"/>
          <w:szCs w:val="20"/>
          <w:color w:val="auto"/>
        </w:rPr>
      </w:pPr>
      <w:r>
        <w:rPr>
          <w:rFonts w:ascii="Times New Roman" w:cs="Times New Roman" w:eastAsia="Times New Roman" w:hAnsi="Times New Roman"/>
          <w:sz w:val="20"/>
          <w:szCs w:val="20"/>
          <w:color w:val="auto"/>
        </w:rPr>
        <w:t>then ongoing, transfer to Licensor all regulatory documentation and Regulatory Approvals prepared or obtained by or on behalf of Company prior to the date of such termination, solely to the extent (A) Controlled by Company as of the effective date of termination and (B) related to such Licensed Product(s) and country(ies) and transferable, and Company shall have the right to retain one copy of such transferred documentation and Regulatory Approvals for solely record-keeping purposes;</w:t>
      </w:r>
    </w:p>
    <w:p>
      <w:pPr>
        <w:spacing w:after="0" w:line="198" w:lineRule="exact"/>
        <w:rPr>
          <w:sz w:val="20"/>
          <w:szCs w:val="20"/>
          <w:color w:val="auto"/>
        </w:rPr>
      </w:pPr>
    </w:p>
    <w:p>
      <w:pPr>
        <w:jc w:val="both"/>
        <w:ind w:left="1480"/>
        <w:spacing w:after="0"/>
        <w:tabs>
          <w:tab w:leader="none" w:pos="238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Company shall, upon written request of Licensor, return to Licensor or, at Licensor’s option, destroy, all relevant records and materials in its possession or control containing or comprising the Licensed Know-How and the Licensed Materials, or such other Confidential Information of Licensor; provided, however, that Company shall have the right to retain one sample of Licensed Materials for regulatory purposes and one copy of such Licensed Know-How and such other Confidential Information of Licensor solely for record-keeping purposes;</w:t>
      </w:r>
    </w:p>
    <w:p>
      <w:pPr>
        <w:spacing w:after="0" w:line="203" w:lineRule="exact"/>
        <w:rPr>
          <w:rFonts w:ascii="Times New Roman" w:cs="Times New Roman" w:eastAsia="Times New Roman" w:hAnsi="Times New Roman"/>
          <w:sz w:val="22"/>
          <w:szCs w:val="22"/>
          <w:color w:val="auto"/>
        </w:rPr>
      </w:pPr>
    </w:p>
    <w:p>
      <w:pPr>
        <w:jc w:val="both"/>
        <w:ind w:left="1480"/>
        <w:spacing w:after="0" w:line="242" w:lineRule="auto"/>
        <w:tabs>
          <w:tab w:leader="none" w:pos="238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extent not prohibited by Law, Company shall wind down any ongoing Clinical Trials with respect to such Licensed Product(s), or at Licensor’s option, transfer such Clinical Trials to Licensor at Licensor’s cost and expense;</w:t>
      </w:r>
    </w:p>
    <w:p>
      <w:pPr>
        <w:spacing w:after="0" w:line="185" w:lineRule="exact"/>
        <w:rPr>
          <w:rFonts w:ascii="Times New Roman" w:cs="Times New Roman" w:eastAsia="Times New Roman" w:hAnsi="Times New Roman"/>
          <w:sz w:val="22"/>
          <w:szCs w:val="22"/>
          <w:color w:val="auto"/>
        </w:rPr>
      </w:pPr>
    </w:p>
    <w:p>
      <w:pPr>
        <w:jc w:val="both"/>
        <w:ind w:left="1480"/>
        <w:spacing w:after="0" w:line="244" w:lineRule="auto"/>
        <w:tabs>
          <w:tab w:leader="none" w:pos="2359"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shall have the right, but not the obligation, to purchase any and all of the inventory of Licensed Product held by Company as of the date of termination, at a price equal to the cost of goods of such inventory, together with any applicable external costs of transportation, storage and insurance, and import and export taxes and fees, plus [***]. If Licensor does not elect to purchase such inventory from Company, Company shall have the right to continue to sell such inventory in the Territory for [***] after the date of termination of this Agreement, subject to Company’s continued payment of royalties on Net Sales of Licensed Product during such period; and</w:t>
      </w:r>
    </w:p>
    <w:p>
      <w:pPr>
        <w:spacing w:after="0" w:line="185" w:lineRule="exact"/>
        <w:rPr>
          <w:rFonts w:ascii="Times New Roman" w:cs="Times New Roman" w:eastAsia="Times New Roman" w:hAnsi="Times New Roman"/>
          <w:sz w:val="20"/>
          <w:szCs w:val="20"/>
          <w:color w:val="auto"/>
        </w:rPr>
      </w:pPr>
    </w:p>
    <w:p>
      <w:pPr>
        <w:jc w:val="both"/>
        <w:ind w:left="1480"/>
        <w:spacing w:after="0" w:line="243" w:lineRule="auto"/>
        <w:tabs>
          <w:tab w:leader="none" w:pos="2359"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Licensor’s written request, Company and Licensor may enter into a negotiation for Company to license to Licensor, (A) Know-How Controlled by Company, its Affiliates, or Sublicensees as of the effective date of termination of this Agreement that has been generated by or on behalf of Company, its Affiliates or Sublicensees that is specific solely to the Licensed Product, (B) any inventions generated by or on behalf of Company, its Affiliates or Sublicensees that is specific to the Licensed Product, and (C) Patents Controlled by Company or its Affiliates that Cover the Licensed Product in the Territory, in each case that are necessary or reasonably useful to enable Licensor to Develop and Commercialize Licensed Product (collectively, the “</w:t>
      </w:r>
      <w:r>
        <w:rPr>
          <w:rFonts w:ascii="Times New Roman" w:cs="Times New Roman" w:eastAsia="Times New Roman" w:hAnsi="Times New Roman"/>
          <w:sz w:val="20"/>
          <w:szCs w:val="20"/>
          <w:b w:val="1"/>
          <w:bCs w:val="1"/>
          <w:color w:val="auto"/>
        </w:rPr>
        <w:t>Company IP</w:t>
      </w:r>
      <w:r>
        <w:rPr>
          <w:rFonts w:ascii="Times New Roman" w:cs="Times New Roman" w:eastAsia="Times New Roman" w:hAnsi="Times New Roman"/>
          <w:sz w:val="20"/>
          <w:szCs w:val="20"/>
          <w:color w:val="auto"/>
        </w:rPr>
        <w:t>”). The Parties shall negotiate the terms of such license in good faith for a period not to exceed [***].</w:t>
      </w:r>
    </w:p>
    <w:p>
      <w:pPr>
        <w:spacing w:after="0" w:line="185" w:lineRule="exact"/>
        <w:rPr>
          <w:rFonts w:ascii="Times New Roman" w:cs="Times New Roman" w:eastAsia="Times New Roman" w:hAnsi="Times New Roman"/>
          <w:sz w:val="20"/>
          <w:szCs w:val="20"/>
          <w:color w:val="auto"/>
        </w:rPr>
      </w:pPr>
    </w:p>
    <w:p>
      <w:pPr>
        <w:ind w:left="-240" w:firstLine="789"/>
        <w:spacing w:after="0" w:line="269" w:lineRule="auto"/>
        <w:tabs>
          <w:tab w:leader="none" w:pos="150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termination of this Agreement by Company pursuant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the following terms and conditions shall apply with respect to such Licensed Product(s) and country(ies) as are the subject of such termination:</w:t>
      </w:r>
    </w:p>
    <w:p>
      <w:pPr>
        <w:spacing w:after="0" w:line="159" w:lineRule="exact"/>
        <w:rPr>
          <w:rFonts w:ascii="Times New Roman" w:cs="Times New Roman" w:eastAsia="Times New Roman" w:hAnsi="Times New Roman"/>
          <w:sz w:val="20"/>
          <w:szCs w:val="20"/>
          <w:color w:val="auto"/>
        </w:rPr>
      </w:pPr>
    </w:p>
    <w:p>
      <w:pPr>
        <w:ind w:left="2360" w:hanging="880"/>
        <w:spacing w:after="0"/>
        <w:tabs>
          <w:tab w:leader="none" w:pos="23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licenses granted to Company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shall terminate;</w:t>
      </w:r>
    </w:p>
    <w:p>
      <w:pPr>
        <w:spacing w:after="0" w:line="215" w:lineRule="exact"/>
        <w:rPr>
          <w:rFonts w:ascii="Times New Roman" w:cs="Times New Roman" w:eastAsia="Times New Roman" w:hAnsi="Times New Roman"/>
          <w:sz w:val="20"/>
          <w:szCs w:val="20"/>
          <w:color w:val="auto"/>
        </w:rPr>
      </w:pPr>
    </w:p>
    <w:p>
      <w:pPr>
        <w:jc w:val="both"/>
        <w:ind w:left="1480" w:right="20"/>
        <w:spacing w:after="0" w:line="254" w:lineRule="auto"/>
        <w:tabs>
          <w:tab w:leader="none" w:pos="235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upon written request of Licensor, return to Licensor or, at Licensor’s option and cost and expense, destroy, all relevant records and materials in its possession or control containing or comprising the Licensed Know-How and</w:t>
      </w: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82550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175" w:name="page176"/>
    <w:bookmarkEnd w:id="175"/>
    <w:p>
      <w:pPr>
        <w:jc w:val="both"/>
        <w:ind w:left="2600"/>
        <w:spacing w:after="0" w:line="254" w:lineRule="auto"/>
        <w:rPr>
          <w:sz w:val="20"/>
          <w:szCs w:val="20"/>
          <w:color w:val="auto"/>
        </w:rPr>
      </w:pPr>
      <w:r>
        <w:rPr>
          <w:rFonts w:ascii="Times New Roman" w:cs="Times New Roman" w:eastAsia="Times New Roman" w:hAnsi="Times New Roman"/>
          <w:sz w:val="20"/>
          <w:szCs w:val="20"/>
          <w:color w:val="auto"/>
        </w:rPr>
        <w:t>the Licensed Materials, or such other Confidential Information of Licensor; provided, however, that Company shall have the right to retain one copy of such Licensed Know-How and such other Confidential Information of Licensor solely for record-keeping purposes;</w:t>
      </w:r>
    </w:p>
    <w:p>
      <w:pPr>
        <w:spacing w:after="0" w:line="174" w:lineRule="exact"/>
        <w:rPr>
          <w:sz w:val="20"/>
          <w:szCs w:val="20"/>
          <w:color w:val="auto"/>
        </w:rPr>
      </w:pPr>
    </w:p>
    <w:p>
      <w:pPr>
        <w:jc w:val="both"/>
        <w:ind w:left="2600"/>
        <w:spacing w:after="0" w:line="254" w:lineRule="auto"/>
        <w:tabs>
          <w:tab w:leader="none" w:pos="347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prohibited by Law, Company shall, at Licensor’s sole cost and expense, wind down any ongoing Clinical Trials with respect to such Licensed Product(s), or at Licensor’s option, transfer such Clinical Trials to Licensor; and</w:t>
      </w:r>
    </w:p>
    <w:p>
      <w:pPr>
        <w:spacing w:after="0" w:line="174" w:lineRule="exact"/>
        <w:rPr>
          <w:rFonts w:ascii="Times New Roman" w:cs="Times New Roman" w:eastAsia="Times New Roman" w:hAnsi="Times New Roman"/>
          <w:sz w:val="20"/>
          <w:szCs w:val="20"/>
          <w:color w:val="auto"/>
        </w:rPr>
      </w:pPr>
    </w:p>
    <w:p>
      <w:pPr>
        <w:jc w:val="both"/>
        <w:ind w:left="2600"/>
        <w:spacing w:after="0" w:line="245" w:lineRule="auto"/>
        <w:tabs>
          <w:tab w:leader="none" w:pos="347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shall have the right to continue to sell in the Territory any inventory of Licensed Products for [***] after the date of termination of this Agreement, without any obligation to continue payment of royalties on Net Sales of Licensed Product during such period (provided, that Company shall be obligated to pay any and all amounts payable to (i) University by Licensor pursuant to Section 3.8 of the UNC Agreement, and (ii) Edinburgh by Licensor pursuant to Section 4.5 of the Edinburgh Agreement, as a result of such sale).</w:t>
      </w:r>
    </w:p>
    <w:p>
      <w:pPr>
        <w:spacing w:after="0" w:line="184" w:lineRule="exact"/>
        <w:rPr>
          <w:rFonts w:ascii="Times New Roman" w:cs="Times New Roman" w:eastAsia="Times New Roman" w:hAnsi="Times New Roman"/>
          <w:sz w:val="20"/>
          <w:szCs w:val="20"/>
          <w:color w:val="auto"/>
        </w:rPr>
      </w:pPr>
    </w:p>
    <w:p>
      <w:pPr>
        <w:jc w:val="both"/>
        <w:ind w:left="880" w:right="20" w:firstLine="789"/>
        <w:spacing w:after="0" w:line="249" w:lineRule="auto"/>
        <w:tabs>
          <w:tab w:leader="none" w:pos="261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termination of this Agreement and subject, to the extent applicable, to compliance with Section 6.5 of the UNC Agreement and Section 9.1(b) of the Edinburgh Agreement, Company, and each of Company’s Sublicensees, shall continue to have the rights set forth in Section 6.5 of the UNC Agreement and Section 9.1(b) of the Edinburgh Agreement; provided, however, that such Sublicensee is not then in breach of any of its material obligations under its sublicense agreements.</w:t>
      </w:r>
    </w:p>
    <w:p>
      <w:pPr>
        <w:spacing w:after="0" w:line="179" w:lineRule="exact"/>
        <w:rPr>
          <w:rFonts w:ascii="Times New Roman" w:cs="Times New Roman" w:eastAsia="Times New Roman" w:hAnsi="Times New Roman"/>
          <w:sz w:val="20"/>
          <w:szCs w:val="20"/>
          <w:color w:val="auto"/>
        </w:rPr>
      </w:pPr>
    </w:p>
    <w:p>
      <w:pPr>
        <w:jc w:val="both"/>
        <w:ind w:left="880" w:right="20" w:firstLine="789"/>
        <w:spacing w:after="0" w:line="254" w:lineRule="auto"/>
        <w:tabs>
          <w:tab w:leader="none" w:pos="255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following Company’s notification of termination to Licensor pursuant to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the diligence obligations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shall no longer apply and Company shall have the right to wind-down all then on-going Development, manufacturing and/or Commercialization activities.</w:t>
      </w:r>
    </w:p>
    <w:p>
      <w:pPr>
        <w:spacing w:after="0" w:line="170"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b w:val="1"/>
          <w:bCs w:val="1"/>
          <w:color w:val="auto"/>
        </w:rPr>
        <w:t>Termination on Bankruptcy or Insolvency</w:t>
      </w:r>
      <w:r>
        <w:rPr>
          <w:rFonts w:ascii="Times New Roman" w:cs="Times New Roman" w:eastAsia="Times New Roman" w:hAnsi="Times New Roman"/>
          <w:sz w:val="20"/>
          <w:szCs w:val="20"/>
          <w:color w:val="auto"/>
        </w:rPr>
        <w:t>. All rights and licenses (including sublicenses) granted under or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by Licensor and the Company are, and shall otherwise be deemed to be, for purposes of Section 365(n) of the United States Bankruptcy Code, licenses of rights to “intellectual property” as defined under Section 101 of the United States Bankruptcy Code. The Parties agree that, in the event of any Licensor Bankruptcy Event, (a) Company shall be entitled to a complete duplicate of (or complete access to, as appropriate) any such intellectual property and all embodiments of such intellectual property, which, if not already in Company’s possession, shall be promptly delivered to it (i) upon any Licensor Bankruptcy Event upon Company’s written request therefor, unless Licensor elects to continue to perform all of its obligations under this Agreement or (ii) if not delivered under clause (a), following the rejection of this Agreement by Licensor upon written request therefor by Company, and (b) Licensor shall not interfere with the Company’s rights to intellectual property and all embodiments of intellectual property, and shall assist and not interfere with the Company obtaining intellectual property and all embodiments of intellectual property from another entity.</w:t>
      </w:r>
    </w:p>
    <w:p>
      <w:pPr>
        <w:spacing w:after="0" w:line="190"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b w:val="1"/>
          <w:bCs w:val="1"/>
          <w:color w:val="auto"/>
        </w:rPr>
        <w:t>Other Remedies</w:t>
      </w:r>
      <w:r>
        <w:rPr>
          <w:rFonts w:ascii="Times New Roman" w:cs="Times New Roman" w:eastAsia="Times New Roman" w:hAnsi="Times New Roman"/>
          <w:sz w:val="20"/>
          <w:szCs w:val="20"/>
          <w:color w:val="auto"/>
        </w:rPr>
        <w:t>. Termination of this Agreement for any reason shall not release either Party from any liability or obligation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already has accrued prior to such termination. Termination of this Agreement for any reason shall not constitute a waiver or release of, or otherwise be deemed to prejudice or adversely affect or limit, any rights or remedies that otherwise may be available at Law or in equity.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DISPUTE RESOLUTION</w:t>
      </w:r>
    </w:p>
    <w:p>
      <w:pPr>
        <w:spacing w:after="0" w:line="190" w:lineRule="exact"/>
        <w:rPr>
          <w:sz w:val="20"/>
          <w:szCs w:val="20"/>
          <w:color w:val="auto"/>
        </w:rPr>
      </w:pPr>
    </w:p>
    <w:p>
      <w:pPr>
        <w:jc w:val="right"/>
        <w:spacing w:after="0" w:line="253"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color w:val="auto"/>
        </w:rPr>
        <w:t>Escalation to Executive Officers</w:t>
      </w:r>
      <w:r>
        <w:rPr>
          <w:rFonts w:ascii="Times New Roman" w:cs="Times New Roman" w:eastAsia="Times New Roman" w:hAnsi="Times New Roman"/>
          <w:sz w:val="20"/>
          <w:szCs w:val="20"/>
          <w:color w:val="auto"/>
        </w:rPr>
        <w:t>. Either Party may, by written notice to the other Party, request that a dispute arising between the Parties in connection with this Agreement, or a dispute relating to material breach, be resolved by the Executive Officers, within</w:t>
      </w:r>
    </w:p>
    <w:p>
      <w:pPr>
        <w:jc w:val="both"/>
        <w:ind w:left="860" w:hanging="2"/>
        <w:spacing w:after="0" w:line="242" w:lineRule="auto"/>
        <w:tabs>
          <w:tab w:leader="none" w:pos="135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referral of such dispute to them</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the Executive Officers cannot resolve such dispute within [***] after referral of such dispute to them, then, at any time after such [***] period, either Party may proceed to enforce any and all of its rights with respect to such dispute.</w:t>
      </w:r>
    </w:p>
    <w:p>
      <w:pPr>
        <w:spacing w:after="0" w:line="183"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b w:val="1"/>
          <w:bCs w:val="1"/>
          <w:color w:val="auto"/>
        </w:rPr>
        <w:t>Injunctive Relief</w:t>
      </w:r>
      <w:r>
        <w:rPr>
          <w:rFonts w:ascii="Times New Roman" w:cs="Times New Roman" w:eastAsia="Times New Roman" w:hAnsi="Times New Roman"/>
          <w:sz w:val="20"/>
          <w:szCs w:val="20"/>
          <w:color w:val="auto"/>
        </w:rPr>
        <w:t>.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no provision herein shall be construed as precluding a Party from bringing an 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injunctive relief or other equitable relief prior to the initiation or completion of the above procedure.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190"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20"/>
          <w:szCs w:val="20"/>
          <w:b w:val="1"/>
          <w:bCs w:val="1"/>
          <w:color w:val="auto"/>
        </w:rPr>
        <w:t>Relationship of the Parties</w:t>
      </w:r>
      <w:r>
        <w:rPr>
          <w:rFonts w:ascii="Times New Roman" w:cs="Times New Roman" w:eastAsia="Times New Roman" w:hAnsi="Times New Roman"/>
          <w:sz w:val="20"/>
          <w:szCs w:val="20"/>
          <w:color w:val="auto"/>
        </w:rPr>
        <w:t>. Nothing in this Agreement is intended or shall be deemed, for financial, tax, legal or other purposes,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constitute a partnership, agency, joint venture or employer-employee relationship between the Parties.</w:t>
      </w:r>
    </w:p>
    <w:p>
      <w:pPr>
        <w:spacing w:after="0" w:line="152"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Times New Roman" w:cs="Times New Roman" w:eastAsia="Times New Roman" w:hAnsi="Times New Roman"/>
          <w:sz w:val="20"/>
          <w:szCs w:val="20"/>
          <w:color w:val="auto"/>
        </w:rPr>
        <w:t>12.2</w:t>
      </w:r>
      <w:r>
        <w:rPr>
          <w:sz w:val="20"/>
          <w:szCs w:val="20"/>
          <w:color w:val="auto"/>
        </w:rPr>
        <w:tab/>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Except as expressly provided herein, neither this Agreement nor any interest hereunder shall be assignable, nor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other obligation delegable, by a Party without the prior written consent of the other Party, not to be unreasonably withheld or delayed; provided, however, that either Party may assign this Agreement, in whole or in part, without the consent of the other Party to (a) any Affiliate or (b) a Third Party in connection with a merger, acquisition of all or substantially all of the business or assets of such Party to which this Agreement relates, consolidation, change of control or other similar transaction. This Agreement shall be binding upon the successors and permitted assigns of the Parties. Any assignment not in accordance with this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shall be void. Licensor shall have the right to assign or transfer all, but not less than all, Licensed Technology to an Affiliate without the prior written consent of Company solely to the extent that Licensor also assigns and transfers this Agreement to such Affiliate.</w:t>
      </w:r>
    </w:p>
    <w:p>
      <w:pPr>
        <w:spacing w:after="0" w:line="18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20"/>
          <w:szCs w:val="20"/>
          <w:b w:val="1"/>
          <w:bCs w:val="1"/>
          <w:color w:val="auto"/>
        </w:rPr>
        <w:t>Performance and Exercise by Affiliates</w:t>
      </w:r>
      <w:r>
        <w:rPr>
          <w:rFonts w:ascii="Times New Roman" w:cs="Times New Roman" w:eastAsia="Times New Roman" w:hAnsi="Times New Roman"/>
          <w:sz w:val="20"/>
          <w:szCs w:val="20"/>
          <w:color w:val="auto"/>
        </w:rPr>
        <w:t>. Company shall have the right to have any of its obligations hereunder performed,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hereunder exercised, by, any of its Affiliates and the performance of such obligations by any such Affiliate shall be deemed to be performance by Company; provided, however, that Company shall be responsible for ensuring the performance of its obligations under this Agreement and that any failure of any Affiliate performing obligations of Company hereunder shall be deemed to be a failure by Company to perform such obligations. For clarity, the foregoing means that Company may designate an Affiliate to perform its obligations hereunder or to be the recipient of Licensor’s performance obligations hereunder.</w:t>
      </w:r>
    </w:p>
    <w:p>
      <w:pPr>
        <w:spacing w:after="0" w:line="179" w:lineRule="exact"/>
        <w:rPr>
          <w:sz w:val="20"/>
          <w:szCs w:val="20"/>
          <w:color w:val="auto"/>
        </w:rPr>
      </w:pPr>
    </w:p>
    <w:p>
      <w:pPr>
        <w:jc w:val="both"/>
        <w:ind w:left="860" w:right="2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20"/>
          <w:szCs w:val="20"/>
          <w:b w:val="1"/>
          <w:bCs w:val="1"/>
          <w:color w:val="auto"/>
        </w:rPr>
        <w:t>Further Actions</w:t>
      </w:r>
      <w:r>
        <w:rPr>
          <w:rFonts w:ascii="Times New Roman" w:cs="Times New Roman" w:eastAsia="Times New Roman" w:hAnsi="Times New Roman"/>
          <w:sz w:val="20"/>
          <w:szCs w:val="20"/>
          <w:color w:val="auto"/>
        </w:rPr>
        <w:t>. Each Party agrees to execute, acknowledge and deliver such further instruments and to do all such other acts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necessary or appropriate in order to carry out the purposes and intent of this Agreement.</w:t>
      </w:r>
    </w:p>
    <w:p>
      <w:pPr>
        <w:spacing w:after="0" w:line="152"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Neither Party shall be liable to the other Party or be deemed to have breached or defaulted under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failure or delay in the performance of any of its obligations under this Agreement for the time and to the extent such failure or delay is caused by or results from acts of God, pandemic, earthquake, riot, civil commotion, terrorism, war, strikes or other labor disputes, fire, flood, failure or delay of transportation, omissions or delays in acting by 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77" w:name="page178"/>
    <w:bookmarkEnd w:id="177"/>
    <w:p>
      <w:pPr>
        <w:jc w:val="both"/>
        <w:ind w:left="860"/>
        <w:spacing w:after="0" w:line="246" w:lineRule="auto"/>
        <w:rPr>
          <w:sz w:val="20"/>
          <w:szCs w:val="20"/>
          <w:color w:val="auto"/>
        </w:rPr>
      </w:pPr>
      <w:r>
        <w:rPr>
          <w:rFonts w:ascii="Times New Roman" w:cs="Times New Roman" w:eastAsia="Times New Roman" w:hAnsi="Times New Roman"/>
          <w:sz w:val="20"/>
          <w:szCs w:val="20"/>
          <w:color w:val="auto"/>
        </w:rPr>
        <w:t>governmental authority, acts of a government or an agency thereof or judicial orders or decrees or restrictions or any other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will use Commercially Reasonable Efforts to overcome the difficulties created thereby and to resume performance of its obligations hereunder as soon as practicable.</w:t>
      </w:r>
    </w:p>
    <w:p>
      <w:pPr>
        <w:spacing w:after="0" w:line="181"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20"/>
          <w:szCs w:val="20"/>
          <w:b w:val="1"/>
          <w:bCs w:val="1"/>
          <w:color w:val="auto"/>
        </w:rPr>
        <w:t>No Trademark Rights</w:t>
      </w:r>
      <w:r>
        <w:rPr>
          <w:rFonts w:ascii="Times New Roman" w:cs="Times New Roman" w:eastAsia="Times New Roman" w:hAnsi="Times New Roman"/>
          <w:sz w:val="20"/>
          <w:szCs w:val="20"/>
          <w:color w:val="auto"/>
        </w:rPr>
        <w:t>. No right, express or implied, is granted by this Agreement to a Party to use in any manner the name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trade name or trademark of the other Party in connection with the performance of this Agreement or otherwise.</w:t>
      </w:r>
    </w:p>
    <w:p>
      <w:pPr>
        <w:spacing w:after="0" w:line="152" w:lineRule="exact"/>
        <w:rPr>
          <w:sz w:val="20"/>
          <w:szCs w:val="20"/>
          <w:color w:val="auto"/>
        </w:rPr>
      </w:pPr>
    </w:p>
    <w:p>
      <w:pPr>
        <w:jc w:val="both"/>
        <w:ind w:left="860" w:hanging="849"/>
        <w:spacing w:after="0" w:line="247" w:lineRule="auto"/>
        <w:tabs>
          <w:tab w:leader="none" w:pos="84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20"/>
          <w:szCs w:val="20"/>
          <w:b w:val="1"/>
          <w:bCs w:val="1"/>
          <w:color w:val="auto"/>
        </w:rPr>
        <w:t>Entire Agreement of the Parties; Amendments</w:t>
      </w:r>
      <w:r>
        <w:rPr>
          <w:rFonts w:ascii="Times New Roman" w:cs="Times New Roman" w:eastAsia="Times New Roman" w:hAnsi="Times New Roman"/>
          <w:sz w:val="20"/>
          <w:szCs w:val="20"/>
          <w:color w:val="auto"/>
        </w:rPr>
        <w:t>. This Agreement and the Schedules hereto constitute and contain the entire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80"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20"/>
          <w:szCs w:val="20"/>
          <w:b w:val="1"/>
          <w:bCs w:val="1"/>
          <w:color w:val="auto"/>
        </w:rPr>
        <w:t>Captions</w:t>
      </w:r>
      <w:r>
        <w:rPr>
          <w:rFonts w:ascii="Times New Roman" w:cs="Times New Roman" w:eastAsia="Times New Roman" w:hAnsi="Times New Roman"/>
          <w:sz w:val="20"/>
          <w:szCs w:val="20"/>
          <w:color w:val="auto"/>
        </w:rPr>
        <w:t>. The captions to this Agreement are for convenience only, and are to be of no force or effect in construing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interpreting any of the provisions of this Agreement.</w:t>
      </w:r>
    </w:p>
    <w:p>
      <w:pPr>
        <w:spacing w:after="0" w:line="152"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 This Agreement shall be governed by and interpreted in accordance with the laws of the State of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application of any conflict of laws principles that would require application of the Law of a jurisdiction outside of the State of Delaware, and will be subject to the exclusive jurisdiction of the courts of competent jurisdiction located in the State of Delaware.</w:t>
      </w:r>
    </w:p>
    <w:p>
      <w:pPr>
        <w:spacing w:after="0" w:line="176" w:lineRule="exact"/>
        <w:rPr>
          <w:sz w:val="20"/>
          <w:szCs w:val="20"/>
          <w:color w:val="auto"/>
        </w:rPr>
      </w:pPr>
    </w:p>
    <w:p>
      <w:pPr>
        <w:jc w:val="both"/>
        <w:ind w:left="860" w:hanging="849"/>
        <w:spacing w:after="0" w:line="250" w:lineRule="auto"/>
        <w:tabs>
          <w:tab w:leader="none" w:pos="84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20"/>
          <w:szCs w:val="20"/>
          <w:b w:val="1"/>
          <w:bCs w:val="1"/>
          <w:color w:val="auto"/>
        </w:rPr>
        <w:t>Notices and Deliveries</w:t>
      </w:r>
      <w:r>
        <w:rPr>
          <w:rFonts w:ascii="Times New Roman" w:cs="Times New Roman" w:eastAsia="Times New Roman" w:hAnsi="Times New Roman"/>
          <w:sz w:val="20"/>
          <w:szCs w:val="20"/>
          <w:color w:val="auto"/>
        </w:rPr>
        <w:t>. Any notice, request, approval or consent required or permitted to be given under this Agreement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writing and shall be deemed to have been sufficiently given if delivered in person, transmitted by facsimile (receipt verified) or by express courier service (signature required) to the Party to which it is directed at its address or facsimile number shown below or such other address or facsimile number as such Party shall have last given by notice to the other Party.</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If to Company, addressed to:</w:t>
      </w:r>
    </w:p>
    <w:p>
      <w:pPr>
        <w:spacing w:after="0" w:line="2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Taysha Gene Therapies</w:t>
      </w:r>
    </w:p>
    <w:p>
      <w:pPr>
        <w:spacing w:after="0" w:line="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6" w:lineRule="exact"/>
        <w:rPr>
          <w:sz w:val="20"/>
          <w:szCs w:val="20"/>
          <w:color w:val="auto"/>
        </w:rPr>
      </w:pPr>
    </w:p>
    <w:p>
      <w:pPr>
        <w:jc w:val="center"/>
        <w:ind w:right="734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If to Licensor, addressed to:</w:t>
      </w:r>
    </w:p>
    <w:p>
      <w:pPr>
        <w:spacing w:after="0" w:line="2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Abeona Therapeutics Inc.</w:t>
      </w:r>
    </w:p>
    <w:p>
      <w:pPr>
        <w:spacing w:after="0" w:line="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8" w:name="page179"/>
    <w:bookmarkEnd w:id="178"/>
    <w:p>
      <w:pPr>
        <w:ind w:left="172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840" w:hanging="849"/>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12.11</w:t>
      </w:r>
      <w:r>
        <w:rPr>
          <w:sz w:val="20"/>
          <w:szCs w:val="20"/>
          <w:color w:val="auto"/>
        </w:rPr>
        <w:tab/>
      </w: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A waiver by either Party of any of the terms and conditions of this Agreement in any instance shall not be deemed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76" w:lineRule="exact"/>
        <w:rPr>
          <w:sz w:val="20"/>
          <w:szCs w:val="20"/>
          <w:color w:val="auto"/>
        </w:rPr>
      </w:pPr>
    </w:p>
    <w:p>
      <w:pPr>
        <w:jc w:val="both"/>
        <w:ind w:left="840" w:hanging="849"/>
        <w:spacing w:after="0" w:line="247" w:lineRule="auto"/>
        <w:tabs>
          <w:tab w:leader="none" w:pos="820" w:val="left"/>
        </w:tabs>
        <w:rPr>
          <w:sz w:val="20"/>
          <w:szCs w:val="20"/>
          <w:color w:val="auto"/>
        </w:rPr>
      </w:pPr>
      <w:r>
        <w:rPr>
          <w:rFonts w:ascii="Times New Roman" w:cs="Times New Roman" w:eastAsia="Times New Roman" w:hAnsi="Times New Roman"/>
          <w:sz w:val="20"/>
          <w:szCs w:val="20"/>
          <w:color w:val="auto"/>
        </w:rPr>
        <w:t>12.12</w:t>
      </w:r>
      <w:r>
        <w:rPr>
          <w:sz w:val="20"/>
          <w:szCs w:val="20"/>
          <w:color w:val="auto"/>
        </w:rPr>
        <w:tab/>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When possible, each provision of this Agreement will be interpreted in such manner as to be effective and valid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Law, but if 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80" w:lineRule="exact"/>
        <w:rPr>
          <w:sz w:val="20"/>
          <w:szCs w:val="20"/>
          <w:color w:val="auto"/>
        </w:rPr>
      </w:pPr>
    </w:p>
    <w:p>
      <w:pPr>
        <w:jc w:val="both"/>
        <w:ind w:left="840" w:right="20" w:hanging="849"/>
        <w:spacing w:after="0" w:line="273" w:lineRule="auto"/>
        <w:tabs>
          <w:tab w:leader="none" w:pos="820" w:val="left"/>
        </w:tabs>
        <w:rPr>
          <w:sz w:val="20"/>
          <w:szCs w:val="20"/>
          <w:color w:val="auto"/>
        </w:rPr>
      </w:pPr>
      <w:r>
        <w:rPr>
          <w:rFonts w:ascii="Times New Roman" w:cs="Times New Roman" w:eastAsia="Times New Roman" w:hAnsi="Times New Roman"/>
          <w:sz w:val="20"/>
          <w:szCs w:val="20"/>
          <w:color w:val="auto"/>
        </w:rPr>
        <w:t>12.13</w:t>
      </w:r>
      <w:r>
        <w:rPr>
          <w:sz w:val="20"/>
          <w:szCs w:val="20"/>
          <w:color w:val="auto"/>
        </w:rPr>
        <w:tab/>
      </w:r>
      <w:r>
        <w:rPr>
          <w:rFonts w:ascii="Times New Roman" w:cs="Times New Roman" w:eastAsia="Times New Roman" w:hAnsi="Times New Roman"/>
          <w:sz w:val="20"/>
          <w:szCs w:val="20"/>
          <w:b w:val="1"/>
          <w:bCs w:val="1"/>
          <w:color w:val="auto"/>
        </w:rPr>
        <w:t>No Implied License</w:t>
      </w:r>
      <w:r>
        <w:rPr>
          <w:rFonts w:ascii="Times New Roman" w:cs="Times New Roman" w:eastAsia="Times New Roman" w:hAnsi="Times New Roman"/>
          <w:sz w:val="20"/>
          <w:szCs w:val="20"/>
          <w:color w:val="auto"/>
        </w:rPr>
        <w:t>. No right or license is granted to Licensor hereunder by implication, estoppel, or otherwise to any know-how, patent or other intellectual property right owned or controlled by Company or its Affiliates.</w:t>
      </w:r>
    </w:p>
    <w:p>
      <w:pPr>
        <w:spacing w:after="0" w:line="152" w:lineRule="exact"/>
        <w:rPr>
          <w:sz w:val="20"/>
          <w:szCs w:val="20"/>
          <w:color w:val="auto"/>
        </w:rPr>
      </w:pPr>
    </w:p>
    <w:p>
      <w:pPr>
        <w:jc w:val="both"/>
        <w:ind w:left="840" w:hanging="849"/>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12.14</w:t>
      </w:r>
      <w:r>
        <w:rPr>
          <w:sz w:val="20"/>
          <w:szCs w:val="20"/>
          <w:color w:val="auto"/>
        </w:rPr>
        <w:tab/>
      </w:r>
      <w:r>
        <w:rPr>
          <w:rFonts w:ascii="Times New Roman" w:cs="Times New Roman" w:eastAsia="Times New Roman" w:hAnsi="Times New Roman"/>
          <w:sz w:val="20"/>
          <w:szCs w:val="20"/>
          <w:b w:val="1"/>
          <w:bCs w:val="1"/>
          <w:color w:val="auto"/>
        </w:rPr>
        <w:t>Interpretation</w:t>
      </w:r>
      <w:r>
        <w:rPr>
          <w:rFonts w:ascii="Times New Roman" w:cs="Times New Roman" w:eastAsia="Times New Roman" w:hAnsi="Times New Roman"/>
          <w:sz w:val="20"/>
          <w:szCs w:val="20"/>
          <w:color w:val="auto"/>
        </w:rPr>
        <w:t>. The words “include,” “includes” and “including” shall be deemed to be followed by the phrase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 All references herein to Articles, Sections, and Schedules shall be deemed references to Articles and Sections of, and Schedules to, this Agreement unless the context shall otherwise require. Unless the context otherwise requires, countries shall include territories.</w:t>
      </w:r>
    </w:p>
    <w:p>
      <w:pPr>
        <w:spacing w:after="0" w:line="176" w:lineRule="exact"/>
        <w:rPr>
          <w:sz w:val="20"/>
          <w:szCs w:val="20"/>
          <w:color w:val="auto"/>
        </w:rPr>
      </w:pPr>
    </w:p>
    <w:p>
      <w:pPr>
        <w:jc w:val="both"/>
        <w:ind w:left="840" w:hanging="849"/>
        <w:spacing w:after="0" w:line="256" w:lineRule="auto"/>
        <w:tabs>
          <w:tab w:leader="none" w:pos="820" w:val="left"/>
        </w:tabs>
        <w:rPr>
          <w:sz w:val="20"/>
          <w:szCs w:val="20"/>
          <w:color w:val="auto"/>
        </w:rPr>
      </w:pPr>
      <w:r>
        <w:rPr>
          <w:rFonts w:ascii="Times New Roman" w:cs="Times New Roman" w:eastAsia="Times New Roman" w:hAnsi="Times New Roman"/>
          <w:sz w:val="20"/>
          <w:szCs w:val="20"/>
          <w:color w:val="auto"/>
        </w:rPr>
        <w:t>12.15</w:t>
      </w:r>
      <w:r>
        <w:rPr>
          <w:sz w:val="20"/>
          <w:szCs w:val="20"/>
          <w:color w:val="auto"/>
        </w:rPr>
        <w:tab/>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counterparts, each of which will be deemed an original, and all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together will be deemed to be one and the same instrument. A facsimile or a portable document format (PDF) copy of this Agreement, including the signature pages, will be deemed an original.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color w:val="auto"/>
        </w:rPr>
        <w:t>IN WITNESS WHEREOF, duly authorized representatives of the Parties have executed this Agreement as of the date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ABEONA THERAPEUTICS INC.</w:t>
            </w:r>
          </w:p>
        </w:tc>
        <w:tc>
          <w:tcPr>
            <w:tcW w:w="5820" w:type="dxa"/>
            <w:vAlign w:val="bottom"/>
            <w:gridSpan w:val="2"/>
          </w:tcPr>
          <w:p>
            <w:pPr>
              <w:ind w:left="660"/>
              <w:spacing w:after="0"/>
              <w:rPr>
                <w:sz w:val="20"/>
                <w:szCs w:val="20"/>
                <w:color w:val="auto"/>
              </w:rPr>
            </w:pPr>
            <w:r>
              <w:rPr>
                <w:rFonts w:ascii="Times New Roman" w:cs="Times New Roman" w:eastAsia="Times New Roman" w:hAnsi="Times New Roman"/>
                <w:sz w:val="20"/>
                <w:szCs w:val="20"/>
                <w:b w:val="1"/>
                <w:bCs w:val="1"/>
                <w:color w:val="auto"/>
              </w:rPr>
              <w:t>TAYSHA GENE THERAPIES, INC.</w:t>
            </w:r>
          </w:p>
        </w:tc>
      </w:tr>
      <w:tr>
        <w:trPr>
          <w:trHeight w:val="453"/>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Brendan M. O’Malley, Esq.</w:t>
            </w:r>
          </w:p>
        </w:tc>
        <w:tc>
          <w:tcPr>
            <w:tcW w:w="22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Signature:</w:t>
            </w: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RA Session II</w:t>
            </w:r>
          </w:p>
        </w:tc>
      </w:tr>
      <w:tr>
        <w:trPr>
          <w:trHeight w:val="458"/>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Printed Name:</w:t>
            </w: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Brendan M. O’Malley, Esq.</w:t>
            </w:r>
          </w:p>
        </w:tc>
        <w:tc>
          <w:tcPr>
            <w:tcW w:w="22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Printed Name:</w:t>
            </w:r>
          </w:p>
        </w:tc>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RA Session II</w:t>
            </w:r>
          </w:p>
        </w:tc>
      </w:tr>
      <w:tr>
        <w:trPr>
          <w:trHeight w:val="459"/>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VP, Head of Legal &amp; IP</w:t>
            </w:r>
          </w:p>
        </w:tc>
        <w:tc>
          <w:tcPr>
            <w:tcW w:w="22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1.13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Edinburgh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1.25</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Licensed Know-How</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505460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1.26</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Licensed Materials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650875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1.27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Licensed Patents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648335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1.48</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UNC Agreement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648335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8.2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Inventor Presentations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Schedule 8.2(a)</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Figures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502920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Schedule 8.2(b)</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Poster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356"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24,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Kamran Alam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Kamran:</w:t>
      </w:r>
    </w:p>
    <w:p>
      <w:pPr>
        <w:spacing w:after="0" w:line="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As you know, you were employed by Taysha Gene Therapies,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pursuant to the terms of the offer letter you entered into with the Company on July 6, 2020 (the “</w:t>
      </w:r>
      <w:r>
        <w:rPr>
          <w:rFonts w:ascii="Times New Roman" w:cs="Times New Roman" w:eastAsia="Times New Roman" w:hAnsi="Times New Roman"/>
          <w:sz w:val="21"/>
          <w:szCs w:val="21"/>
          <w:b w:val="1"/>
          <w:bCs w:val="1"/>
          <w:color w:val="auto"/>
        </w:rPr>
        <w:t>Offer Letter</w:t>
      </w:r>
      <w:r>
        <w:rPr>
          <w:rFonts w:ascii="Times New Roman" w:cs="Times New Roman" w:eastAsia="Times New Roman" w:hAnsi="Times New Roman"/>
          <w:sz w:val="21"/>
          <w:szCs w:val="21"/>
          <w:color w:val="auto"/>
        </w:rPr>
        <w:t>”). You and the Company hereby agree to amend and restate the Offer Letter. The terms and conditions set forth in this offer letter (the “</w:t>
      </w:r>
      <w:r>
        <w:rPr>
          <w:rFonts w:ascii="Times New Roman" w:cs="Times New Roman" w:eastAsia="Times New Roman" w:hAnsi="Times New Roman"/>
          <w:sz w:val="21"/>
          <w:szCs w:val="21"/>
          <w:b w:val="1"/>
          <w:bCs w:val="1"/>
          <w:color w:val="auto"/>
        </w:rPr>
        <w:t>Amended Offer Letter</w:t>
      </w:r>
      <w:r>
        <w:rPr>
          <w:rFonts w:ascii="Times New Roman" w:cs="Times New Roman" w:eastAsia="Times New Roman" w:hAnsi="Times New Roman"/>
          <w:sz w:val="21"/>
          <w:szCs w:val="21"/>
          <w:color w:val="auto"/>
        </w:rPr>
        <w:t>”) shall become effective as of September 24, 2020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shall supersede and replace the terms and conditions set forth in the Offer Letter.</w:t>
      </w:r>
    </w:p>
    <w:p>
      <w:pPr>
        <w:spacing w:after="0" w:line="193" w:lineRule="exact"/>
        <w:rPr>
          <w:sz w:val="20"/>
          <w:szCs w:val="20"/>
          <w:color w:val="auto"/>
        </w:rPr>
      </w:pPr>
    </w:p>
    <w:p>
      <w:pPr>
        <w:ind w:right="40" w:firstLine="8"/>
        <w:spacing w:after="0" w:line="237" w:lineRule="auto"/>
        <w:tabs>
          <w:tab w:leader="none" w:pos="81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Position. </w:t>
      </w:r>
      <w:r>
        <w:rPr>
          <w:rFonts w:ascii="Times New Roman" w:cs="Times New Roman" w:eastAsia="Times New Roman" w:hAnsi="Times New Roman"/>
          <w:sz w:val="22"/>
          <w:szCs w:val="22"/>
          <w:color w:val="auto"/>
        </w:rPr>
        <w:t>You will continue to be employed in the position of Chief Financial Officer for the Company,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report to the Company’s President and Chief Executive Officer. You will continue to work full-time. This position remains an exempt position, which means you will be expected to work the Company’s normal business hours as well as additional hours as required by the nature of your work assignments, and you will not be eligible for overtime compensation. You will perform duties and responsibilities as may be assigned to you from time to time. You agree to devote your best efforts to the performance of your duties and to the furtherance of the Company’s interests.</w:t>
      </w:r>
    </w:p>
    <w:p>
      <w:pPr>
        <w:spacing w:after="0" w:line="202"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Salary.</w:t>
      </w:r>
    </w:p>
    <w:p>
      <w:pPr>
        <w:spacing w:after="0" w:line="233" w:lineRule="exact"/>
        <w:rPr>
          <w:rFonts w:ascii="Times New Roman" w:cs="Times New Roman" w:eastAsia="Times New Roman" w:hAnsi="Times New Roman"/>
          <w:sz w:val="22"/>
          <w:szCs w:val="22"/>
          <w:b w:val="1"/>
          <w:bCs w:val="1"/>
          <w:color w:val="auto"/>
        </w:rPr>
      </w:pPr>
    </w:p>
    <w:p>
      <w:pPr>
        <w:ind w:right="60" w:firstLine="850"/>
        <w:spacing w:after="0" w:line="263" w:lineRule="auto"/>
        <w:tabs>
          <w:tab w:leader="none" w:pos="1742" w:val="left"/>
        </w:tabs>
        <w:numPr>
          <w:ilvl w:val="1"/>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Base Compensation. </w:t>
      </w:r>
      <w:r>
        <w:rPr>
          <w:rFonts w:ascii="Times New Roman" w:cs="Times New Roman" w:eastAsia="Times New Roman" w:hAnsi="Times New Roman"/>
          <w:sz w:val="21"/>
          <w:szCs w:val="21"/>
          <w:color w:val="auto"/>
        </w:rPr>
        <w:t>Provided that the Company consummates its planned initial public offering (“</w:t>
      </w:r>
      <w:r>
        <w:rPr>
          <w:rFonts w:ascii="Times New Roman" w:cs="Times New Roman" w:eastAsia="Times New Roman" w:hAnsi="Times New Roman"/>
          <w:sz w:val="21"/>
          <w:szCs w:val="21"/>
          <w:b w:val="1"/>
          <w:bCs w:val="1"/>
          <w:color w:val="auto"/>
        </w:rPr>
        <w:t>IPO</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effective as of the date of the pricing of such IPO, you will be paid a base salary rate of $390,000 annually, payable in accordance with the standard payroll practices of the Company and subject to all withholdings and deductions as required by law.</w:t>
      </w:r>
    </w:p>
    <w:p>
      <w:pPr>
        <w:spacing w:after="0" w:line="178" w:lineRule="exact"/>
        <w:rPr>
          <w:rFonts w:ascii="Times New Roman" w:cs="Times New Roman" w:eastAsia="Times New Roman" w:hAnsi="Times New Roman"/>
          <w:sz w:val="21"/>
          <w:szCs w:val="21"/>
          <w:b w:val="1"/>
          <w:bCs w:val="1"/>
          <w:color w:val="auto"/>
        </w:rPr>
      </w:pPr>
    </w:p>
    <w:p>
      <w:pPr>
        <w:ind w:right="20" w:firstLine="850"/>
        <w:spacing w:after="0" w:line="236" w:lineRule="auto"/>
        <w:tabs>
          <w:tab w:leader="none" w:pos="1754" w:val="left"/>
        </w:tabs>
        <w:numPr>
          <w:ilvl w:val="1"/>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Discretionary Bonus. </w:t>
      </w:r>
      <w:r>
        <w:rPr>
          <w:rFonts w:ascii="Times New Roman" w:cs="Times New Roman" w:eastAsia="Times New Roman" w:hAnsi="Times New Roman"/>
          <w:sz w:val="22"/>
          <w:szCs w:val="22"/>
          <w:color w:val="auto"/>
        </w:rPr>
        <w:t>In addition, you will continue to be eligible to receive discretionary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on an annual basis, which shall initially be set at a target amount of up to 40% of your base salary, subject to all withholdings and deductions (the “</w:t>
      </w:r>
      <w:r>
        <w:rPr>
          <w:rFonts w:ascii="Times New Roman" w:cs="Times New Roman" w:eastAsia="Times New Roman" w:hAnsi="Times New Roman"/>
          <w:sz w:val="22"/>
          <w:szCs w:val="22"/>
          <w:b w:val="1"/>
          <w:bCs w:val="1"/>
          <w:color w:val="auto"/>
        </w:rPr>
        <w:t>Performance Bonus</w:t>
      </w:r>
      <w:r>
        <w:rPr>
          <w:rFonts w:ascii="Times New Roman" w:cs="Times New Roman" w:eastAsia="Times New Roman" w:hAnsi="Times New Roman"/>
          <w:sz w:val="22"/>
          <w:szCs w:val="22"/>
          <w:color w:val="auto"/>
        </w:rPr>
        <w:t>”). Whether you earn the Performance Bonus and the actual bonus payment amount will be based upon your achievement of mutually agreed upon performance metrics, as well as any other criteria the Company deems relevant. The Company will pay you this Performance Bonus, if any, no later than March 15th of the following calendar year. The bonus is not earned until paid and no pro-rated amount will be paid if your employment terminates for any reason prior to the payment date.</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Company reserves the right to prospectively modify your compensation, including the terms of your Performance Bonus from time to time in its discretion,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234117835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9" w:name="page190"/>
    <w:bookmarkEnd w:id="189"/>
    <w:p>
      <w:pPr>
        <w:ind w:right="40" w:firstLine="8"/>
        <w:spacing w:after="0" w:line="246" w:lineRule="auto"/>
        <w:tabs>
          <w:tab w:leader="none" w:pos="81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w:t>
      </w:r>
      <w:r>
        <w:rPr>
          <w:rFonts w:ascii="Times New Roman" w:cs="Times New Roman" w:eastAsia="Times New Roman" w:hAnsi="Times New Roman"/>
          <w:sz w:val="22"/>
          <w:szCs w:val="22"/>
          <w:color w:val="auto"/>
        </w:rPr>
        <w:t>The Company previously granted to Executive a restricted stock unit award with respect to 331,121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Common Stock (the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The Grant will continue to be governed by the applicable grant documents and the Company’s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b w:val="1"/>
          <w:bCs w:val="1"/>
          <w:color w:val="auto"/>
        </w:rPr>
      </w:pPr>
    </w:p>
    <w:p>
      <w:pPr>
        <w:ind w:right="140" w:firstLine="8"/>
        <w:spacing w:after="0" w:line="241" w:lineRule="auto"/>
        <w:tabs>
          <w:tab w:leader="none" w:pos="81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Benefits. </w:t>
      </w:r>
      <w:r>
        <w:rPr>
          <w:rFonts w:ascii="Times New Roman" w:cs="Times New Roman" w:eastAsia="Times New Roman" w:hAnsi="Times New Roman"/>
          <w:sz w:val="22"/>
          <w:szCs w:val="22"/>
          <w:color w:val="auto"/>
        </w:rPr>
        <w:t>You will remain eligible to participate in benefit plans and programs in effect from time to time as are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to other similarly situated employees of the Company, in accordance with and subject to the eligibility and other provisions of such plans and programs. You will remain eligible to accrue up to four (4) weeks of vacation each year pursuant to the Company’s policies and practices.</w:t>
      </w:r>
    </w:p>
    <w:p>
      <w:pPr>
        <w:spacing w:after="0" w:line="198" w:lineRule="exact"/>
        <w:rPr>
          <w:rFonts w:ascii="Times New Roman" w:cs="Times New Roman" w:eastAsia="Times New Roman" w:hAnsi="Times New Roman"/>
          <w:sz w:val="22"/>
          <w:szCs w:val="22"/>
          <w:b w:val="1"/>
          <w:bCs w:val="1"/>
          <w:color w:val="auto"/>
        </w:rPr>
      </w:pPr>
    </w:p>
    <w:p>
      <w:pPr>
        <w:ind w:firstLine="8"/>
        <w:spacing w:after="0" w:line="238" w:lineRule="auto"/>
        <w:tabs>
          <w:tab w:leader="none" w:pos="81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Policies; Confidentiality. </w:t>
      </w:r>
      <w:r>
        <w:rPr>
          <w:rFonts w:ascii="Times New Roman" w:cs="Times New Roman" w:eastAsia="Times New Roman" w:hAnsi="Times New Roman"/>
          <w:sz w:val="22"/>
          <w:szCs w:val="22"/>
          <w:color w:val="auto"/>
        </w:rPr>
        <w:t>You will be expected to continue to adhere to the general employment policies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of the Company that may be in effect from time to time. Additionally, in connection with this Amended Offer Letter, you must sign and comply with the attached Employee Confidential Information and Inventions Agreement (the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which prohibits unauthorized use or disclosure of the Company’s proprietary information, among other obligations.</w:t>
      </w:r>
    </w:p>
    <w:p>
      <w:pPr>
        <w:spacing w:after="0" w:line="203" w:lineRule="exact"/>
        <w:rPr>
          <w:rFonts w:ascii="Times New Roman" w:cs="Times New Roman" w:eastAsia="Times New Roman" w:hAnsi="Times New Roman"/>
          <w:sz w:val="22"/>
          <w:szCs w:val="22"/>
          <w:b w:val="1"/>
          <w:bCs w:val="1"/>
          <w:color w:val="auto"/>
        </w:rPr>
      </w:pPr>
    </w:p>
    <w:p>
      <w:pPr>
        <w:ind w:right="40" w:firstLine="8"/>
        <w:spacing w:after="0" w:line="238" w:lineRule="auto"/>
        <w:tabs>
          <w:tab w:leader="none" w:pos="81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Prior Obligations. </w:t>
      </w:r>
      <w:r>
        <w:rPr>
          <w:rFonts w:ascii="Times New Roman" w:cs="Times New Roman" w:eastAsia="Times New Roman" w:hAnsi="Times New Roman"/>
          <w:sz w:val="22"/>
          <w:szCs w:val="22"/>
          <w:color w:val="auto"/>
        </w:rPr>
        <w:t>You confirm that you are able to accept this job and carry out the work involved without breaching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legal restrictions on your activities, such as restrictions imposed by a current or former employer. You also confirm that you will inform the Company about any such restrictions and provide the Company with as much information about them as possible, including copies of any agreements between you and your current or former employer describing such restrictions on your activities.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You further confirm that you will not remove or copy any documents or proprietary data or materials of any kind, electronic or otherwise, from your current or former employer to the Company without written authorization from your current or former employer, nor will you use or disclose any such confidential information during the course and scope of your employment with the Company. If you have any questions about the ownership of particular documents or other information, discuss such questions with your former employer before removing or copying the documents or information. You also agree to honor all obligations to former employers during your employment with the Company.</w:t>
      </w:r>
    </w:p>
    <w:p>
      <w:pPr>
        <w:spacing w:after="0" w:line="312" w:lineRule="exact"/>
        <w:rPr>
          <w:sz w:val="20"/>
          <w:szCs w:val="20"/>
          <w:color w:val="auto"/>
        </w:rPr>
      </w:pPr>
    </w:p>
    <w:p>
      <w:pPr>
        <w:ind w:right="120" w:firstLine="8"/>
        <w:spacing w:after="0" w:line="241" w:lineRule="auto"/>
        <w:tabs>
          <w:tab w:leader="none" w:pos="81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w:t>
      </w:r>
      <w:r>
        <w:rPr>
          <w:rFonts w:ascii="Times New Roman" w:cs="Times New Roman" w:eastAsia="Times New Roman" w:hAnsi="Times New Roman"/>
          <w:sz w:val="22"/>
          <w:szCs w:val="22"/>
          <w:color w:val="auto"/>
        </w:rPr>
        <w:t>Your employment will remain at-will, meaning that you or the Company may terminate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relationship at any time, with or without Cause (as defined below), and with or without advance notice. In addition, as part of your at-will employment, the Company reserves the right to, in its sole discretion, modify or rescind any of the terms set forth in this letter at any time during the course of your employment.</w:t>
      </w:r>
    </w:p>
    <w:p>
      <w:pPr>
        <w:spacing w:after="0" w:line="198"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w:t>
      </w:r>
    </w:p>
    <w:p>
      <w:pPr>
        <w:spacing w:after="0" w:line="287" w:lineRule="exact"/>
        <w:rPr>
          <w:rFonts w:ascii="Times New Roman" w:cs="Times New Roman" w:eastAsia="Times New Roman" w:hAnsi="Times New Roman"/>
          <w:sz w:val="22"/>
          <w:szCs w:val="22"/>
          <w:b w:val="1"/>
          <w:bCs w:val="1"/>
          <w:color w:val="auto"/>
        </w:rPr>
      </w:pPr>
    </w:p>
    <w:p>
      <w:pPr>
        <w:jc w:val="both"/>
        <w:ind w:right="140" w:firstLine="850"/>
        <w:spacing w:after="0" w:line="246" w:lineRule="auto"/>
        <w:tabs>
          <w:tab w:leader="none" w:pos="1742" w:val="left"/>
        </w:tabs>
        <w:numPr>
          <w:ilvl w:val="1"/>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for Any Reason. </w:t>
      </w:r>
      <w:r>
        <w:rPr>
          <w:rFonts w:ascii="Times New Roman" w:cs="Times New Roman" w:eastAsia="Times New Roman" w:hAnsi="Times New Roman"/>
          <w:sz w:val="22"/>
          <w:szCs w:val="22"/>
          <w:color w:val="auto"/>
        </w:rPr>
        <w:t>In the event that your employment with the Company terminates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the Company shall pay you any unpaid base salary earned through your last day of employment (the “</w:t>
      </w:r>
      <w:r>
        <w:rPr>
          <w:rFonts w:ascii="Times New Roman" w:cs="Times New Roman" w:eastAsia="Times New Roman" w:hAnsi="Times New Roman"/>
          <w:sz w:val="22"/>
          <w:szCs w:val="22"/>
          <w:b w:val="1"/>
          <w:bCs w:val="1"/>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and expense reimbursements accrued but unpaid as of the Date of Termination (the “</w:t>
      </w:r>
      <w:r>
        <w:rPr>
          <w:rFonts w:ascii="Times New Roman" w:cs="Times New Roman" w:eastAsia="Times New Roman" w:hAnsi="Times New Roman"/>
          <w:sz w:val="22"/>
          <w:szCs w:val="22"/>
          <w:b w:val="1"/>
          <w:bCs w:val="1"/>
          <w:color w:val="auto"/>
        </w:rPr>
        <w:t>Accrued Benefit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234117835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90" w:name="page191"/>
    <w:bookmarkEnd w:id="190"/>
    <w:p>
      <w:pPr>
        <w:ind w:firstLine="850"/>
        <w:spacing w:after="0" w:line="241" w:lineRule="auto"/>
        <w:tabs>
          <w:tab w:leader="none" w:pos="1754"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without Cause or Resignation for Good Reason. </w:t>
      </w:r>
      <w:r>
        <w:rPr>
          <w:rFonts w:ascii="Times New Roman" w:cs="Times New Roman" w:eastAsia="Times New Roman" w:hAnsi="Times New Roman"/>
          <w:sz w:val="22"/>
          <w:szCs w:val="22"/>
          <w:color w:val="auto"/>
        </w:rPr>
        <w:t>If: (i) your employment is terminated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without Cause (as defined herein) or if you resign from the Company for Good Reason (as defined herein); and (ii) provided that you comply with the conditions set forth in Section 8(e); then you shall be entitled to the following severance benefits (collectively, the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b w:val="1"/>
          <w:bCs w:val="1"/>
          <w:color w:val="auto"/>
        </w:rPr>
      </w:pPr>
    </w:p>
    <w:p>
      <w:pPr>
        <w:ind w:right="100" w:firstLine="1693"/>
        <w:spacing w:after="0" w:line="248" w:lineRule="auto"/>
        <w:tabs>
          <w:tab w:leader="none" w:pos="2537" w:val="left"/>
        </w:tabs>
        <w:numPr>
          <w:ilvl w:val="1"/>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Salary Continuation. </w:t>
      </w:r>
      <w:r>
        <w:rPr>
          <w:rFonts w:ascii="Times New Roman" w:cs="Times New Roman" w:eastAsia="Times New Roman" w:hAnsi="Times New Roman"/>
          <w:sz w:val="21"/>
          <w:szCs w:val="21"/>
          <w:color w:val="auto"/>
        </w:rPr>
        <w:t>The Company shall pay you an amount equal to twelve (12) months of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then-current base salary, less applicable deductions and withholdings, paid in equal installments on the Company’s normal payroll schedule over the twelve (12) month period immediately following the Date of Termination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payments will be made prior to the 60th day following the Date of Termination. On the 60th day following the Date of Termination, the Company will pay you in a lump sum the salary continuation that you would have received on or prior to such date under the original schedule but for the delay while waiting for the 60</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day in compliance with Code Section 409A and the effectiveness of the Release (as defined below), with the balance of the salary continuation being paid as originally scheduled.</w:t>
      </w:r>
    </w:p>
    <w:p>
      <w:pPr>
        <w:spacing w:after="0" w:line="197" w:lineRule="exact"/>
        <w:rPr>
          <w:rFonts w:ascii="Times New Roman" w:cs="Times New Roman" w:eastAsia="Times New Roman" w:hAnsi="Times New Roman"/>
          <w:sz w:val="21"/>
          <w:szCs w:val="21"/>
          <w:b w:val="1"/>
          <w:bCs w:val="1"/>
          <w:color w:val="auto"/>
        </w:rPr>
      </w:pPr>
    </w:p>
    <w:p>
      <w:pPr>
        <w:ind w:right="40" w:firstLine="1693"/>
        <w:spacing w:after="0" w:line="237" w:lineRule="auto"/>
        <w:tabs>
          <w:tab w:leader="none" w:pos="2597"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COBRA Severance</w:t>
      </w:r>
      <w:r>
        <w:rPr>
          <w:rFonts w:ascii="Times New Roman" w:cs="Times New Roman" w:eastAsia="Times New Roman" w:hAnsi="Times New Roman"/>
          <w:sz w:val="22"/>
          <w:szCs w:val="22"/>
          <w:color w:val="auto"/>
        </w:rPr>
        <w:t>. If you timely elect continued coverage under COBRA for you and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dependents under the Company’s group health plans following such termination of employment, then the Company will pay your COBRA premiums to continue your coverage (including coverage for eligible dependents, if applicable) through the period (the “</w:t>
      </w:r>
      <w:r>
        <w:rPr>
          <w:rFonts w:ascii="Times New Roman" w:cs="Times New Roman" w:eastAsia="Times New Roman" w:hAnsi="Times New Roman"/>
          <w:sz w:val="22"/>
          <w:szCs w:val="22"/>
          <w:b w:val="1"/>
          <w:bCs w:val="1"/>
          <w:color w:val="auto"/>
        </w:rPr>
        <w:t>COBRA Premium Period</w:t>
      </w:r>
      <w:r>
        <w:rPr>
          <w:rFonts w:ascii="Times New Roman" w:cs="Times New Roman" w:eastAsia="Times New Roman" w:hAnsi="Times New Roman"/>
          <w:sz w:val="22"/>
          <w:szCs w:val="22"/>
          <w:color w:val="auto"/>
        </w:rPr>
        <w:t>”) starting on the Date of Termination and ending on the earliest to occur of the following: (i) twelve (12) months following the Date of Termination; (ii) the date you become eligible for group health insurance coverage through a new employer; or</w:t>
      </w:r>
    </w:p>
    <w:p>
      <w:pPr>
        <w:spacing w:after="0" w:line="206" w:lineRule="exact"/>
        <w:rPr>
          <w:rFonts w:ascii="Times New Roman" w:cs="Times New Roman" w:eastAsia="Times New Roman" w:hAnsi="Times New Roman"/>
          <w:sz w:val="22"/>
          <w:szCs w:val="22"/>
          <w:b w:val="1"/>
          <w:bCs w:val="1"/>
          <w:color w:val="auto"/>
        </w:rPr>
      </w:pPr>
    </w:p>
    <w:p>
      <w:pPr>
        <w:ind w:left="2660" w:hanging="967"/>
        <w:spacing w:after="0"/>
        <w:tabs>
          <w:tab w:leader="none" w:pos="2660" w:val="left"/>
        </w:tabs>
        <w:numPr>
          <w:ilvl w:val="1"/>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date you cease to be eligible for COBRA continuation coverage for any reason, including plan</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termination.</w:t>
      </w:r>
    </w:p>
    <w:p>
      <w:pPr>
        <w:spacing w:after="0" w:line="205" w:lineRule="exact"/>
        <w:rPr>
          <w:rFonts w:ascii="Times New Roman" w:cs="Times New Roman" w:eastAsia="Times New Roman" w:hAnsi="Times New Roman"/>
          <w:sz w:val="21"/>
          <w:szCs w:val="21"/>
          <w:b w:val="1"/>
          <w:bCs w:val="1"/>
          <w:color w:val="auto"/>
        </w:rPr>
      </w:pPr>
    </w:p>
    <w:p>
      <w:pPr>
        <w:ind w:right="20" w:firstLine="850"/>
        <w:spacing w:after="0" w:line="246" w:lineRule="auto"/>
        <w:tabs>
          <w:tab w:leader="none" w:pos="173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in Connection with a Change in Control. </w:t>
      </w:r>
      <w:r>
        <w:rPr>
          <w:rFonts w:ascii="Times New Roman" w:cs="Times New Roman" w:eastAsia="Times New Roman" w:hAnsi="Times New Roman"/>
          <w:sz w:val="22"/>
          <w:szCs w:val="22"/>
          <w:color w:val="auto"/>
        </w:rPr>
        <w:t>You will be eligible to participate in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Control Severance Plan, pursuant to the terms of that Plan. For the avoidance of doubt, under no circumstances will you be entitled to receive the benefits under both Sections 8(b) and 8(c).</w:t>
      </w:r>
    </w:p>
    <w:p>
      <w:pPr>
        <w:spacing w:after="0" w:line="194" w:lineRule="exact"/>
        <w:rPr>
          <w:rFonts w:ascii="Times New Roman" w:cs="Times New Roman" w:eastAsia="Times New Roman" w:hAnsi="Times New Roman"/>
          <w:sz w:val="22"/>
          <w:szCs w:val="22"/>
          <w:b w:val="1"/>
          <w:bCs w:val="1"/>
          <w:color w:val="auto"/>
        </w:rPr>
      </w:pPr>
    </w:p>
    <w:p>
      <w:pPr>
        <w:ind w:right="320" w:firstLine="850"/>
        <w:spacing w:after="0" w:line="246" w:lineRule="auto"/>
        <w:tabs>
          <w:tab w:leader="none" w:pos="1754"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for Cause or Resignation Without Good Reason. </w:t>
      </w:r>
      <w:r>
        <w:rPr>
          <w:rFonts w:ascii="Times New Roman" w:cs="Times New Roman" w:eastAsia="Times New Roman" w:hAnsi="Times New Roman"/>
          <w:sz w:val="22"/>
          <w:szCs w:val="22"/>
          <w:color w:val="auto"/>
        </w:rPr>
        <w:t>In the event your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by the Company for Cause or you resign without Good Reason; then the Company’s sole obligation shall be to pay you the amount of the Accrued Benefit.</w:t>
      </w:r>
    </w:p>
    <w:p>
      <w:pPr>
        <w:spacing w:after="0" w:line="194" w:lineRule="exact"/>
        <w:rPr>
          <w:rFonts w:ascii="Times New Roman" w:cs="Times New Roman" w:eastAsia="Times New Roman" w:hAnsi="Times New Roman"/>
          <w:sz w:val="22"/>
          <w:szCs w:val="22"/>
          <w:b w:val="1"/>
          <w:bCs w:val="1"/>
          <w:color w:val="auto"/>
        </w:rPr>
      </w:pPr>
    </w:p>
    <w:p>
      <w:pPr>
        <w:ind w:right="180" w:firstLine="850"/>
        <w:spacing w:after="0" w:line="235" w:lineRule="auto"/>
        <w:tabs>
          <w:tab w:leader="none" w:pos="173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Conditions for Receipt of Severance Benefits. </w:t>
      </w:r>
      <w:r>
        <w:rPr>
          <w:rFonts w:ascii="Times New Roman" w:cs="Times New Roman" w:eastAsia="Times New Roman" w:hAnsi="Times New Roman"/>
          <w:sz w:val="22"/>
          <w:szCs w:val="22"/>
          <w:color w:val="auto"/>
        </w:rPr>
        <w:t>The Severance Benefits, as applicable, are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conditioned on the following: (i) if you hold any other positions with the Company, including as member of the Board or any boards of directors of any subsidiaries, you resign such position(s) to be effective no later than the Date of Termination (or such other date as requested by the Board); (ii) you return all Company property; (iii) your timely execution and delivery to the Company an effective release of claims in favor of and in a form acceptable to the Company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within the timeframe set forth therein, and you do not revoke the Release; and (iv) your continued compliance with all of your duties and obligations to the Company, including but not limited to, obligations under this Agreement and the Confidentiality Agreement.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234117835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191" w:name="page192"/>
    <w:bookmarkEnd w:id="191"/>
    <w:p>
      <w:pPr>
        <w:ind w:left="880" w:hanging="872"/>
        <w:spacing w:after="0"/>
        <w:tabs>
          <w:tab w:leader="none" w:pos="88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3" w:lineRule="exact"/>
        <w:rPr>
          <w:rFonts w:ascii="Times New Roman" w:cs="Times New Roman" w:eastAsia="Times New Roman" w:hAnsi="Times New Roman"/>
          <w:sz w:val="22"/>
          <w:szCs w:val="22"/>
          <w:b w:val="1"/>
          <w:bCs w:val="1"/>
          <w:color w:val="auto"/>
        </w:rPr>
      </w:pPr>
    </w:p>
    <w:p>
      <w:pPr>
        <w:ind w:firstLine="1693"/>
        <w:spacing w:after="0" w:line="235" w:lineRule="auto"/>
        <w:tabs>
          <w:tab w:leader="none" w:pos="2537"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shall mean termination of employment for one or more of the following reasons: (A) material failure to follow any proper and lawful directive of the Board that remains uncured more than thirty (30) days after a written demand is delivered to you that specifically identifies the manner in which the Board believes that you have failed to follow such instructions,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failure to meet performance targets shall not, in and of itself, be deemed a failure to follow any such instructions; (B) your commission of an act of: (a) fraud, embezzlement, or theft; or (b) dishonesty that injures the business, business reputation or business relationships of the Company; (C) your commission or conviction of, or pleading guilty or nolo contendere to, a felony; and (D) material violation of any agreement between you and Company or of any material Company policy that remains uncured (if curable) more than thirty (30) days after written notice thereof is delivered to you that specifically identities such violation.</w:t>
      </w:r>
    </w:p>
    <w:p>
      <w:pPr>
        <w:spacing w:after="0" w:line="200" w:lineRule="exact"/>
        <w:rPr>
          <w:rFonts w:ascii="Times New Roman" w:cs="Times New Roman" w:eastAsia="Times New Roman" w:hAnsi="Times New Roman"/>
          <w:sz w:val="22"/>
          <w:szCs w:val="22"/>
          <w:b w:val="1"/>
          <w:bCs w:val="1"/>
          <w:color w:val="auto"/>
        </w:rPr>
      </w:pPr>
    </w:p>
    <w:p>
      <w:pPr>
        <w:ind w:right="20" w:firstLine="1693"/>
        <w:spacing w:after="0" w:line="233" w:lineRule="auto"/>
        <w:tabs>
          <w:tab w:leader="none" w:pos="2597" w:val="left"/>
        </w:tabs>
        <w:numPr>
          <w:ilvl w:val="1"/>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a resignation of employment by you as a result of the occurrence of one or more of the following events without your consent: (A) a material breach by the Company of an agreement between you and the Company; (B) the Company significantly reduces your base salary or the percentage eligibility established for the Performance Bonus, other than any Company-wide reduction in compensation of employees; (C) the Company significantly reduces the Executive’s duties, authority or responsibilities relative to Executive’s duties, authority or responsibilities in effect immediately prior to such reduction; or (D) the Company relocates the facility that is the Executive’s principal place of business with the Company to a location more than fifty (50) miles from the immediately preceding location (excluding regular travel in the ordinary course of business). In order to resign for Good Reason, you must provide written notice to the Company’s President within 30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212" w:lineRule="exact"/>
        <w:rPr>
          <w:sz w:val="20"/>
          <w:szCs w:val="20"/>
          <w:color w:val="auto"/>
        </w:rPr>
      </w:pPr>
    </w:p>
    <w:p>
      <w:pPr>
        <w:ind w:firstLine="8"/>
        <w:spacing w:after="0" w:line="233" w:lineRule="auto"/>
        <w:tabs>
          <w:tab w:leader="none" w:pos="81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Section 409A. </w:t>
      </w:r>
      <w:r>
        <w:rPr>
          <w:rFonts w:ascii="Times New Roman" w:cs="Times New Roman" w:eastAsia="Times New Roman" w:hAnsi="Times New Roman"/>
          <w:sz w:val="22"/>
          <w:szCs w:val="22"/>
          <w:color w:val="auto"/>
        </w:rPr>
        <w:t>All benefits and payments provided under this Amended Offer Letter intended to satisfy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for an exemption from application of Section 409A of the Internal Revenue Code of 1986, as amended, and the regulations thereunder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to the maximum extent that an exemption is available and any ambiguities herein shall be interpreted accordingly; provided, however, that to the extent such an exemption is not available, the benefits provided under this Amended and Restated Offer Letter are intended to comply with the requirements of Section 409A to the extent necessary to avoid adverse tax consequences and any ambiguities herein shall be interpreted accordingly. To the extent any benefit or payment under this Amended and Restated Offer Letter may be classified as a “short- term deferral” within the meaning of Section 409A, such benefit or payment shall be deemed a short-term deferral, even if it may also qualify for an exemption from Section 409A under another provision of Section 409A. Any termination of service referenced in this Amended and Restated Offer Letter is intended to mean a “separation from service,” as such term is defined in Treasury Regulation Section 1.409A-1(h) (or any successor provision thereof). To the extent any expense reimbursement is determined to be subject to (and not exempt from) Section 409A, the amount of any such expenses eligible for reimbursement in one calendar year shall not affect the expenses eligible for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234117835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1" w:right="359" w:bottom="1440" w:gutter="0" w:footer="0" w:header="0"/>
        </w:sectPr>
      </w:pPr>
    </w:p>
    <w:bookmarkStart w:id="192" w:name="page193"/>
    <w:bookmarkEnd w:id="192"/>
    <w:p>
      <w:pPr>
        <w:ind w:right="20"/>
        <w:spacing w:after="0" w:line="233" w:lineRule="auto"/>
        <w:rPr>
          <w:sz w:val="20"/>
          <w:szCs w:val="20"/>
          <w:color w:val="auto"/>
        </w:rPr>
      </w:pPr>
      <w:r>
        <w:rPr>
          <w:rFonts w:ascii="Times New Roman" w:cs="Times New Roman" w:eastAsia="Times New Roman" w:hAnsi="Times New Roman"/>
          <w:sz w:val="22"/>
          <w:szCs w:val="22"/>
          <w:color w:val="auto"/>
        </w:rPr>
        <w:t>reimbursement to be provided in any other calendar year, in no event shall any expenses be reimbursed after the last day of the calendar year following the calendar year in which you incurred such expenses, and the right to reimbursement is not subject to liquidation or exchange for another benefit. Payments pursuant to this Amended and Restated Offer Letter are intended to constitute separate payments for purposes of Section 1.409A-2(b)(2) of the Treasury Regulations under Section 409A. Notwithstanding anything to the contrary herein, to the extent (i) any payments to which you become entitled under this Amended and Restated Offer Letter, or any agreement or plan referenced in this Amended and Restated Offer Letter, in connection with your termination constitute deferred compensation subject to Section 409A and (ii) you are deemed at the time of such termination of employment to be a “specified” employee under Section 409A, then such payment or payments shall not be made or commence until the earlier of (i) the expiration of the six-month period measured from your termination; or (ii) as soon as administratively practicable after the date of your death following such termination; provided, however, that such deferral shall only be effected to the extent required to avoid adverse tax treatment to you, including (without limitation) the additional 20% tax for which you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you or your beneficiary in one lump sum (without interest).</w:t>
      </w:r>
    </w:p>
    <w:p>
      <w:pPr>
        <w:spacing w:after="0" w:line="200" w:lineRule="exact"/>
        <w:rPr>
          <w:sz w:val="20"/>
          <w:szCs w:val="20"/>
          <w:color w:val="auto"/>
        </w:rPr>
      </w:pPr>
    </w:p>
    <w:p>
      <w:pPr>
        <w:ind w:right="20" w:firstLine="8"/>
        <w:spacing w:after="0" w:line="246" w:lineRule="auto"/>
        <w:tabs>
          <w:tab w:leader="none" w:pos="918"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Entire Agreement. </w:t>
      </w:r>
      <w:r>
        <w:rPr>
          <w:rFonts w:ascii="Times New Roman" w:cs="Times New Roman" w:eastAsia="Times New Roman" w:hAnsi="Times New Roman"/>
          <w:sz w:val="21"/>
          <w:szCs w:val="21"/>
          <w:color w:val="auto"/>
        </w:rPr>
        <w:t>This letter, together with your Confidentiality Agreement, forms the complete and exclusive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 of your employment agreement with the Company. It supersedes any other agreements (including but not limited to, the Offer Letter)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you wish to accept this position, please sign and date below, and the enclosed Confidentiality Agreement, and return them to me within 10 days.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234117835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I look forward to hearing from you.</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sincerely,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R.A. Session II</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 Session 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rPr>
          <w:sz w:val="20"/>
          <w:szCs w:val="20"/>
          <w:color w:val="auto"/>
        </w:rPr>
      </w:pPr>
      <w:r>
        <w:rPr>
          <w:rFonts w:ascii="Times New Roman" w:cs="Times New Roman" w:eastAsia="Times New Roman" w:hAnsi="Times New Roman"/>
          <w:sz w:val="21"/>
          <w:szCs w:val="21"/>
          <w:color w:val="auto"/>
        </w:rPr>
        <w:t>On behalf of Taysha Gene Therapies,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Kamran Alam</w:t>
      </w:r>
    </w:p>
    <w:p>
      <w:pPr>
        <w:spacing w:after="0" w:line="23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24 September 2020 | 17:52 PDT</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wp:posOffset>
            </wp:positionV>
            <wp:extent cx="1800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234117835 v1</w:t>
      </w:r>
    </w:p>
    <w:p>
      <w:pPr>
        <w:sectPr>
          <w:pgSz w:w="11900" w:h="16838" w:orient="portrait"/>
          <w:cols w:equalWidth="0" w:num="1">
            <w:col w:w="10139"/>
          </w:cols>
          <w:pgMar w:left="320" w:top="342" w:right="1440" w:bottom="1440" w:gutter="0" w:footer="0" w:header="0"/>
        </w:sectPr>
      </w:pPr>
    </w:p>
    <w:bookmarkStart w:id="194" w:name="page195"/>
    <w:bookmarkEnd w:id="194"/>
    <w:p>
      <w:pPr>
        <w:ind w:left="10020"/>
        <w:spacing w:after="0"/>
        <w:rPr>
          <w:sz w:val="20"/>
          <w:szCs w:val="20"/>
          <w:color w:val="auto"/>
        </w:rPr>
      </w:pPr>
      <w:r>
        <w:rPr>
          <w:rFonts w:ascii="Times New Roman" w:cs="Times New Roman" w:eastAsia="Times New Roman" w:hAnsi="Times New Roman"/>
          <w:sz w:val="21"/>
          <w:szCs w:val="21"/>
          <w:b w:val="1"/>
          <w:bCs w:val="1"/>
          <w:color w:val="auto"/>
        </w:rPr>
        <w:t>Exhibit 10.14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September 24, 2020</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Suyash Prasad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Suyash,</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As you know, you were employed by Taysha Gene Therapies,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pursuant to the terms of the offer letter you entered into with the Company on June 26, 2020 (the “</w:t>
      </w:r>
      <w:r>
        <w:rPr>
          <w:rFonts w:ascii="Times New Roman" w:cs="Times New Roman" w:eastAsia="Times New Roman" w:hAnsi="Times New Roman"/>
          <w:sz w:val="21"/>
          <w:szCs w:val="21"/>
          <w:b w:val="1"/>
          <w:bCs w:val="1"/>
          <w:color w:val="auto"/>
        </w:rPr>
        <w:t>Offer Letter</w:t>
      </w:r>
      <w:r>
        <w:rPr>
          <w:rFonts w:ascii="Times New Roman" w:cs="Times New Roman" w:eastAsia="Times New Roman" w:hAnsi="Times New Roman"/>
          <w:sz w:val="21"/>
          <w:szCs w:val="21"/>
          <w:color w:val="auto"/>
        </w:rPr>
        <w:t>”). You and the Company hereby agree to amend and restate the Offer Letter. The terms and conditions set forth in this offer letter (the “</w:t>
      </w:r>
      <w:r>
        <w:rPr>
          <w:rFonts w:ascii="Times New Roman" w:cs="Times New Roman" w:eastAsia="Times New Roman" w:hAnsi="Times New Roman"/>
          <w:sz w:val="21"/>
          <w:szCs w:val="21"/>
          <w:b w:val="1"/>
          <w:bCs w:val="1"/>
          <w:color w:val="auto"/>
        </w:rPr>
        <w:t>Amended Offer Letter</w:t>
      </w:r>
      <w:r>
        <w:rPr>
          <w:rFonts w:ascii="Times New Roman" w:cs="Times New Roman" w:eastAsia="Times New Roman" w:hAnsi="Times New Roman"/>
          <w:sz w:val="21"/>
          <w:szCs w:val="21"/>
          <w:color w:val="auto"/>
        </w:rPr>
        <w:t>”) shall become effective as of September 24, 2020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 shall supersede and replace the terms and conditions set forth in the Offer Letter.</w:t>
      </w:r>
    </w:p>
    <w:p>
      <w:pPr>
        <w:spacing w:after="0" w:line="158" w:lineRule="exact"/>
        <w:rPr>
          <w:sz w:val="20"/>
          <w:szCs w:val="20"/>
          <w:color w:val="auto"/>
        </w:rPr>
      </w:pPr>
    </w:p>
    <w:p>
      <w:pPr>
        <w:jc w:val="both"/>
        <w:ind w:firstLine="8"/>
        <w:spacing w:after="0" w:line="237" w:lineRule="auto"/>
        <w:tabs>
          <w:tab w:leader="none" w:pos="81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Position. </w:t>
      </w:r>
      <w:r>
        <w:rPr>
          <w:rFonts w:ascii="Times New Roman" w:cs="Times New Roman" w:eastAsia="Times New Roman" w:hAnsi="Times New Roman"/>
          <w:sz w:val="22"/>
          <w:szCs w:val="22"/>
          <w:color w:val="auto"/>
        </w:rPr>
        <w:t>You will continue to be employed in the position of Chief Medical Officer and Head of Research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for the Company, and will continue to report to the Company’s Chief Executive Officer. You will continue to work full-time. This position remains an exempt position, which means you will be expected to work the Company’s normal business hours as well as additional hours as required by the nature of your work assignments, and you will not be eligible for overtime compensation. You will perform duties and responsibilities as may be assigned to you from time to time. You agree to devote your best efforts to the performance of your duties and to the furtherance of the Company’s interests.</w:t>
      </w:r>
    </w:p>
    <w:p>
      <w:pPr>
        <w:spacing w:after="0" w:line="175" w:lineRule="exact"/>
        <w:rPr>
          <w:rFonts w:ascii="Times New Roman" w:cs="Times New Roman" w:eastAsia="Times New Roman" w:hAnsi="Times New Roman"/>
          <w:sz w:val="22"/>
          <w:szCs w:val="22"/>
          <w:b w:val="1"/>
          <w:bCs w:val="1"/>
          <w:color w:val="auto"/>
        </w:rPr>
      </w:pPr>
    </w:p>
    <w:p>
      <w:pPr>
        <w:ind w:left="820" w:hanging="812"/>
        <w:spacing w:after="0"/>
        <w:tabs>
          <w:tab w:leader="none" w:pos="8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Salary.</w:t>
      </w:r>
    </w:p>
    <w:p>
      <w:pPr>
        <w:spacing w:after="0" w:line="206" w:lineRule="exact"/>
        <w:rPr>
          <w:rFonts w:ascii="Times New Roman" w:cs="Times New Roman" w:eastAsia="Times New Roman" w:hAnsi="Times New Roman"/>
          <w:sz w:val="22"/>
          <w:szCs w:val="22"/>
          <w:b w:val="1"/>
          <w:bCs w:val="1"/>
          <w:color w:val="auto"/>
        </w:rPr>
      </w:pPr>
    </w:p>
    <w:p>
      <w:pPr>
        <w:jc w:val="both"/>
        <w:ind w:firstLine="853"/>
        <w:spacing w:after="0" w:line="263" w:lineRule="auto"/>
        <w:tabs>
          <w:tab w:leader="none" w:pos="1744" w:val="left"/>
        </w:tabs>
        <w:numPr>
          <w:ilvl w:val="1"/>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Base Compensation. </w:t>
      </w:r>
      <w:r>
        <w:rPr>
          <w:rFonts w:ascii="Times New Roman" w:cs="Times New Roman" w:eastAsia="Times New Roman" w:hAnsi="Times New Roman"/>
          <w:sz w:val="21"/>
          <w:szCs w:val="21"/>
          <w:color w:val="auto"/>
        </w:rPr>
        <w:t>Provided that the Company consummates its planned initial public offering (“</w:t>
      </w:r>
      <w:r>
        <w:rPr>
          <w:rFonts w:ascii="Times New Roman" w:cs="Times New Roman" w:eastAsia="Times New Roman" w:hAnsi="Times New Roman"/>
          <w:sz w:val="21"/>
          <w:szCs w:val="21"/>
          <w:b w:val="1"/>
          <w:bCs w:val="1"/>
          <w:color w:val="auto"/>
        </w:rPr>
        <w:t>IPO</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effective as of the date of the pricing of such IPO, you will be paid a base salary rate of $432,600 annually, payable in accordance with the standard payroll practices of the Company and subject to all withholdings and deductions as required by law.</w:t>
      </w:r>
    </w:p>
    <w:p>
      <w:pPr>
        <w:spacing w:after="0" w:line="151" w:lineRule="exact"/>
        <w:rPr>
          <w:rFonts w:ascii="Times New Roman" w:cs="Times New Roman" w:eastAsia="Times New Roman" w:hAnsi="Times New Roman"/>
          <w:sz w:val="21"/>
          <w:szCs w:val="21"/>
          <w:b w:val="1"/>
          <w:bCs w:val="1"/>
          <w:color w:val="auto"/>
        </w:rPr>
      </w:pPr>
    </w:p>
    <w:p>
      <w:pPr>
        <w:jc w:val="both"/>
        <w:ind w:firstLine="853"/>
        <w:spacing w:after="0" w:line="236" w:lineRule="auto"/>
        <w:tabs>
          <w:tab w:leader="none" w:pos="1756" w:val="left"/>
        </w:tabs>
        <w:numPr>
          <w:ilvl w:val="1"/>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Discretionary Bonus. </w:t>
      </w:r>
      <w:r>
        <w:rPr>
          <w:rFonts w:ascii="Times New Roman" w:cs="Times New Roman" w:eastAsia="Times New Roman" w:hAnsi="Times New Roman"/>
          <w:sz w:val="22"/>
          <w:szCs w:val="22"/>
          <w:color w:val="auto"/>
        </w:rPr>
        <w:t>In addition, you will continue to be eligible to receive discretionary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on an annual basis, which shall initially be set at a target amount of up to 40% of your base salary, subject to all withholdings and deductions (the “</w:t>
      </w:r>
      <w:r>
        <w:rPr>
          <w:rFonts w:ascii="Times New Roman" w:cs="Times New Roman" w:eastAsia="Times New Roman" w:hAnsi="Times New Roman"/>
          <w:sz w:val="22"/>
          <w:szCs w:val="22"/>
          <w:b w:val="1"/>
          <w:bCs w:val="1"/>
          <w:color w:val="auto"/>
        </w:rPr>
        <w:t>Performance Bonus</w:t>
      </w:r>
      <w:r>
        <w:rPr>
          <w:rFonts w:ascii="Times New Roman" w:cs="Times New Roman" w:eastAsia="Times New Roman" w:hAnsi="Times New Roman"/>
          <w:sz w:val="22"/>
          <w:szCs w:val="22"/>
          <w:color w:val="auto"/>
        </w:rPr>
        <w:t>”). Whether you earn the Performance Bonus and the actual bonus payment amount will be based upon your achievement of mutually agreed upon performance metrics, as well as any other criteria the Company deems relevant. The Company will pay you this Performance Bonus, if any, no later than March 15th of the following calendar year. The bonus is not earned until paid and no pro-rated amount will be paid if your employment terminates for any reason prior to the payment date.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234117483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5" w:name="page196"/>
    <w:bookmarkEnd w:id="195"/>
    <w:p>
      <w:pPr>
        <w:ind w:right="20"/>
        <w:spacing w:after="0" w:line="258" w:lineRule="auto"/>
        <w:rPr>
          <w:sz w:val="20"/>
          <w:szCs w:val="20"/>
          <w:color w:val="auto"/>
        </w:rPr>
      </w:pPr>
      <w:r>
        <w:rPr>
          <w:rFonts w:ascii="Times New Roman" w:cs="Times New Roman" w:eastAsia="Times New Roman" w:hAnsi="Times New Roman"/>
          <w:sz w:val="22"/>
          <w:szCs w:val="22"/>
          <w:color w:val="auto"/>
        </w:rPr>
        <w:t>The Company reserves the right to prospectively modify your compensation, including the terms of your Performance Bonus from time to time in its discretion, to the extent permitted by applicable law.</w:t>
      </w:r>
    </w:p>
    <w:p>
      <w:pPr>
        <w:spacing w:after="0" w:line="154" w:lineRule="exact"/>
        <w:rPr>
          <w:sz w:val="20"/>
          <w:szCs w:val="20"/>
          <w:color w:val="auto"/>
        </w:rPr>
      </w:pPr>
    </w:p>
    <w:p>
      <w:pPr>
        <w:jc w:val="both"/>
        <w:ind w:firstLine="8"/>
        <w:spacing w:after="0" w:line="246" w:lineRule="auto"/>
        <w:tabs>
          <w:tab w:leader="none" w:pos="81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w:t>
      </w:r>
      <w:r>
        <w:rPr>
          <w:rFonts w:ascii="Times New Roman" w:cs="Times New Roman" w:eastAsia="Times New Roman" w:hAnsi="Times New Roman"/>
          <w:sz w:val="22"/>
          <w:szCs w:val="22"/>
          <w:color w:val="auto"/>
        </w:rPr>
        <w:t>The Company previously granted to Executive a restricted stock unit award with respect to 668,745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Common Stock (the “</w:t>
      </w:r>
      <w:r>
        <w:rPr>
          <w:rFonts w:ascii="Times New Roman" w:cs="Times New Roman" w:eastAsia="Times New Roman" w:hAnsi="Times New Roman"/>
          <w:sz w:val="22"/>
          <w:szCs w:val="22"/>
          <w:b w:val="1"/>
          <w:bCs w:val="1"/>
          <w:color w:val="auto"/>
        </w:rPr>
        <w:t>Grant</w:t>
      </w:r>
      <w:r>
        <w:rPr>
          <w:rFonts w:ascii="Times New Roman" w:cs="Times New Roman" w:eastAsia="Times New Roman" w:hAnsi="Times New Roman"/>
          <w:sz w:val="22"/>
          <w:szCs w:val="22"/>
          <w:color w:val="auto"/>
        </w:rPr>
        <w:t>”). The Grant will continue to be governed by the applicable grant documents and the Company’s 2020 Equity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81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Benefits. </w:t>
      </w:r>
      <w:r>
        <w:rPr>
          <w:rFonts w:ascii="Times New Roman" w:cs="Times New Roman" w:eastAsia="Times New Roman" w:hAnsi="Times New Roman"/>
          <w:sz w:val="22"/>
          <w:szCs w:val="22"/>
          <w:color w:val="auto"/>
        </w:rPr>
        <w:t>You will remain eligible to participate in benefit plans and programs in effect from time to time as are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to other similarly situated employees of the Company, in accordance with and subject to the eligibility and other provisions of such plans and programs. You will remain eligible to accrue up to four (4) weeks of vacation each year pursuant to the Company’s policies and practices.</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81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Policies; Confidentiality. </w:t>
      </w:r>
      <w:r>
        <w:rPr>
          <w:rFonts w:ascii="Times New Roman" w:cs="Times New Roman" w:eastAsia="Times New Roman" w:hAnsi="Times New Roman"/>
          <w:sz w:val="22"/>
          <w:szCs w:val="22"/>
          <w:color w:val="auto"/>
        </w:rPr>
        <w:t>You will be expected to continue to adhere to the general employment policies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of the Company that may be in effect from time to time. Additionally, in connection with this Amended Offer Letter, you must sign and comply with the attached Employee Confidential Information and Inventions Agreement (the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which prohibits unauthorized use or disclosure of the Company’s proprietary information, among other obligations.</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81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Prior Obligations. </w:t>
      </w:r>
      <w:r>
        <w:rPr>
          <w:rFonts w:ascii="Times New Roman" w:cs="Times New Roman" w:eastAsia="Times New Roman" w:hAnsi="Times New Roman"/>
          <w:sz w:val="22"/>
          <w:szCs w:val="22"/>
          <w:color w:val="auto"/>
        </w:rPr>
        <w:t>You confirm that you are able to accept this job and carry out the work involved without breaching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legal restrictions on your activities, such as restrictions imposed by a current or former employer. You also confirm that you will inform the Company about any such restrictions and provide the Company with as much information about them as possible, including copies of any agreements between you and your current or former employer describing such restrictions on your activities.</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You further confirm that you will not remove or copy any documents or proprietary data or materials of any kind, electronic or otherwise, from your current or former employer to the Company without written authorization from your current or former employer, nor will you use or disclose any such confidential information during the course and scope of your employment with the Company. If you have any questions about the ownership of particular documents or other information, discuss such questions with your former employer before removing or copying the documents or information. You also agree to honor all obligations to former employers during your employment with the Company.</w:t>
      </w:r>
    </w:p>
    <w:p>
      <w:pPr>
        <w:spacing w:after="0" w:line="177" w:lineRule="exact"/>
        <w:rPr>
          <w:sz w:val="20"/>
          <w:szCs w:val="20"/>
          <w:color w:val="auto"/>
        </w:rPr>
      </w:pPr>
    </w:p>
    <w:p>
      <w:pPr>
        <w:jc w:val="both"/>
        <w:ind w:firstLine="8"/>
        <w:spacing w:after="0" w:line="241" w:lineRule="auto"/>
        <w:tabs>
          <w:tab w:leader="none" w:pos="81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w:t>
      </w:r>
      <w:r>
        <w:rPr>
          <w:rFonts w:ascii="Times New Roman" w:cs="Times New Roman" w:eastAsia="Times New Roman" w:hAnsi="Times New Roman"/>
          <w:sz w:val="22"/>
          <w:szCs w:val="22"/>
          <w:color w:val="auto"/>
        </w:rPr>
        <w:t>Your employment will remain at-will, meaning that you or the Company may terminate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relationship at any time, with or without Cause (as defined below), and with or without advance notice. In addition, as part of your at-will employment, the Company reserves the right to, in its sole discretion, modify or rescind any of the terms set forth in this letter at any time during the course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6" w:name="page197"/>
    <w:bookmarkEnd w:id="196"/>
    <w:p>
      <w:pPr>
        <w:ind w:left="840" w:hanging="832"/>
        <w:spacing w:after="0"/>
        <w:tabs>
          <w:tab w:leader="none" w:pos="84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Severance.</w:t>
      </w:r>
    </w:p>
    <w:p>
      <w:pPr>
        <w:spacing w:after="0" w:line="206" w:lineRule="exact"/>
        <w:rPr>
          <w:rFonts w:ascii="Times New Roman" w:cs="Times New Roman" w:eastAsia="Times New Roman" w:hAnsi="Times New Roman"/>
          <w:sz w:val="22"/>
          <w:szCs w:val="22"/>
          <w:b w:val="1"/>
          <w:bCs w:val="1"/>
          <w:color w:val="auto"/>
        </w:rPr>
      </w:pPr>
    </w:p>
    <w:p>
      <w:pPr>
        <w:jc w:val="both"/>
        <w:ind w:firstLine="853"/>
        <w:spacing w:after="0" w:line="246" w:lineRule="auto"/>
        <w:tabs>
          <w:tab w:leader="none" w:pos="1744"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for Any Reason. </w:t>
      </w:r>
      <w:r>
        <w:rPr>
          <w:rFonts w:ascii="Times New Roman" w:cs="Times New Roman" w:eastAsia="Times New Roman" w:hAnsi="Times New Roman"/>
          <w:sz w:val="22"/>
          <w:szCs w:val="22"/>
          <w:color w:val="auto"/>
        </w:rPr>
        <w:t>In the event that your employment with the Company terminates for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the Company shall pay you any unpaid base salary earned through your last day of employment (the “</w:t>
      </w:r>
      <w:r>
        <w:rPr>
          <w:rFonts w:ascii="Times New Roman" w:cs="Times New Roman" w:eastAsia="Times New Roman" w:hAnsi="Times New Roman"/>
          <w:sz w:val="22"/>
          <w:szCs w:val="22"/>
          <w:b w:val="1"/>
          <w:bCs w:val="1"/>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and expense reimbursements accrued but unpaid as of the Date of Termination (the “</w:t>
      </w:r>
      <w:r>
        <w:rPr>
          <w:rFonts w:ascii="Times New Roman" w:cs="Times New Roman" w:eastAsia="Times New Roman" w:hAnsi="Times New Roman"/>
          <w:sz w:val="22"/>
          <w:szCs w:val="22"/>
          <w:b w:val="1"/>
          <w:bCs w:val="1"/>
          <w:color w:val="auto"/>
        </w:rPr>
        <w:t>Accrued Benefit</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b w:val="1"/>
          <w:bCs w:val="1"/>
          <w:color w:val="auto"/>
        </w:rPr>
      </w:pPr>
    </w:p>
    <w:p>
      <w:pPr>
        <w:jc w:val="both"/>
        <w:ind w:firstLine="853"/>
        <w:spacing w:after="0" w:line="241" w:lineRule="auto"/>
        <w:tabs>
          <w:tab w:leader="none" w:pos="175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without Cause or Resignation for Good Reason. </w:t>
      </w:r>
      <w:r>
        <w:rPr>
          <w:rFonts w:ascii="Times New Roman" w:cs="Times New Roman" w:eastAsia="Times New Roman" w:hAnsi="Times New Roman"/>
          <w:sz w:val="22"/>
          <w:szCs w:val="22"/>
          <w:color w:val="auto"/>
        </w:rPr>
        <w:t>If: (i) your employment is terminated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without Cause (as defined herein) or if you resign from the Company for Good Reason (as defined herein); and (ii) provided that you comply with the conditions set forth in Section 8(e); then you shall be entitled to the following severance benefits (collectively, the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b w:val="1"/>
          <w:bCs w:val="1"/>
          <w:color w:val="auto"/>
        </w:rPr>
      </w:pPr>
    </w:p>
    <w:p>
      <w:pPr>
        <w:jc w:val="both"/>
        <w:ind w:firstLine="1696"/>
        <w:spacing w:after="0" w:line="248" w:lineRule="auto"/>
        <w:tabs>
          <w:tab w:leader="none" w:pos="2540" w:val="left"/>
        </w:tabs>
        <w:numPr>
          <w:ilvl w:val="2"/>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Salary Continuation. </w:t>
      </w:r>
      <w:r>
        <w:rPr>
          <w:rFonts w:ascii="Times New Roman" w:cs="Times New Roman" w:eastAsia="Times New Roman" w:hAnsi="Times New Roman"/>
          <w:sz w:val="21"/>
          <w:szCs w:val="21"/>
          <w:color w:val="auto"/>
        </w:rPr>
        <w:t>The Company shall pay you an amount equal to twelve (12) months of your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then-current base salary, less applicable deductions and withholdings, paid in equal installments on the Company’s normal payroll schedule over the twelve (12) month period immediately following the Date of Termination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payments will be made prior to the 60th day following the Date of Termination. On the 60th day following the Date of Termination, the Company will pay you in a lump sum the salary continuation that you would have received on or prior to such date under the original schedule but for the delay while waiting for the 60</w:t>
      </w:r>
      <w:r>
        <w:rPr>
          <w:rFonts w:ascii="Times New Roman" w:cs="Times New Roman" w:eastAsia="Times New Roman" w:hAnsi="Times New Roman"/>
          <w:sz w:val="17"/>
          <w:szCs w:val="17"/>
          <w:color w:val="auto"/>
        </w:rPr>
        <w:t>th</w:t>
      </w:r>
      <w:r>
        <w:rPr>
          <w:rFonts w:ascii="Times New Roman" w:cs="Times New Roman" w:eastAsia="Times New Roman" w:hAnsi="Times New Roman"/>
          <w:sz w:val="21"/>
          <w:szCs w:val="21"/>
          <w:color w:val="auto"/>
        </w:rPr>
        <w:t xml:space="preserve"> day in compliance with Code Section 409A and the effectiveness of the Release (as defined below), with the balance of the salary continuation being paid as originally scheduled.</w:t>
      </w:r>
    </w:p>
    <w:p>
      <w:pPr>
        <w:spacing w:after="0" w:line="170" w:lineRule="exact"/>
        <w:rPr>
          <w:rFonts w:ascii="Times New Roman" w:cs="Times New Roman" w:eastAsia="Times New Roman" w:hAnsi="Times New Roman"/>
          <w:sz w:val="21"/>
          <w:szCs w:val="21"/>
          <w:b w:val="1"/>
          <w:bCs w:val="1"/>
          <w:color w:val="auto"/>
        </w:rPr>
      </w:pPr>
    </w:p>
    <w:p>
      <w:pPr>
        <w:jc w:val="both"/>
        <w:ind w:firstLine="1696"/>
        <w:spacing w:after="0" w:line="237" w:lineRule="auto"/>
        <w:tabs>
          <w:tab w:leader="none" w:pos="2600" w:val="left"/>
        </w:tabs>
        <w:numPr>
          <w:ilvl w:val="2"/>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COBRA Severance</w:t>
      </w:r>
      <w:r>
        <w:rPr>
          <w:rFonts w:ascii="Times New Roman" w:cs="Times New Roman" w:eastAsia="Times New Roman" w:hAnsi="Times New Roman"/>
          <w:sz w:val="22"/>
          <w:szCs w:val="22"/>
          <w:color w:val="auto"/>
        </w:rPr>
        <w:t>. If you timely elect continued coverage under COBRA for you and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dependents under the Company’s group health plans following such termination of employment, then the Company will pay your COBRA premiums to continue your coverage (including coverage for eligible dependents, if applicable) through the period (the “</w:t>
      </w:r>
      <w:r>
        <w:rPr>
          <w:rFonts w:ascii="Times New Roman" w:cs="Times New Roman" w:eastAsia="Times New Roman" w:hAnsi="Times New Roman"/>
          <w:sz w:val="22"/>
          <w:szCs w:val="22"/>
          <w:b w:val="1"/>
          <w:bCs w:val="1"/>
          <w:color w:val="auto"/>
        </w:rPr>
        <w:t>COBRA Premium Period</w:t>
      </w:r>
      <w:r>
        <w:rPr>
          <w:rFonts w:ascii="Times New Roman" w:cs="Times New Roman" w:eastAsia="Times New Roman" w:hAnsi="Times New Roman"/>
          <w:sz w:val="22"/>
          <w:szCs w:val="22"/>
          <w:color w:val="auto"/>
        </w:rPr>
        <w:t>”) starting on the Date of Termination and ending on the earliest to occur of the following: (i) twelve (12) months following the Date of Termination; (ii) the date you become eligible for group health insurance coverage through a new employer; or</w:t>
      </w:r>
    </w:p>
    <w:p>
      <w:pPr>
        <w:spacing w:after="0" w:line="179" w:lineRule="exact"/>
        <w:rPr>
          <w:rFonts w:ascii="Times New Roman" w:cs="Times New Roman" w:eastAsia="Times New Roman" w:hAnsi="Times New Roman"/>
          <w:sz w:val="22"/>
          <w:szCs w:val="22"/>
          <w:b w:val="1"/>
          <w:bCs w:val="1"/>
          <w:color w:val="auto"/>
        </w:rPr>
      </w:pPr>
    </w:p>
    <w:p>
      <w:pPr>
        <w:ind w:left="2660" w:hanging="964"/>
        <w:spacing w:after="0"/>
        <w:tabs>
          <w:tab w:leader="none" w:pos="2660" w:val="left"/>
        </w:tabs>
        <w:numPr>
          <w:ilvl w:val="2"/>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date you cease to be eligible for COBRA continuation coverage for any reason, including plan</w:t>
      </w:r>
    </w:p>
    <w:p>
      <w:pPr>
        <w:spacing w:after="0" w:line="25"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termination.</w:t>
      </w:r>
    </w:p>
    <w:p>
      <w:pPr>
        <w:spacing w:after="0" w:line="178" w:lineRule="exact"/>
        <w:rPr>
          <w:rFonts w:ascii="Times New Roman" w:cs="Times New Roman" w:eastAsia="Times New Roman" w:hAnsi="Times New Roman"/>
          <w:sz w:val="21"/>
          <w:szCs w:val="21"/>
          <w:b w:val="1"/>
          <w:bCs w:val="1"/>
          <w:color w:val="auto"/>
        </w:rPr>
      </w:pPr>
    </w:p>
    <w:p>
      <w:pPr>
        <w:jc w:val="both"/>
        <w:ind w:firstLine="853"/>
        <w:spacing w:after="0" w:line="246" w:lineRule="auto"/>
        <w:tabs>
          <w:tab w:leader="none" w:pos="1732"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in Connection with a Change in Control. </w:t>
      </w:r>
      <w:r>
        <w:rPr>
          <w:rFonts w:ascii="Times New Roman" w:cs="Times New Roman" w:eastAsia="Times New Roman" w:hAnsi="Times New Roman"/>
          <w:sz w:val="22"/>
          <w:szCs w:val="22"/>
          <w:color w:val="auto"/>
        </w:rPr>
        <w:t>You will be eligible to participate in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Control Severance Plan, pursuant to the terms of that Plan. For the avoidance of doubt, under no circumstances will you be entitled to receive the benefits under both Sections 8(b) and 8(c).</w:t>
      </w:r>
    </w:p>
    <w:p>
      <w:pPr>
        <w:spacing w:after="0" w:line="167" w:lineRule="exact"/>
        <w:rPr>
          <w:rFonts w:ascii="Times New Roman" w:cs="Times New Roman" w:eastAsia="Times New Roman" w:hAnsi="Times New Roman"/>
          <w:sz w:val="22"/>
          <w:szCs w:val="22"/>
          <w:b w:val="1"/>
          <w:bCs w:val="1"/>
          <w:color w:val="auto"/>
        </w:rPr>
      </w:pPr>
    </w:p>
    <w:p>
      <w:pPr>
        <w:jc w:val="both"/>
        <w:ind w:firstLine="853"/>
        <w:spacing w:after="0" w:line="246" w:lineRule="auto"/>
        <w:tabs>
          <w:tab w:leader="none" w:pos="1756" w:val="left"/>
        </w:tabs>
        <w:numPr>
          <w:ilvl w:val="1"/>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for Cause or Resignation Without Good Reason. </w:t>
      </w:r>
      <w:r>
        <w:rPr>
          <w:rFonts w:ascii="Times New Roman" w:cs="Times New Roman" w:eastAsia="Times New Roman" w:hAnsi="Times New Roman"/>
          <w:sz w:val="22"/>
          <w:szCs w:val="22"/>
          <w:color w:val="auto"/>
        </w:rPr>
        <w:t>In the event your employment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terminated by the Company for Cause or you resign without Good Reason; then the Company’s sole obligation shall be to pay you the amount of the Accrued Benefit.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234117483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97" w:name="page198"/>
    <w:bookmarkEnd w:id="197"/>
    <w:p>
      <w:pPr>
        <w:jc w:val="both"/>
        <w:ind w:firstLine="853"/>
        <w:spacing w:after="0" w:line="248" w:lineRule="auto"/>
        <w:tabs>
          <w:tab w:leader="none" w:pos="1732"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Conditions for Receipt of Severance Benefits. </w:t>
      </w:r>
      <w:r>
        <w:rPr>
          <w:rFonts w:ascii="Times New Roman" w:cs="Times New Roman" w:eastAsia="Times New Roman" w:hAnsi="Times New Roman"/>
          <w:sz w:val="22"/>
          <w:szCs w:val="22"/>
          <w:color w:val="auto"/>
        </w:rPr>
        <w:t>The Severance Benefits, as applicable, are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conditioned on the following: (i) if you hold any other positions with the Company, including as member of the Board or any boards of directors of any subsidiaries, you </w:t>
      </w:r>
      <w:r>
        <w:rPr>
          <w:rFonts w:ascii="Times New Roman" w:cs="Times New Roman" w:eastAsia="Times New Roman" w:hAnsi="Times New Roman"/>
          <w:sz w:val="19"/>
          <w:szCs w:val="19"/>
          <w:color w:val="auto"/>
        </w:rPr>
        <w:t>resign such position(s) to be effective no later than the Date of Termination (or such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date as requested by the Board); (ii) you return all Company property; (iii) your timely execution and delivery to the Company an effective release of claims in favor of and in a form acceptable to theCompany (the “</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within the timeframe set forth therein, and you do not revoke the Release; and (iv) your continued compliance with all of your duties and obligations to the Company, including but not limited to, obligations under this Agreement and the Confidentiality Agreement.</w:t>
      </w:r>
    </w:p>
    <w:p>
      <w:pPr>
        <w:spacing w:after="0" w:line="175" w:lineRule="exact"/>
        <w:rPr>
          <w:rFonts w:ascii="Times New Roman" w:cs="Times New Roman" w:eastAsia="Times New Roman" w:hAnsi="Times New Roman"/>
          <w:sz w:val="22"/>
          <w:szCs w:val="22"/>
          <w:b w:val="1"/>
          <w:bCs w:val="1"/>
          <w:color w:val="auto"/>
        </w:rPr>
      </w:pPr>
    </w:p>
    <w:p>
      <w:pPr>
        <w:ind w:left="1720" w:hanging="867"/>
        <w:spacing w:after="0"/>
        <w:tabs>
          <w:tab w:leader="none" w:pos="1720" w:val="left"/>
        </w:tabs>
        <w:numPr>
          <w:ilvl w:val="1"/>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6" w:lineRule="exact"/>
        <w:rPr>
          <w:rFonts w:ascii="Times New Roman" w:cs="Times New Roman" w:eastAsia="Times New Roman" w:hAnsi="Times New Roman"/>
          <w:sz w:val="22"/>
          <w:szCs w:val="22"/>
          <w:b w:val="1"/>
          <w:bCs w:val="1"/>
          <w:color w:val="auto"/>
        </w:rPr>
      </w:pPr>
    </w:p>
    <w:p>
      <w:pPr>
        <w:jc w:val="both"/>
        <w:ind w:firstLine="1696"/>
        <w:spacing w:after="0" w:line="233" w:lineRule="auto"/>
        <w:tabs>
          <w:tab w:leader="none" w:pos="2540" w:val="left"/>
        </w:tabs>
        <w:numPr>
          <w:ilvl w:val="2"/>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shall mean termination of employment for one or more of the following reasons: (A) material failure to follow any proper and lawful directive of the Board that remains uncured more than thirty (30) days after a written demand is delivered to you that specifically identifies the manner in which the Board believes that you have failed to follow such instructions,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failure to meet performance targets shall not, in and of itself, be deemed a failure to follow any such instructions; (B) your commission of an act of: (a) fraud, embezzlement, or theft; or (b) dishonesty that injures the business, business reputation or business relationships of the Company; (C) your commission or conviction of, or pleading guilty or nolo contendere to, a felony; and (D) material violation of any agreement between you and Company or of any material Company policy that remains uncured (if curable) more than thirty </w:t>
      </w:r>
      <w:r>
        <w:rPr>
          <w:rFonts w:ascii="Times New Roman" w:cs="Times New Roman" w:eastAsia="Times New Roman" w:hAnsi="Times New Roman"/>
          <w:sz w:val="19"/>
          <w:szCs w:val="19"/>
          <w:color w:val="auto"/>
        </w:rPr>
        <w:t>(30) days after written notice thereof is delivered to you 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specifically identities such violation.</w:t>
      </w:r>
    </w:p>
    <w:p>
      <w:pPr>
        <w:spacing w:after="0" w:line="179" w:lineRule="exact"/>
        <w:rPr>
          <w:rFonts w:ascii="Times New Roman" w:cs="Times New Roman" w:eastAsia="Times New Roman" w:hAnsi="Times New Roman"/>
          <w:sz w:val="22"/>
          <w:szCs w:val="22"/>
          <w:b w:val="1"/>
          <w:bCs w:val="1"/>
          <w:color w:val="auto"/>
        </w:rPr>
      </w:pPr>
    </w:p>
    <w:p>
      <w:pPr>
        <w:jc w:val="both"/>
        <w:ind w:firstLine="1696"/>
        <w:spacing w:after="0" w:line="239" w:lineRule="auto"/>
        <w:tabs>
          <w:tab w:leader="none" w:pos="2600" w:val="left"/>
        </w:tabs>
        <w:numPr>
          <w:ilvl w:val="2"/>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shall mean a resignation of employment by you as a result of the occurrence of one or more of the following events without your consent: (A) a material breach by the Company of an agreement between you and the Company; (B) the Company significantly reduces your base salary or the percentage eligibility established for the Performance Bonus, other than any Company-wide reduction in compensation of employees; (C) the Company significantly reduces the Executive’s duties, authority or responsibilities relative to Executive’s duties, authority or responsibilities in effect immediately prior to such reduction; or </w:t>
      </w:r>
      <w:r>
        <w:rPr>
          <w:rFonts w:ascii="Times New Roman" w:cs="Times New Roman" w:eastAsia="Times New Roman" w:hAnsi="Times New Roman"/>
          <w:sz w:val="19"/>
          <w:szCs w:val="19"/>
          <w:color w:val="auto"/>
        </w:rPr>
        <w:t>(D) the Company relocates the facility that is the Executive’s principal place of business with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Company to a location more than fifty (50) miles from the immediately preceding location (excluding regular travel in the ordinary course of business). In order to resign for Good Reason, you must provide written notice to the Company’s President within 30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87"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81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Section 409A. </w:t>
      </w:r>
      <w:r>
        <w:rPr>
          <w:rFonts w:ascii="Times New Roman" w:cs="Times New Roman" w:eastAsia="Times New Roman" w:hAnsi="Times New Roman"/>
          <w:sz w:val="22"/>
          <w:szCs w:val="22"/>
          <w:color w:val="auto"/>
        </w:rPr>
        <w:t>All benefits and payments provided under this Amended Offer Letter intended to satisfy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for an exemption from application of Section 409A of the Internal Revenue Code of 1986, as amended, and the regulations thereunder (together,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xml:space="preserve">”) to the maximum extent that an exemption is available and any ambiguities herein shall be interpreted accordingly; provided, however, that to the extent such an exemption is not available, the benefits provided under this Amended and Restated Offer Letter are intended to comply with the requirements of Section 409A to the extent necessary to avoid adverse tax </w:t>
      </w:r>
      <w:r>
        <w:rPr>
          <w:rFonts w:ascii="Times New Roman" w:cs="Times New Roman" w:eastAsia="Times New Roman" w:hAnsi="Times New Roman"/>
          <w:sz w:val="19"/>
          <w:szCs w:val="19"/>
          <w:color w:val="auto"/>
        </w:rPr>
        <w:t>consequences and any ambiguities herein shall be interpreted accordingly. To the extent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benefit or payment under this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234117483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98" w:name="page199"/>
    <w:bookmarkEnd w:id="198"/>
    <w:p>
      <w:pPr>
        <w:jc w:val="both"/>
        <w:spacing w:after="0" w:line="241" w:lineRule="auto"/>
        <w:rPr>
          <w:sz w:val="20"/>
          <w:szCs w:val="20"/>
          <w:color w:val="auto"/>
        </w:rPr>
      </w:pPr>
      <w:r>
        <w:rPr>
          <w:rFonts w:ascii="Times New Roman" w:cs="Times New Roman" w:eastAsia="Times New Roman" w:hAnsi="Times New Roman"/>
          <w:sz w:val="20"/>
          <w:szCs w:val="20"/>
          <w:color w:val="auto"/>
        </w:rPr>
        <w:t>Amended and Restated Offer Letter may be classified as a “short- term deferral” within the meaning of Section 409A, such benefit or payment shall be deemed a short-term deferral, even if it may also qualify for an exemption from Section 409A under another provision of Section 409A. Any termination of service referenced in this Amended and Restated Offer Letter is intended to mean a “separation from service,” as such term is defined in Treasury Regulation Section 1.409A-1(h) (or any successor provision thereof). To the extent any expense reimbursement is determined to be subject to (and not exempt from) Section 409A, the amount of any such expenses eligible for reimbursement in one calendar year shall not affect the expenses eligible for reimbursement to be provided in any other calendar year, in no event shall any expenses be reimbursed after the last day of the calendar year following the calendar year in which you incurred such expenses, and the right to reimbursement is not subject to liquidation or exchange for another benefit. Payments pursuant to this Amended and Restated Offer Letter are intended to constitute separate payments for purposes of Section 1.409A-2(b)(2) of the Treasury Regulations under Section 409A. Notwithstanding anything to the contrary herein, to the extent (i) any payments to which you become entitled under this Amended and Restated Offer Letter, orany agreement or plan referenced in this Amended and Restated Offer Letter, in connection with your termination constitute deferred compensation subject to Section 409A and (ii) you are deemed at the time of such termination of employment to be a “specified” employee under Section 409A, then such payment or payments shall not be made or commence until the earlier of (i) the expiration of the six-month period measured from your termination; or (ii) as soon as administratively practicable after the date of your death following such termination; provided, however, that such deferral shall only be effected to the extent required to avoid adverse tax treatment to you, including (without limitation) the additional 20% tax for which you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you or your beneficiary in one lump sum (without interest).</w:t>
      </w:r>
    </w:p>
    <w:p>
      <w:pPr>
        <w:spacing w:after="0" w:line="180" w:lineRule="exact"/>
        <w:rPr>
          <w:sz w:val="20"/>
          <w:szCs w:val="20"/>
          <w:color w:val="auto"/>
        </w:rPr>
      </w:pPr>
    </w:p>
    <w:p>
      <w:pPr>
        <w:jc w:val="both"/>
        <w:ind w:firstLine="8"/>
        <w:spacing w:after="0" w:line="246" w:lineRule="auto"/>
        <w:tabs>
          <w:tab w:leader="none" w:pos="918"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Entire Agreement. </w:t>
      </w:r>
      <w:r>
        <w:rPr>
          <w:rFonts w:ascii="Times New Roman" w:cs="Times New Roman" w:eastAsia="Times New Roman" w:hAnsi="Times New Roman"/>
          <w:sz w:val="21"/>
          <w:szCs w:val="21"/>
          <w:color w:val="auto"/>
        </w:rPr>
        <w:t>This letter, together with your Confidentiality Agreement, forms the complete and exclusive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 of your employment agreement with the Company. It supersedes any other agreements (including but not limited to, the Offer Letter) or promises made to you by anyone, whether oral or written. Changes in your employment terms, other than those changes expressly reserved to the Company’s discretion in this letter, require a written modification signed by an officer of the Company. If any provision of this offer letter agreement is determined to be invalid or unenforceable, in whole or in part, this determination shall not affect any other provision of this offer letter agreement and the provision in question shall be modified so as to be rendered enforceable in a manner consistent with the intent of the parties insofar as possible under applicable law. This letter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234117483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99" w:name="page200"/>
    <w:bookmarkEnd w:id="199"/>
    <w:p>
      <w:pPr>
        <w:spacing w:after="0" w:line="258" w:lineRule="auto"/>
        <w:rPr>
          <w:sz w:val="20"/>
          <w:szCs w:val="20"/>
          <w:color w:val="auto"/>
        </w:rPr>
      </w:pPr>
      <w:r>
        <w:rPr>
          <w:rFonts w:ascii="Times New Roman" w:cs="Times New Roman" w:eastAsia="Times New Roman" w:hAnsi="Times New Roman"/>
          <w:sz w:val="22"/>
          <w:szCs w:val="22"/>
          <w:color w:val="auto"/>
        </w:rPr>
        <w:t>If you wish to accept this position, please sign and date below, and the enclosed Confidentiality Agreement, and return them to me within 10 days.</w:t>
      </w: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6</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234117483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42" w:right="5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I look forward to hearing from you. Yours 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744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 Session 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rPr>
          <w:sz w:val="20"/>
          <w:szCs w:val="20"/>
          <w:color w:val="auto"/>
        </w:rPr>
      </w:pPr>
      <w:r>
        <w:rPr>
          <w:rFonts w:ascii="Times New Roman" w:cs="Times New Roman" w:eastAsia="Times New Roman" w:hAnsi="Times New Roman"/>
          <w:sz w:val="22"/>
          <w:szCs w:val="22"/>
          <w:color w:val="auto"/>
        </w:rPr>
        <w:t>On behalf of Taysha Gene Therapies,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Suyash Prasad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5744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Date:</w:t>
        <w:tab/>
        <w:t>17 February 2021 | 21:18 PST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10795</wp:posOffset>
            </wp:positionV>
            <wp:extent cx="24174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6"/>
          <w:szCs w:val="16"/>
          <w:i w:val="1"/>
          <w:iCs w:val="1"/>
          <w:color w:val="auto"/>
        </w:rPr>
        <w:t>[Signature Page to Offer Letter]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234117483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42"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2"/>
          <w:szCs w:val="12"/>
          <w:color w:val="auto"/>
        </w:rPr>
        <w:t>234117483 v1</w:t>
      </w:r>
    </w:p>
    <w:p>
      <w:pPr>
        <w:sectPr>
          <w:pgSz w:w="11900" w:h="16838" w:orient="portrait"/>
          <w:cols w:equalWidth="0" w:num="1">
            <w:col w:w="10139"/>
          </w:cols>
          <w:pgMar w:left="320" w:top="810" w:right="1440" w:bottom="1440" w:gutter="0" w:footer="0" w:header="0"/>
        </w:sectPr>
      </w:pPr>
    </w:p>
    <w:bookmarkStart w:id="202" w:name="page203"/>
    <w:bookmarkEnd w:id="202"/>
    <w:p>
      <w:pPr>
        <w:ind w:left="1002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8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LEASE</w:t>
      </w:r>
    </w:p>
    <w:p>
      <w:pPr>
        <w:spacing w:after="0" w:line="233" w:lineRule="exact"/>
        <w:rPr>
          <w:sz w:val="20"/>
          <w:szCs w:val="20"/>
          <w:color w:val="auto"/>
        </w:rPr>
      </w:pPr>
    </w:p>
    <w:p>
      <w:pPr>
        <w:jc w:val="both"/>
        <w:ind w:left="120" w:right="260" w:firstLine="810"/>
        <w:spacing w:after="0" w:line="246" w:lineRule="auto"/>
        <w:rPr>
          <w:sz w:val="20"/>
          <w:szCs w:val="20"/>
          <w:color w:val="auto"/>
        </w:rPr>
      </w:pPr>
      <w:r>
        <w:rPr>
          <w:rFonts w:ascii="Times New Roman" w:cs="Times New Roman" w:eastAsia="Times New Roman" w:hAnsi="Times New Roman"/>
          <w:sz w:val="22"/>
          <w:szCs w:val="22"/>
          <w:color w:val="auto"/>
        </w:rPr>
        <w:t>This LEASE (this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is executed this 17</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of December, 2020, by and between PATRIOT PARK PARTNERS II, LLC, a 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TAYSHA GENE THERAPIES,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left="960" w:right="3940" w:firstLine="2834"/>
        <w:spacing w:after="0" w:line="441"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ARTICLE 1 - LEASE OF PREMISES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Basic Lease Provisions and Definitions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820" w:right="660" w:hanging="752"/>
        <w:spacing w:after="0" w:line="262" w:lineRule="auto"/>
        <w:tabs>
          <w:tab w:leader="none" w:pos="156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Leased Premises</w:t>
      </w:r>
      <w:r>
        <w:rPr>
          <w:rFonts w:ascii="Times New Roman" w:cs="Times New Roman" w:eastAsia="Times New Roman" w:hAnsi="Times New Roman"/>
          <w:sz w:val="22"/>
          <w:szCs w:val="22"/>
          <w:color w:val="auto"/>
        </w:rPr>
        <w:t xml:space="preserve">” (depicted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and made a part hereof): Patriot Park Building No. 3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located at 5 National Way, Durham, NC, within Patriot Park (the “</w:t>
      </w:r>
      <w:r>
        <w:rPr>
          <w:rFonts w:ascii="Times New Roman" w:cs="Times New Roman" w:eastAsia="Times New Roman" w:hAnsi="Times New Roman"/>
          <w:sz w:val="22"/>
          <w:szCs w:val="22"/>
          <w:b w:val="1"/>
          <w:bCs w:val="1"/>
          <w:color w:val="auto"/>
        </w:rPr>
        <w:t>Park</w:t>
      </w:r>
      <w:r>
        <w:rPr>
          <w:rFonts w:ascii="Times New Roman" w:cs="Times New Roman" w:eastAsia="Times New Roman" w:hAnsi="Times New Roman"/>
          <w:sz w:val="22"/>
          <w:szCs w:val="22"/>
          <w:color w:val="auto"/>
        </w:rPr>
        <w:t>”).</w:t>
      </w:r>
    </w:p>
    <w:p>
      <w:pPr>
        <w:spacing w:after="0" w:line="163" w:lineRule="exact"/>
        <w:rPr>
          <w:rFonts w:ascii="Times New Roman" w:cs="Times New Roman" w:eastAsia="Times New Roman" w:hAnsi="Times New Roman"/>
          <w:sz w:val="22"/>
          <w:szCs w:val="22"/>
          <w:color w:val="auto"/>
        </w:rPr>
      </w:pPr>
    </w:p>
    <w:p>
      <w:pPr>
        <w:ind w:left="820" w:right="560" w:hanging="752"/>
        <w:spacing w:after="0" w:line="234" w:lineRule="auto"/>
        <w:tabs>
          <w:tab w:leader="none" w:pos="156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Rentable Area</w:t>
      </w:r>
      <w:r>
        <w:rPr>
          <w:rFonts w:ascii="Times New Roman" w:cs="Times New Roman" w:eastAsia="Times New Roman" w:hAnsi="Times New Roman"/>
          <w:sz w:val="22"/>
          <w:szCs w:val="22"/>
          <w:color w:val="auto"/>
        </w:rPr>
        <w:t xml:space="preserve">”: approximately 187,500 square feet. The Rentable Area includes the square footage within the Leased Premises. Subject to this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 the final Rentable Area to be used in this Lease shall be calculated as the rentable square footage within the Leased Premises as determined in accordance with the drip line method for industrial buildings promulgated by the Building Owners and Managers Association except that the rentable square footage calculation shall include the Building perimeter including the canopies (the “</w:t>
      </w:r>
      <w:r>
        <w:rPr>
          <w:rFonts w:ascii="Times New Roman" w:cs="Times New Roman" w:eastAsia="Times New Roman" w:hAnsi="Times New Roman"/>
          <w:sz w:val="22"/>
          <w:szCs w:val="22"/>
          <w:b w:val="1"/>
          <w:bCs w:val="1"/>
          <w:color w:val="auto"/>
        </w:rPr>
        <w:t>BOMA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Standard</w:t>
      </w:r>
      <w:r>
        <w:rPr>
          <w:rFonts w:ascii="Times New Roman" w:cs="Times New Roman" w:eastAsia="Times New Roman" w:hAnsi="Times New Roman"/>
          <w:sz w:val="22"/>
          <w:szCs w:val="22"/>
          <w:color w:val="auto"/>
        </w:rPr>
        <w:t>”). The Leased Premises and the Building shall be measured and certified by the buildingarchitect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BOMA Standard promptly upon completion. In the event there is a difference between the approximate Rentable Area stated above and the actual Rentable Area of the Leased Premises after completion, Landlord and Tenant shall enter into an amendment of the Lease confirming the actual Rentable Area of the Leased Premises, and calculating Rent and Tenant’s Proportionate Share on the basis of the actual Rentable Area, as soon as practicable after the final determination of same.</w:t>
      </w:r>
    </w:p>
    <w:p>
      <w:pPr>
        <w:spacing w:after="0" w:line="202" w:lineRule="exact"/>
        <w:rPr>
          <w:rFonts w:ascii="Times New Roman" w:cs="Times New Roman" w:eastAsia="Times New Roman" w:hAnsi="Times New Roman"/>
          <w:sz w:val="22"/>
          <w:szCs w:val="22"/>
          <w:color w:val="auto"/>
        </w:rPr>
      </w:pPr>
    </w:p>
    <w:p>
      <w:pPr>
        <w:ind w:left="1780" w:hanging="827"/>
        <w:spacing w:after="0"/>
        <w:tabs>
          <w:tab w:leader="none" w:pos="178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Tenant’s Proportionate Share</w:t>
      </w:r>
      <w:r>
        <w:rPr>
          <w:rFonts w:ascii="Times New Roman" w:cs="Times New Roman" w:eastAsia="Times New Roman" w:hAnsi="Times New Roman"/>
          <w:sz w:val="22"/>
          <w:szCs w:val="22"/>
          <w:color w:val="auto"/>
        </w:rPr>
        <w:t>”: One hundred percent (100.00%).</w:t>
      </w:r>
    </w:p>
    <w:p>
      <w:pPr>
        <w:spacing w:after="0" w:line="233" w:lineRule="exact"/>
        <w:rPr>
          <w:sz w:val="20"/>
          <w:szCs w:val="20"/>
          <w:color w:val="auto"/>
        </w:rPr>
      </w:pPr>
    </w:p>
    <w:p>
      <w:pPr>
        <w:jc w:val="both"/>
        <w:ind w:left="820" w:right="580" w:hanging="752"/>
        <w:spacing w:after="0" w:line="246" w:lineRule="auto"/>
        <w:tabs>
          <w:tab w:leader="none" w:pos="156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Minimum Annual Rent</w:t>
      </w:r>
      <w:r>
        <w:rPr>
          <w:rFonts w:ascii="Times New Roman" w:cs="Times New Roman" w:eastAsia="Times New Roman" w:hAnsi="Times New Roman"/>
          <w:sz w:val="22"/>
          <w:szCs w:val="22"/>
          <w:color w:val="auto"/>
        </w:rPr>
        <w:t xml:space="preserve">” [NOTE: Amounts below are estimates. Final MinimumAnnual Rent amounts to be determined (using the PSF amounts below) upon calculation of the final Rentable Area of the Leased Premises in accordance with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 xml:space="preserve">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 w:type="dxa"/>
            <w:vAlign w:val="bottom"/>
            <w:tcBorders>
              <w:right w:val="single" w:sz="8" w:color="auto"/>
            </w:tcBorders>
          </w:tcPr>
          <w:p>
            <w:pPr>
              <w:spacing w:after="0"/>
              <w:rPr>
                <w:sz w:val="18"/>
                <w:szCs w:val="18"/>
                <w:color w:val="auto"/>
              </w:rPr>
            </w:pPr>
          </w:p>
        </w:tc>
        <w:tc>
          <w:tcPr>
            <w:tcW w:w="2960" w:type="dxa"/>
            <w:vAlign w:val="bottom"/>
            <w:tcBorders>
              <w:top w:val="single" w:sz="8" w:color="auto"/>
              <w:right w:val="single" w:sz="8" w:color="auto"/>
            </w:tcBorders>
          </w:tcPr>
          <w:p>
            <w:pPr>
              <w:ind w:left="1560"/>
              <w:spacing w:after="0" w:line="211" w:lineRule="exact"/>
              <w:rPr>
                <w:sz w:val="20"/>
                <w:szCs w:val="20"/>
                <w:color w:val="auto"/>
              </w:rPr>
            </w:pPr>
            <w:r>
              <w:rPr>
                <w:rFonts w:ascii="Times New Roman" w:cs="Times New Roman" w:eastAsia="Times New Roman" w:hAnsi="Times New Roman"/>
                <w:sz w:val="22"/>
                <w:szCs w:val="22"/>
                <w:b w:val="1"/>
                <w:bCs w:val="1"/>
                <w:color w:val="auto"/>
              </w:rPr>
              <w:t>YEAR</w:t>
            </w:r>
          </w:p>
        </w:tc>
        <w:tc>
          <w:tcPr>
            <w:tcW w:w="3160" w:type="dxa"/>
            <w:vAlign w:val="bottom"/>
            <w:tcBorders>
              <w:top w:val="single" w:sz="8" w:color="auto"/>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22"/>
                <w:szCs w:val="22"/>
                <w:b w:val="1"/>
                <w:bCs w:val="1"/>
                <w:color w:val="auto"/>
                <w:w w:val="95"/>
              </w:rPr>
              <w:t>ESTIMATED TOTAL</w:t>
            </w:r>
          </w:p>
        </w:tc>
        <w:tc>
          <w:tcPr>
            <w:tcW w:w="2200" w:type="dxa"/>
            <w:vAlign w:val="bottom"/>
            <w:tcBorders>
              <w:top w:val="single" w:sz="8" w:color="auto"/>
              <w:right w:val="single" w:sz="8" w:color="auto"/>
            </w:tcBorders>
          </w:tcPr>
          <w:p>
            <w:pPr>
              <w:jc w:val="right"/>
              <w:ind w:right="732"/>
              <w:spacing w:after="0" w:line="211" w:lineRule="exact"/>
              <w:rPr>
                <w:sz w:val="20"/>
                <w:szCs w:val="20"/>
                <w:color w:val="auto"/>
              </w:rPr>
            </w:pPr>
            <w:r>
              <w:rPr>
                <w:rFonts w:ascii="Times New Roman" w:cs="Times New Roman" w:eastAsia="Times New Roman" w:hAnsi="Times New Roman"/>
                <w:sz w:val="22"/>
                <w:szCs w:val="22"/>
                <w:b w:val="1"/>
                <w:bCs w:val="1"/>
                <w:color w:val="auto"/>
              </w:rPr>
              <w:t>MINIMUM</w:t>
            </w:r>
          </w:p>
        </w:tc>
        <w:tc>
          <w:tcPr>
            <w:tcW w:w="2800" w:type="dxa"/>
            <w:vAlign w:val="bottom"/>
          </w:tcPr>
          <w:p>
            <w:pPr>
              <w:spacing w:after="0"/>
              <w:rPr>
                <w:sz w:val="18"/>
                <w:szCs w:val="18"/>
                <w:color w:val="auto"/>
              </w:rPr>
            </w:pPr>
          </w:p>
        </w:tc>
      </w:tr>
      <w:tr>
        <w:trPr>
          <w:trHeight w:val="257"/>
        </w:trPr>
        <w:tc>
          <w:tcPr>
            <w:tcW w:w="140" w:type="dxa"/>
            <w:vAlign w:val="bottom"/>
            <w:tcBorders>
              <w:right w:val="single" w:sz="8" w:color="auto"/>
            </w:tcBorders>
          </w:tcPr>
          <w:p>
            <w:pPr>
              <w:spacing w:after="0"/>
              <w:rPr>
                <w:sz w:val="22"/>
                <w:szCs w:val="22"/>
                <w:color w:val="auto"/>
              </w:rPr>
            </w:pPr>
          </w:p>
        </w:tc>
        <w:tc>
          <w:tcPr>
            <w:tcW w:w="2960" w:type="dxa"/>
            <w:vAlign w:val="bottom"/>
            <w:tcBorders>
              <w:right w:val="single" w:sz="8" w:color="auto"/>
            </w:tcBorders>
          </w:tcPr>
          <w:p>
            <w:pPr>
              <w:spacing w:after="0"/>
              <w:rPr>
                <w:sz w:val="22"/>
                <w:szCs w:val="22"/>
                <w:color w:val="auto"/>
              </w:rPr>
            </w:pP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MINIMUM ANNUAL RENT</w:t>
            </w:r>
          </w:p>
        </w:tc>
        <w:tc>
          <w:tcPr>
            <w:tcW w:w="22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ANNUAL</w:t>
            </w:r>
          </w:p>
        </w:tc>
        <w:tc>
          <w:tcPr>
            <w:tcW w:w="2800" w:type="dxa"/>
            <w:vAlign w:val="bottom"/>
          </w:tcPr>
          <w:p>
            <w:pPr>
              <w:spacing w:after="0"/>
              <w:rPr>
                <w:sz w:val="22"/>
                <w:szCs w:val="22"/>
                <w:color w:val="auto"/>
              </w:rPr>
            </w:pPr>
          </w:p>
        </w:tc>
      </w:tr>
      <w:tr>
        <w:trPr>
          <w:trHeight w:val="274"/>
        </w:trPr>
        <w:tc>
          <w:tcPr>
            <w:tcW w:w="140" w:type="dxa"/>
            <w:vAlign w:val="bottom"/>
            <w:tcBorders>
              <w:right w:val="single" w:sz="8" w:color="auto"/>
            </w:tcBorders>
          </w:tcPr>
          <w:p>
            <w:pPr>
              <w:spacing w:after="0"/>
              <w:rPr>
                <w:sz w:val="23"/>
                <w:szCs w:val="23"/>
                <w:color w:val="auto"/>
              </w:rPr>
            </w:pPr>
          </w:p>
        </w:tc>
        <w:tc>
          <w:tcPr>
            <w:tcW w:w="2960" w:type="dxa"/>
            <w:vAlign w:val="bottom"/>
            <w:tcBorders>
              <w:bottom w:val="single" w:sz="8" w:color="auto"/>
              <w:right w:val="single" w:sz="8" w:color="auto"/>
            </w:tcBorders>
          </w:tcPr>
          <w:p>
            <w:pPr>
              <w:spacing w:after="0"/>
              <w:rPr>
                <w:sz w:val="23"/>
                <w:szCs w:val="23"/>
                <w:color w:val="auto"/>
              </w:rPr>
            </w:pPr>
          </w:p>
        </w:tc>
        <w:tc>
          <w:tcPr>
            <w:tcW w:w="3160" w:type="dxa"/>
            <w:vAlign w:val="bottom"/>
            <w:tcBorders>
              <w:bottom w:val="single" w:sz="8" w:color="auto"/>
              <w:right w:val="single" w:sz="8" w:color="auto"/>
            </w:tcBorders>
          </w:tcPr>
          <w:p>
            <w:pPr>
              <w:spacing w:after="0"/>
              <w:rPr>
                <w:sz w:val="23"/>
                <w:szCs w:val="23"/>
                <w:color w:val="auto"/>
              </w:rPr>
            </w:pPr>
          </w:p>
        </w:tc>
        <w:tc>
          <w:tcPr>
            <w:tcW w:w="2200" w:type="dxa"/>
            <w:vAlign w:val="bottom"/>
            <w:tcBorders>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b w:val="1"/>
                <w:bCs w:val="1"/>
                <w:color w:val="auto"/>
              </w:rPr>
              <w:t>RENT PSF</w:t>
            </w:r>
          </w:p>
        </w:tc>
        <w:tc>
          <w:tcPr>
            <w:tcW w:w="2800" w:type="dxa"/>
            <w:vAlign w:val="bottom"/>
          </w:tcPr>
          <w:p>
            <w:pPr>
              <w:spacing w:after="0"/>
              <w:rPr>
                <w:sz w:val="23"/>
                <w:szCs w:val="23"/>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Lease Year 1</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1,256,250.00</w:t>
            </w:r>
            <w:r>
              <w:rPr>
                <w:rFonts w:ascii="Times New Roman" w:cs="Times New Roman" w:eastAsia="Times New Roman" w:hAnsi="Times New Roman"/>
                <w:sz w:val="20"/>
                <w:szCs w:val="20"/>
                <w:color w:val="auto"/>
              </w:rPr>
              <w:t>*</w:t>
            </w:r>
          </w:p>
        </w:tc>
        <w:tc>
          <w:tcPr>
            <w:tcW w:w="2200" w:type="dxa"/>
            <w:vAlign w:val="bottom"/>
            <w:tcBorders>
              <w:bottom w:val="single" w:sz="8" w:color="auto"/>
              <w:right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$6.70</w:t>
            </w:r>
          </w:p>
        </w:tc>
        <w:tc>
          <w:tcPr>
            <w:tcW w:w="2800" w:type="dxa"/>
            <w:vAlign w:val="bottom"/>
          </w:tcPr>
          <w:p>
            <w:pPr>
              <w:spacing w:after="0"/>
              <w:rPr>
                <w:sz w:val="19"/>
                <w:szCs w:val="1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Lease Year 2</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$1,290,796.88</w:t>
            </w:r>
          </w:p>
        </w:tc>
        <w:tc>
          <w:tcPr>
            <w:tcW w:w="2200" w:type="dxa"/>
            <w:vAlign w:val="bottom"/>
            <w:tcBorders>
              <w:bottom w:val="single" w:sz="8" w:color="auto"/>
              <w:right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$6.88</w:t>
            </w:r>
          </w:p>
        </w:tc>
        <w:tc>
          <w:tcPr>
            <w:tcW w:w="2800" w:type="dxa"/>
            <w:vAlign w:val="bottom"/>
          </w:tcPr>
          <w:p>
            <w:pPr>
              <w:spacing w:after="0"/>
              <w:rPr>
                <w:sz w:val="19"/>
                <w:szCs w:val="1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Lease Year 3</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$1,326,293.79</w:t>
            </w:r>
          </w:p>
        </w:tc>
        <w:tc>
          <w:tcPr>
            <w:tcW w:w="2200" w:type="dxa"/>
            <w:vAlign w:val="bottom"/>
            <w:tcBorders>
              <w:bottom w:val="single" w:sz="8" w:color="auto"/>
              <w:right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$7.07</w:t>
            </w:r>
          </w:p>
        </w:tc>
        <w:tc>
          <w:tcPr>
            <w:tcW w:w="2800" w:type="dxa"/>
            <w:vAlign w:val="bottom"/>
          </w:tcPr>
          <w:p>
            <w:pPr>
              <w:spacing w:after="0"/>
              <w:rPr>
                <w:sz w:val="19"/>
                <w:szCs w:val="1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Lease Year 4</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$1,362,766.87</w:t>
            </w:r>
          </w:p>
        </w:tc>
        <w:tc>
          <w:tcPr>
            <w:tcW w:w="2200" w:type="dxa"/>
            <w:vAlign w:val="bottom"/>
            <w:tcBorders>
              <w:bottom w:val="single" w:sz="8" w:color="auto"/>
              <w:right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$7.27</w:t>
            </w:r>
          </w:p>
        </w:tc>
        <w:tc>
          <w:tcPr>
            <w:tcW w:w="2800" w:type="dxa"/>
            <w:vAlign w:val="bottom"/>
          </w:tcPr>
          <w:p>
            <w:pPr>
              <w:spacing w:after="0"/>
              <w:rPr>
                <w:sz w:val="19"/>
                <w:szCs w:val="19"/>
                <w:color w:val="auto"/>
              </w:rPr>
            </w:pPr>
          </w:p>
        </w:tc>
      </w:tr>
      <w:tr>
        <w:trPr>
          <w:trHeight w:val="236"/>
        </w:trPr>
        <w:tc>
          <w:tcPr>
            <w:tcW w:w="140" w:type="dxa"/>
            <w:vAlign w:val="bottom"/>
            <w:tcBorders>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Lease Year 5</w:t>
            </w:r>
          </w:p>
        </w:tc>
        <w:tc>
          <w:tcPr>
            <w:tcW w:w="31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$1,400,242.96</w:t>
            </w:r>
          </w:p>
        </w:tc>
        <w:tc>
          <w:tcPr>
            <w:tcW w:w="2200" w:type="dxa"/>
            <w:vAlign w:val="bottom"/>
            <w:tcBorders>
              <w:bottom w:val="single" w:sz="8" w:color="auto"/>
              <w:right w:val="single" w:sz="8" w:color="auto"/>
            </w:tcBorders>
          </w:tcPr>
          <w:p>
            <w:pPr>
              <w:jc w:val="right"/>
              <w:ind w:right="352"/>
              <w:spacing w:after="0" w:line="237" w:lineRule="exact"/>
              <w:rPr>
                <w:sz w:val="20"/>
                <w:szCs w:val="20"/>
                <w:color w:val="auto"/>
              </w:rPr>
            </w:pPr>
            <w:r>
              <w:rPr>
                <w:rFonts w:ascii="Times New Roman" w:cs="Times New Roman" w:eastAsia="Times New Roman" w:hAnsi="Times New Roman"/>
                <w:sz w:val="22"/>
                <w:szCs w:val="22"/>
                <w:color w:val="auto"/>
              </w:rPr>
              <w:t>$7.47</w:t>
            </w:r>
          </w:p>
        </w:tc>
        <w:tc>
          <w:tcPr>
            <w:tcW w:w="2800" w:type="dxa"/>
            <w:vAlign w:val="bottom"/>
          </w:tcPr>
          <w:p>
            <w:pPr>
              <w:spacing w:after="0"/>
              <w:rPr>
                <w:sz w:val="20"/>
                <w:szCs w:val="20"/>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Lease Year 6</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$1,438,749.64</w:t>
            </w:r>
          </w:p>
        </w:tc>
        <w:tc>
          <w:tcPr>
            <w:tcW w:w="2200" w:type="dxa"/>
            <w:vAlign w:val="bottom"/>
            <w:tcBorders>
              <w:bottom w:val="single" w:sz="8" w:color="auto"/>
              <w:right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$7.67</w:t>
            </w:r>
          </w:p>
        </w:tc>
        <w:tc>
          <w:tcPr>
            <w:tcW w:w="2800" w:type="dxa"/>
            <w:vAlign w:val="bottom"/>
          </w:tcPr>
          <w:p>
            <w:pPr>
              <w:spacing w:after="0"/>
              <w:rPr>
                <w:sz w:val="19"/>
                <w:szCs w:val="1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Lease Year 7</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$1,478,315.25</w:t>
            </w:r>
          </w:p>
        </w:tc>
        <w:tc>
          <w:tcPr>
            <w:tcW w:w="2200" w:type="dxa"/>
            <w:vAlign w:val="bottom"/>
            <w:tcBorders>
              <w:bottom w:val="single" w:sz="8" w:color="auto"/>
              <w:right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$7.88</w:t>
            </w:r>
          </w:p>
        </w:tc>
        <w:tc>
          <w:tcPr>
            <w:tcW w:w="2800" w:type="dxa"/>
            <w:vAlign w:val="bottom"/>
          </w:tcPr>
          <w:p>
            <w:pPr>
              <w:spacing w:after="0"/>
              <w:rPr>
                <w:sz w:val="19"/>
                <w:szCs w:val="1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Lease Year 8</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$1,518,968.92</w:t>
            </w:r>
          </w:p>
        </w:tc>
        <w:tc>
          <w:tcPr>
            <w:tcW w:w="2200" w:type="dxa"/>
            <w:vAlign w:val="bottom"/>
            <w:tcBorders>
              <w:bottom w:val="single" w:sz="8" w:color="auto"/>
              <w:right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$8.10</w:t>
            </w:r>
          </w:p>
        </w:tc>
        <w:tc>
          <w:tcPr>
            <w:tcW w:w="2800" w:type="dxa"/>
            <w:vAlign w:val="bottom"/>
          </w:tcPr>
          <w:p>
            <w:pPr>
              <w:spacing w:after="0"/>
              <w:rPr>
                <w:sz w:val="19"/>
                <w:szCs w:val="1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Lease Year 9</w:t>
            </w:r>
          </w:p>
        </w:tc>
        <w:tc>
          <w:tcPr>
            <w:tcW w:w="31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$1,560,740.57</w:t>
            </w:r>
          </w:p>
        </w:tc>
        <w:tc>
          <w:tcPr>
            <w:tcW w:w="2200" w:type="dxa"/>
            <w:vAlign w:val="bottom"/>
            <w:tcBorders>
              <w:bottom w:val="single" w:sz="8" w:color="auto"/>
              <w:right w:val="single" w:sz="8" w:color="auto"/>
            </w:tcBorders>
          </w:tcPr>
          <w:p>
            <w:pPr>
              <w:jc w:val="right"/>
              <w:ind w:right="352"/>
              <w:spacing w:after="0" w:line="223" w:lineRule="exact"/>
              <w:rPr>
                <w:sz w:val="20"/>
                <w:szCs w:val="20"/>
                <w:color w:val="auto"/>
              </w:rPr>
            </w:pPr>
            <w:r>
              <w:rPr>
                <w:rFonts w:ascii="Times New Roman" w:cs="Times New Roman" w:eastAsia="Times New Roman" w:hAnsi="Times New Roman"/>
                <w:sz w:val="22"/>
                <w:szCs w:val="22"/>
                <w:color w:val="auto"/>
              </w:rPr>
              <w:t>$8.32</w:t>
            </w:r>
          </w:p>
        </w:tc>
        <w:tc>
          <w:tcPr>
            <w:tcW w:w="2800" w:type="dxa"/>
            <w:vAlign w:val="bottom"/>
          </w:tcPr>
          <w:p>
            <w:pPr>
              <w:spacing w:after="0"/>
              <w:rPr>
                <w:sz w:val="19"/>
                <w:szCs w:val="19"/>
                <w:color w:val="auto"/>
              </w:rPr>
            </w:pPr>
          </w:p>
        </w:tc>
      </w:tr>
      <w:tr>
        <w:trPr>
          <w:trHeight w:val="824"/>
        </w:trPr>
        <w:tc>
          <w:tcPr>
            <w:tcW w:w="1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8694187_7.Docx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452120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108"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2660" w:type="dxa"/>
            <w:vAlign w:val="bottom"/>
            <w:tcBorders>
              <w:top w:val="single" w:sz="8" w:color="auto"/>
              <w:bottom w:val="single" w:sz="8" w:color="auto"/>
            </w:tcBorders>
          </w:tcPr>
          <w:p>
            <w:pPr>
              <w:ind w:left="120"/>
              <w:spacing w:after="0" w:line="246" w:lineRule="exact"/>
              <w:rPr>
                <w:sz w:val="20"/>
                <w:szCs w:val="20"/>
                <w:color w:val="auto"/>
              </w:rPr>
            </w:pPr>
            <w:r>
              <w:rPr>
                <w:rFonts w:ascii="Times New Roman" w:cs="Times New Roman" w:eastAsia="Times New Roman" w:hAnsi="Times New Roman"/>
                <w:sz w:val="22"/>
                <w:szCs w:val="22"/>
                <w:color w:val="auto"/>
              </w:rPr>
              <w:t>Lease Year 10</w:t>
            </w:r>
          </w:p>
        </w:tc>
        <w:tc>
          <w:tcPr>
            <w:tcW w:w="3200" w:type="dxa"/>
            <w:vAlign w:val="bottom"/>
            <w:tcBorders>
              <w:top w:val="single" w:sz="8" w:color="auto"/>
              <w:bottom w:val="single" w:sz="8" w:color="auto"/>
            </w:tcBorders>
          </w:tcPr>
          <w:p>
            <w:pPr>
              <w:ind w:left="1100"/>
              <w:spacing w:after="0" w:line="246" w:lineRule="exact"/>
              <w:rPr>
                <w:sz w:val="20"/>
                <w:szCs w:val="20"/>
                <w:color w:val="auto"/>
              </w:rPr>
            </w:pPr>
            <w:r>
              <w:rPr>
                <w:rFonts w:ascii="Times New Roman" w:cs="Times New Roman" w:eastAsia="Times New Roman" w:hAnsi="Times New Roman"/>
                <w:sz w:val="22"/>
                <w:szCs w:val="22"/>
                <w:color w:val="auto"/>
              </w:rPr>
              <w:t>$1,603,660.93</w:t>
            </w:r>
          </w:p>
        </w:tc>
        <w:tc>
          <w:tcPr>
            <w:tcW w:w="2480" w:type="dxa"/>
            <w:vAlign w:val="bottom"/>
            <w:tcBorders>
              <w:top w:val="single" w:sz="8" w:color="auto"/>
              <w:bottom w:val="single" w:sz="8" w:color="auto"/>
            </w:tcBorders>
          </w:tcPr>
          <w:p>
            <w:pPr>
              <w:jc w:val="center"/>
              <w:ind w:right="53"/>
              <w:spacing w:after="0" w:line="246" w:lineRule="exact"/>
              <w:rPr>
                <w:sz w:val="20"/>
                <w:szCs w:val="20"/>
                <w:color w:val="auto"/>
              </w:rPr>
            </w:pPr>
            <w:r>
              <w:rPr>
                <w:rFonts w:ascii="Times New Roman" w:cs="Times New Roman" w:eastAsia="Times New Roman" w:hAnsi="Times New Roman"/>
                <w:sz w:val="22"/>
                <w:szCs w:val="22"/>
                <w:color w:val="auto"/>
                <w:w w:val="96"/>
              </w:rPr>
              <w:t>$8.55</w:t>
            </w:r>
          </w:p>
        </w:tc>
      </w:tr>
      <w:tr>
        <w:trPr>
          <w:trHeight w:val="223"/>
        </w:trPr>
        <w:tc>
          <w:tcPr>
            <w:tcW w:w="266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11</w:t>
            </w:r>
          </w:p>
        </w:tc>
        <w:tc>
          <w:tcPr>
            <w:tcW w:w="3200" w:type="dxa"/>
            <w:vAlign w:val="bottom"/>
            <w:tcBorders>
              <w:bottom w:val="single" w:sz="8" w:color="auto"/>
            </w:tcBorders>
          </w:tcPr>
          <w:p>
            <w:pPr>
              <w:ind w:left="1100"/>
              <w:spacing w:after="0" w:line="223" w:lineRule="exact"/>
              <w:rPr>
                <w:sz w:val="20"/>
                <w:szCs w:val="20"/>
                <w:color w:val="auto"/>
              </w:rPr>
            </w:pPr>
            <w:r>
              <w:rPr>
                <w:rFonts w:ascii="Times New Roman" w:cs="Times New Roman" w:eastAsia="Times New Roman" w:hAnsi="Times New Roman"/>
                <w:sz w:val="22"/>
                <w:szCs w:val="22"/>
                <w:color w:val="auto"/>
              </w:rPr>
              <w:t>$1,647,761.61</w:t>
            </w:r>
          </w:p>
        </w:tc>
        <w:tc>
          <w:tcPr>
            <w:tcW w:w="2480" w:type="dxa"/>
            <w:vAlign w:val="bottom"/>
            <w:tcBorders>
              <w:bottom w:val="single" w:sz="8" w:color="auto"/>
            </w:tcBorders>
          </w:tcPr>
          <w:p>
            <w:pPr>
              <w:jc w:val="center"/>
              <w:ind w:right="53"/>
              <w:spacing w:after="0" w:line="223" w:lineRule="exact"/>
              <w:rPr>
                <w:sz w:val="20"/>
                <w:szCs w:val="20"/>
                <w:color w:val="auto"/>
              </w:rPr>
            </w:pPr>
            <w:r>
              <w:rPr>
                <w:rFonts w:ascii="Times New Roman" w:cs="Times New Roman" w:eastAsia="Times New Roman" w:hAnsi="Times New Roman"/>
                <w:sz w:val="22"/>
                <w:szCs w:val="22"/>
                <w:color w:val="auto"/>
                <w:w w:val="96"/>
              </w:rPr>
              <w:t>$8.79</w:t>
            </w:r>
          </w:p>
        </w:tc>
      </w:tr>
      <w:tr>
        <w:trPr>
          <w:trHeight w:val="223"/>
        </w:trPr>
        <w:tc>
          <w:tcPr>
            <w:tcW w:w="266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12</w:t>
            </w:r>
          </w:p>
        </w:tc>
        <w:tc>
          <w:tcPr>
            <w:tcW w:w="3200" w:type="dxa"/>
            <w:vAlign w:val="bottom"/>
            <w:tcBorders>
              <w:bottom w:val="single" w:sz="8" w:color="auto"/>
            </w:tcBorders>
          </w:tcPr>
          <w:p>
            <w:pPr>
              <w:ind w:left="1100"/>
              <w:spacing w:after="0" w:line="223" w:lineRule="exact"/>
              <w:rPr>
                <w:sz w:val="20"/>
                <w:szCs w:val="20"/>
                <w:color w:val="auto"/>
              </w:rPr>
            </w:pPr>
            <w:r>
              <w:rPr>
                <w:rFonts w:ascii="Times New Roman" w:cs="Times New Roman" w:eastAsia="Times New Roman" w:hAnsi="Times New Roman"/>
                <w:sz w:val="22"/>
                <w:szCs w:val="22"/>
                <w:color w:val="auto"/>
              </w:rPr>
              <w:t>$1,693,075.05</w:t>
            </w:r>
          </w:p>
        </w:tc>
        <w:tc>
          <w:tcPr>
            <w:tcW w:w="2480" w:type="dxa"/>
            <w:vAlign w:val="bottom"/>
            <w:tcBorders>
              <w:bottom w:val="single" w:sz="8" w:color="auto"/>
            </w:tcBorders>
          </w:tcPr>
          <w:p>
            <w:pPr>
              <w:jc w:val="center"/>
              <w:ind w:right="53"/>
              <w:spacing w:after="0" w:line="223" w:lineRule="exact"/>
              <w:rPr>
                <w:sz w:val="20"/>
                <w:szCs w:val="20"/>
                <w:color w:val="auto"/>
              </w:rPr>
            </w:pPr>
            <w:r>
              <w:rPr>
                <w:rFonts w:ascii="Times New Roman" w:cs="Times New Roman" w:eastAsia="Times New Roman" w:hAnsi="Times New Roman"/>
                <w:sz w:val="22"/>
                <w:szCs w:val="22"/>
                <w:color w:val="auto"/>
                <w:w w:val="96"/>
              </w:rPr>
              <w:t>$9.03</w:t>
            </w:r>
          </w:p>
        </w:tc>
      </w:tr>
      <w:tr>
        <w:trPr>
          <w:trHeight w:val="223"/>
        </w:trPr>
        <w:tc>
          <w:tcPr>
            <w:tcW w:w="266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13</w:t>
            </w:r>
          </w:p>
        </w:tc>
        <w:tc>
          <w:tcPr>
            <w:tcW w:w="3200" w:type="dxa"/>
            <w:vAlign w:val="bottom"/>
            <w:tcBorders>
              <w:bottom w:val="single" w:sz="8" w:color="auto"/>
            </w:tcBorders>
          </w:tcPr>
          <w:p>
            <w:pPr>
              <w:ind w:left="1100"/>
              <w:spacing w:after="0" w:line="223" w:lineRule="exact"/>
              <w:rPr>
                <w:sz w:val="20"/>
                <w:szCs w:val="20"/>
                <w:color w:val="auto"/>
              </w:rPr>
            </w:pPr>
            <w:r>
              <w:rPr>
                <w:rFonts w:ascii="Times New Roman" w:cs="Times New Roman" w:eastAsia="Times New Roman" w:hAnsi="Times New Roman"/>
                <w:sz w:val="22"/>
                <w:szCs w:val="22"/>
                <w:color w:val="auto"/>
              </w:rPr>
              <w:t>$1,739,634.62</w:t>
            </w:r>
          </w:p>
        </w:tc>
        <w:tc>
          <w:tcPr>
            <w:tcW w:w="2480" w:type="dxa"/>
            <w:vAlign w:val="bottom"/>
            <w:tcBorders>
              <w:bottom w:val="single" w:sz="8" w:color="auto"/>
            </w:tcBorders>
          </w:tcPr>
          <w:p>
            <w:pPr>
              <w:jc w:val="center"/>
              <w:ind w:right="53"/>
              <w:spacing w:after="0" w:line="223" w:lineRule="exact"/>
              <w:rPr>
                <w:sz w:val="20"/>
                <w:szCs w:val="20"/>
                <w:color w:val="auto"/>
              </w:rPr>
            </w:pPr>
            <w:r>
              <w:rPr>
                <w:rFonts w:ascii="Times New Roman" w:cs="Times New Roman" w:eastAsia="Times New Roman" w:hAnsi="Times New Roman"/>
                <w:sz w:val="22"/>
                <w:szCs w:val="22"/>
                <w:color w:val="auto"/>
                <w:w w:val="96"/>
              </w:rPr>
              <w:t>$9.28</w:t>
            </w:r>
          </w:p>
        </w:tc>
      </w:tr>
      <w:tr>
        <w:trPr>
          <w:trHeight w:val="223"/>
        </w:trPr>
        <w:tc>
          <w:tcPr>
            <w:tcW w:w="266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14</w:t>
            </w:r>
          </w:p>
        </w:tc>
        <w:tc>
          <w:tcPr>
            <w:tcW w:w="3200" w:type="dxa"/>
            <w:vAlign w:val="bottom"/>
            <w:tcBorders>
              <w:bottom w:val="single" w:sz="8" w:color="auto"/>
            </w:tcBorders>
          </w:tcPr>
          <w:p>
            <w:pPr>
              <w:ind w:left="1100"/>
              <w:spacing w:after="0" w:line="223" w:lineRule="exact"/>
              <w:rPr>
                <w:sz w:val="20"/>
                <w:szCs w:val="20"/>
                <w:color w:val="auto"/>
              </w:rPr>
            </w:pPr>
            <w:r>
              <w:rPr>
                <w:rFonts w:ascii="Times New Roman" w:cs="Times New Roman" w:eastAsia="Times New Roman" w:hAnsi="Times New Roman"/>
                <w:sz w:val="22"/>
                <w:szCs w:val="22"/>
                <w:color w:val="auto"/>
              </w:rPr>
              <w:t>$1,787,474.57</w:t>
            </w:r>
          </w:p>
        </w:tc>
        <w:tc>
          <w:tcPr>
            <w:tcW w:w="2480" w:type="dxa"/>
            <w:vAlign w:val="bottom"/>
            <w:tcBorders>
              <w:bottom w:val="single" w:sz="8" w:color="auto"/>
            </w:tcBorders>
          </w:tcPr>
          <w:p>
            <w:pPr>
              <w:jc w:val="center"/>
              <w:ind w:right="53"/>
              <w:spacing w:after="0" w:line="223" w:lineRule="exact"/>
              <w:rPr>
                <w:sz w:val="20"/>
                <w:szCs w:val="20"/>
                <w:color w:val="auto"/>
              </w:rPr>
            </w:pPr>
            <w:r>
              <w:rPr>
                <w:rFonts w:ascii="Times New Roman" w:cs="Times New Roman" w:eastAsia="Times New Roman" w:hAnsi="Times New Roman"/>
                <w:sz w:val="22"/>
                <w:szCs w:val="22"/>
                <w:color w:val="auto"/>
                <w:w w:val="96"/>
              </w:rPr>
              <w:t>$9.53</w:t>
            </w:r>
          </w:p>
        </w:tc>
      </w:tr>
      <w:tr>
        <w:trPr>
          <w:trHeight w:val="223"/>
        </w:trPr>
        <w:tc>
          <w:tcPr>
            <w:tcW w:w="266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15</w:t>
            </w:r>
          </w:p>
        </w:tc>
        <w:tc>
          <w:tcPr>
            <w:tcW w:w="3200" w:type="dxa"/>
            <w:vAlign w:val="bottom"/>
            <w:tcBorders>
              <w:bottom w:val="single" w:sz="8" w:color="auto"/>
            </w:tcBorders>
          </w:tcPr>
          <w:p>
            <w:pPr>
              <w:ind w:left="1100"/>
              <w:spacing w:after="0" w:line="223" w:lineRule="exact"/>
              <w:rPr>
                <w:sz w:val="20"/>
                <w:szCs w:val="20"/>
                <w:color w:val="auto"/>
              </w:rPr>
            </w:pPr>
            <w:r>
              <w:rPr>
                <w:rFonts w:ascii="Times New Roman" w:cs="Times New Roman" w:eastAsia="Times New Roman" w:hAnsi="Times New Roman"/>
                <w:sz w:val="22"/>
                <w:szCs w:val="22"/>
                <w:color w:val="auto"/>
              </w:rPr>
              <w:t>$1,836,630.12</w:t>
            </w:r>
          </w:p>
        </w:tc>
        <w:tc>
          <w:tcPr>
            <w:tcW w:w="2480" w:type="dxa"/>
            <w:vAlign w:val="bottom"/>
            <w:tcBorders>
              <w:bottom w:val="single" w:sz="8" w:color="auto"/>
            </w:tcBorders>
          </w:tcPr>
          <w:p>
            <w:pPr>
              <w:jc w:val="center"/>
              <w:ind w:right="53"/>
              <w:spacing w:after="0" w:line="223" w:lineRule="exact"/>
              <w:rPr>
                <w:sz w:val="20"/>
                <w:szCs w:val="20"/>
                <w:color w:val="auto"/>
              </w:rPr>
            </w:pPr>
            <w:r>
              <w:rPr>
                <w:rFonts w:ascii="Times New Roman" w:cs="Times New Roman" w:eastAsia="Times New Roman" w:hAnsi="Times New Roman"/>
                <w:sz w:val="22"/>
                <w:szCs w:val="22"/>
                <w:color w:val="auto"/>
                <w:w w:val="96"/>
              </w:rPr>
              <w:t>$9.80</w:t>
            </w:r>
          </w:p>
        </w:tc>
      </w:tr>
      <w:tr>
        <w:trPr>
          <w:trHeight w:val="183"/>
        </w:trPr>
        <w:tc>
          <w:tcPr>
            <w:tcW w:w="2660" w:type="dxa"/>
            <w:vAlign w:val="bottom"/>
          </w:tcPr>
          <w:p>
            <w:pPr>
              <w:ind w:left="120"/>
              <w:spacing w:after="0" w:line="183" w:lineRule="exact"/>
              <w:rPr>
                <w:sz w:val="20"/>
                <w:szCs w:val="20"/>
                <w:color w:val="auto"/>
              </w:rPr>
            </w:pPr>
            <w:r>
              <w:rPr>
                <w:rFonts w:ascii="Times New Roman" w:cs="Times New Roman" w:eastAsia="Times New Roman" w:hAnsi="Times New Roman"/>
                <w:sz w:val="21"/>
                <w:szCs w:val="21"/>
                <w:color w:val="auto"/>
              </w:rPr>
              <w:t>Lease Year 16**</w:t>
            </w:r>
          </w:p>
        </w:tc>
        <w:tc>
          <w:tcPr>
            <w:tcW w:w="3200" w:type="dxa"/>
            <w:vAlign w:val="bottom"/>
          </w:tcPr>
          <w:p>
            <w:pPr>
              <w:ind w:left="1120"/>
              <w:spacing w:after="0" w:line="183" w:lineRule="exact"/>
              <w:rPr>
                <w:sz w:val="20"/>
                <w:szCs w:val="20"/>
                <w:color w:val="auto"/>
              </w:rPr>
            </w:pPr>
            <w:r>
              <w:rPr>
                <w:rFonts w:ascii="Times New Roman" w:cs="Times New Roman" w:eastAsia="Times New Roman" w:hAnsi="Times New Roman"/>
                <w:sz w:val="20"/>
                <w:szCs w:val="20"/>
                <w:color w:val="auto"/>
              </w:rPr>
              <w:t>$1,887,137.45</w:t>
            </w:r>
          </w:p>
        </w:tc>
        <w:tc>
          <w:tcPr>
            <w:tcW w:w="2480" w:type="dxa"/>
            <w:vAlign w:val="bottom"/>
          </w:tcPr>
          <w:p>
            <w:pPr>
              <w:jc w:val="center"/>
              <w:ind w:right="53"/>
              <w:spacing w:after="0" w:line="183" w:lineRule="exact"/>
              <w:rPr>
                <w:sz w:val="20"/>
                <w:szCs w:val="20"/>
                <w:color w:val="auto"/>
              </w:rPr>
            </w:pPr>
            <w:r>
              <w:rPr>
                <w:rFonts w:ascii="Times New Roman" w:cs="Times New Roman" w:eastAsia="Times New Roman" w:hAnsi="Times New Roman"/>
                <w:sz w:val="21"/>
                <w:szCs w:val="21"/>
                <w:color w:val="auto"/>
              </w:rPr>
              <w:t>$10.06</w:t>
            </w:r>
          </w:p>
        </w:tc>
      </w:tr>
      <w:tr>
        <w:trPr>
          <w:trHeight w:val="258"/>
        </w:trPr>
        <w:tc>
          <w:tcPr>
            <w:tcW w:w="2660" w:type="dxa"/>
            <w:vAlign w:val="bottom"/>
          </w:tcPr>
          <w:p>
            <w:pPr>
              <w:spacing w:after="0"/>
              <w:rPr>
                <w:sz w:val="22"/>
                <w:szCs w:val="22"/>
                <w:color w:val="auto"/>
              </w:rPr>
            </w:pPr>
          </w:p>
        </w:tc>
        <w:tc>
          <w:tcPr>
            <w:tcW w:w="320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(annualized)</w:t>
            </w:r>
          </w:p>
        </w:tc>
        <w:tc>
          <w:tcPr>
            <w:tcW w:w="24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-1217930</wp:posOffset>
            </wp:positionV>
            <wp:extent cx="5288915" cy="12255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5288915" cy="1225550"/>
                    </a:xfrm>
                    <a:prstGeom prst="rect">
                      <a:avLst/>
                    </a:prstGeom>
                    <a:noFill/>
                  </pic:spPr>
                </pic:pic>
              </a:graphicData>
            </a:graphic>
          </wp:anchor>
        </w:drawing>
      </w:r>
    </w:p>
    <w:p>
      <w:pPr>
        <w:ind w:left="60"/>
        <w:spacing w:after="0" w:line="225" w:lineRule="auto"/>
        <w:rPr>
          <w:sz w:val="20"/>
          <w:szCs w:val="20"/>
          <w:color w:val="auto"/>
        </w:rPr>
      </w:pPr>
      <w:r>
        <w:rPr>
          <w:rFonts w:ascii="Times New Roman" w:cs="Times New Roman" w:eastAsia="Times New Roman" w:hAnsi="Times New Roman"/>
          <w:sz w:val="22"/>
          <w:szCs w:val="22"/>
          <w:color w:val="auto"/>
        </w:rPr>
        <w:t xml:space="preserve">*Subject to Abatement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of this Lease.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**Partial year of six (6) months.</w:t>
      </w:r>
    </w:p>
    <w:p>
      <w:pPr>
        <w:spacing w:after="0" w:line="205" w:lineRule="exact"/>
        <w:rPr>
          <w:sz w:val="20"/>
          <w:szCs w:val="20"/>
          <w:color w:val="auto"/>
        </w:rPr>
      </w:pPr>
    </w:p>
    <w:p>
      <w:pPr>
        <w:ind w:left="760" w:right="780" w:hanging="752"/>
        <w:spacing w:after="0" w:line="241" w:lineRule="auto"/>
        <w:tabs>
          <w:tab w:leader="none" w:pos="150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Monthly Rental Installments</w:t>
      </w:r>
      <w:r>
        <w:rPr>
          <w:rFonts w:ascii="Times New Roman" w:cs="Times New Roman" w:eastAsia="Times New Roman" w:hAnsi="Times New Roman"/>
          <w:sz w:val="22"/>
          <w:szCs w:val="22"/>
          <w:color w:val="auto"/>
        </w:rPr>
        <w:t xml:space="preserve">” The Minimum Annual Rent shall be paid in monthly installments as set forth in the chart below [NOTE: Amounts below are estimates. Final Monthly Rental Installment amounts to be determined (using the PSF amounts below) upon calculation of the final Rentable Area of the Leased Premises in accordance with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128905</wp:posOffset>
            </wp:positionV>
            <wp:extent cx="5288915" cy="3111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7">
                      <a:extLst>
                        <a:ext uri="{28A0092B-C50C-407E-A947-70E740481C1C}"/>
                      </a:extLst>
                    </a:blip>
                    <a:srcRect/>
                    <a:stretch>
                      <a:fillRect/>
                    </a:stretch>
                  </pic:blipFill>
                  <pic:spPr bwMode="auto">
                    <a:xfrm>
                      <a:off x="0" y="0"/>
                      <a:ext cx="5288915" cy="3111500"/>
                    </a:xfrm>
                    <a:prstGeom prst="rect">
                      <a:avLst/>
                    </a:prstGeom>
                    <a:noFill/>
                  </pic:spPr>
                </pic:pic>
              </a:graphicData>
            </a:graphic>
          </wp:anchor>
        </w:drawing>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900" w:type="dxa"/>
            <w:vAlign w:val="bottom"/>
            <w:tcBorders>
              <w:top w:val="single" w:sz="8" w:color="auto"/>
            </w:tcBorders>
          </w:tcPr>
          <w:p>
            <w:pPr>
              <w:ind w:left="1580"/>
              <w:spacing w:after="0" w:line="211" w:lineRule="exact"/>
              <w:rPr>
                <w:sz w:val="20"/>
                <w:szCs w:val="20"/>
                <w:color w:val="auto"/>
              </w:rPr>
            </w:pPr>
            <w:r>
              <w:rPr>
                <w:rFonts w:ascii="Times New Roman" w:cs="Times New Roman" w:eastAsia="Times New Roman" w:hAnsi="Times New Roman"/>
                <w:sz w:val="22"/>
                <w:szCs w:val="22"/>
                <w:b w:val="1"/>
                <w:bCs w:val="1"/>
                <w:color w:val="auto"/>
              </w:rPr>
              <w:t>YEAR</w:t>
            </w:r>
          </w:p>
        </w:tc>
        <w:tc>
          <w:tcPr>
            <w:tcW w:w="2660" w:type="dxa"/>
            <w:vAlign w:val="bottom"/>
            <w:tcBorders>
              <w:top w:val="single" w:sz="8" w:color="auto"/>
            </w:tcBorders>
          </w:tcPr>
          <w:p>
            <w:pPr>
              <w:jc w:val="right"/>
              <w:ind w:right="512"/>
              <w:spacing w:after="0" w:line="211" w:lineRule="exact"/>
              <w:rPr>
                <w:sz w:val="20"/>
                <w:szCs w:val="20"/>
                <w:color w:val="auto"/>
              </w:rPr>
            </w:pPr>
            <w:r>
              <w:rPr>
                <w:rFonts w:ascii="Times New Roman" w:cs="Times New Roman" w:eastAsia="Times New Roman" w:hAnsi="Times New Roman"/>
                <w:sz w:val="22"/>
                <w:szCs w:val="22"/>
                <w:b w:val="1"/>
                <w:bCs w:val="1"/>
                <w:color w:val="auto"/>
              </w:rPr>
              <w:t>ESTIMATED</w:t>
            </w:r>
          </w:p>
        </w:tc>
        <w:tc>
          <w:tcPr>
            <w:tcW w:w="2780" w:type="dxa"/>
            <w:vAlign w:val="bottom"/>
            <w:tcBorders>
              <w:top w:val="single" w:sz="8" w:color="auto"/>
            </w:tcBorders>
          </w:tcPr>
          <w:p>
            <w:pPr>
              <w:jc w:val="center"/>
              <w:ind w:right="52"/>
              <w:spacing w:after="0" w:line="211" w:lineRule="exact"/>
              <w:rPr>
                <w:sz w:val="20"/>
                <w:szCs w:val="20"/>
                <w:color w:val="auto"/>
              </w:rPr>
            </w:pPr>
            <w:r>
              <w:rPr>
                <w:rFonts w:ascii="Times New Roman" w:cs="Times New Roman" w:eastAsia="Times New Roman" w:hAnsi="Times New Roman"/>
                <w:sz w:val="22"/>
                <w:szCs w:val="22"/>
                <w:b w:val="1"/>
                <w:bCs w:val="1"/>
                <w:color w:val="auto"/>
                <w:w w:val="97"/>
              </w:rPr>
              <w:t>MINIMUM ANNUAL</w:t>
            </w:r>
          </w:p>
        </w:tc>
      </w:tr>
      <w:tr>
        <w:trPr>
          <w:trHeight w:val="234"/>
        </w:trPr>
        <w:tc>
          <w:tcPr>
            <w:tcW w:w="2900" w:type="dxa"/>
            <w:vAlign w:val="bottom"/>
          </w:tcPr>
          <w:p>
            <w:pPr>
              <w:spacing w:after="0"/>
              <w:rPr>
                <w:sz w:val="20"/>
                <w:szCs w:val="20"/>
                <w:color w:val="auto"/>
              </w:rPr>
            </w:pPr>
          </w:p>
        </w:tc>
        <w:tc>
          <w:tcPr>
            <w:tcW w:w="2660" w:type="dxa"/>
            <w:vAlign w:val="bottom"/>
          </w:tcPr>
          <w:p>
            <w:pPr>
              <w:jc w:val="right"/>
              <w:ind w:right="592"/>
              <w:spacing w:after="0" w:line="233" w:lineRule="exact"/>
              <w:rPr>
                <w:sz w:val="20"/>
                <w:szCs w:val="20"/>
                <w:color w:val="auto"/>
              </w:rPr>
            </w:pPr>
            <w:r>
              <w:rPr>
                <w:rFonts w:ascii="Times New Roman" w:cs="Times New Roman" w:eastAsia="Times New Roman" w:hAnsi="Times New Roman"/>
                <w:sz w:val="22"/>
                <w:szCs w:val="22"/>
                <w:b w:val="1"/>
                <w:bCs w:val="1"/>
                <w:color w:val="auto"/>
              </w:rPr>
              <w:t>MONTHLY</w:t>
            </w:r>
          </w:p>
        </w:tc>
        <w:tc>
          <w:tcPr>
            <w:tcW w:w="2780" w:type="dxa"/>
            <w:vAlign w:val="bottom"/>
          </w:tcPr>
          <w:p>
            <w:pPr>
              <w:jc w:val="center"/>
              <w:ind w:right="52"/>
              <w:spacing w:after="0" w:line="233" w:lineRule="exact"/>
              <w:rPr>
                <w:sz w:val="20"/>
                <w:szCs w:val="20"/>
                <w:color w:val="auto"/>
              </w:rPr>
            </w:pPr>
            <w:r>
              <w:rPr>
                <w:rFonts w:ascii="Times New Roman" w:cs="Times New Roman" w:eastAsia="Times New Roman" w:hAnsi="Times New Roman"/>
                <w:sz w:val="22"/>
                <w:szCs w:val="22"/>
                <w:b w:val="1"/>
                <w:bCs w:val="1"/>
                <w:color w:val="auto"/>
                <w:w w:val="96"/>
              </w:rPr>
              <w:t>RENT PSF</w:t>
            </w:r>
          </w:p>
        </w:tc>
      </w:tr>
      <w:tr>
        <w:trPr>
          <w:trHeight w:val="239"/>
        </w:trPr>
        <w:tc>
          <w:tcPr>
            <w:tcW w:w="2900" w:type="dxa"/>
            <w:vAlign w:val="bottom"/>
          </w:tcPr>
          <w:p>
            <w:pPr>
              <w:spacing w:after="0"/>
              <w:rPr>
                <w:sz w:val="20"/>
                <w:szCs w:val="20"/>
                <w:color w:val="auto"/>
              </w:rPr>
            </w:pPr>
          </w:p>
        </w:tc>
        <w:tc>
          <w:tcPr>
            <w:tcW w:w="2660" w:type="dxa"/>
            <w:vAlign w:val="bottom"/>
          </w:tcPr>
          <w:p>
            <w:pPr>
              <w:jc w:val="right"/>
              <w:ind w:right="572"/>
              <w:spacing w:after="0" w:line="239" w:lineRule="exact"/>
              <w:rPr>
                <w:sz w:val="20"/>
                <w:szCs w:val="20"/>
                <w:color w:val="auto"/>
              </w:rPr>
            </w:pPr>
            <w:r>
              <w:rPr>
                <w:rFonts w:ascii="Times New Roman" w:cs="Times New Roman" w:eastAsia="Times New Roman" w:hAnsi="Times New Roman"/>
                <w:sz w:val="22"/>
                <w:szCs w:val="22"/>
                <w:b w:val="1"/>
                <w:bCs w:val="1"/>
                <w:color w:val="auto"/>
              </w:rPr>
              <w:t>RENTAL</w:t>
            </w:r>
          </w:p>
        </w:tc>
        <w:tc>
          <w:tcPr>
            <w:tcW w:w="2780" w:type="dxa"/>
            <w:vAlign w:val="bottom"/>
          </w:tcPr>
          <w:p>
            <w:pPr>
              <w:spacing w:after="0"/>
              <w:rPr>
                <w:sz w:val="20"/>
                <w:szCs w:val="20"/>
                <w:color w:val="auto"/>
              </w:rPr>
            </w:pPr>
          </w:p>
        </w:tc>
      </w:tr>
      <w:tr>
        <w:trPr>
          <w:trHeight w:val="274"/>
        </w:trPr>
        <w:tc>
          <w:tcPr>
            <w:tcW w:w="290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INSTALLMENTS</w:t>
            </w:r>
          </w:p>
        </w:tc>
        <w:tc>
          <w:tcPr>
            <w:tcW w:w="2780" w:type="dxa"/>
            <w:vAlign w:val="bottom"/>
            <w:tcBorders>
              <w:bottom w:val="single" w:sz="8" w:color="auto"/>
            </w:tcBorders>
          </w:tcPr>
          <w:p>
            <w:pPr>
              <w:spacing w:after="0"/>
              <w:rPr>
                <w:sz w:val="23"/>
                <w:szCs w:val="23"/>
                <w:color w:val="auto"/>
              </w:rPr>
            </w:pP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0"/>
                <w:szCs w:val="20"/>
                <w:color w:val="auto"/>
              </w:rPr>
              <w:t>$104,687.50*</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$6.70</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2</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$107,566.41</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$6.88</w:t>
            </w:r>
          </w:p>
        </w:tc>
      </w:tr>
      <w:tr>
        <w:trPr>
          <w:trHeight w:val="237"/>
        </w:trPr>
        <w:tc>
          <w:tcPr>
            <w:tcW w:w="290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Lease Year 3</w:t>
            </w:r>
          </w:p>
        </w:tc>
        <w:tc>
          <w:tcPr>
            <w:tcW w:w="2660" w:type="dxa"/>
            <w:vAlign w:val="bottom"/>
            <w:tcBorders>
              <w:bottom w:val="single" w:sz="8" w:color="auto"/>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$110,524.48</w:t>
            </w:r>
          </w:p>
        </w:tc>
        <w:tc>
          <w:tcPr>
            <w:tcW w:w="2780" w:type="dxa"/>
            <w:vAlign w:val="bottom"/>
            <w:tcBorders>
              <w:bottom w:val="single" w:sz="8" w:color="auto"/>
            </w:tcBorders>
          </w:tcPr>
          <w:p>
            <w:pPr>
              <w:jc w:val="center"/>
              <w:ind w:right="52"/>
              <w:spacing w:after="0" w:line="237" w:lineRule="exact"/>
              <w:rPr>
                <w:sz w:val="20"/>
                <w:szCs w:val="20"/>
                <w:color w:val="auto"/>
              </w:rPr>
            </w:pPr>
            <w:r>
              <w:rPr>
                <w:rFonts w:ascii="Times New Roman" w:cs="Times New Roman" w:eastAsia="Times New Roman" w:hAnsi="Times New Roman"/>
                <w:sz w:val="22"/>
                <w:szCs w:val="22"/>
                <w:color w:val="auto"/>
              </w:rPr>
              <w:t>$7.07</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4</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$113,563.91</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$7.27</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5</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$116,686.91</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$7.47</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6</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$119,895.80</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$7.67</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7</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$123,192.94</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$7.88</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8</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$126,580.74</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$8.10</w:t>
            </w:r>
          </w:p>
        </w:tc>
      </w:tr>
      <w:tr>
        <w:trPr>
          <w:trHeight w:val="237"/>
        </w:trPr>
        <w:tc>
          <w:tcPr>
            <w:tcW w:w="290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Lease Year 9</w:t>
            </w:r>
          </w:p>
        </w:tc>
        <w:tc>
          <w:tcPr>
            <w:tcW w:w="2660" w:type="dxa"/>
            <w:vAlign w:val="bottom"/>
            <w:tcBorders>
              <w:bottom w:val="single" w:sz="8" w:color="auto"/>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$130,061.71</w:t>
            </w:r>
          </w:p>
        </w:tc>
        <w:tc>
          <w:tcPr>
            <w:tcW w:w="2780" w:type="dxa"/>
            <w:vAlign w:val="bottom"/>
            <w:tcBorders>
              <w:bottom w:val="single" w:sz="8" w:color="auto"/>
            </w:tcBorders>
          </w:tcPr>
          <w:p>
            <w:pPr>
              <w:jc w:val="center"/>
              <w:ind w:right="52"/>
              <w:spacing w:after="0" w:line="237" w:lineRule="exact"/>
              <w:rPr>
                <w:sz w:val="20"/>
                <w:szCs w:val="20"/>
                <w:color w:val="auto"/>
              </w:rPr>
            </w:pPr>
            <w:r>
              <w:rPr>
                <w:rFonts w:ascii="Times New Roman" w:cs="Times New Roman" w:eastAsia="Times New Roman" w:hAnsi="Times New Roman"/>
                <w:sz w:val="22"/>
                <w:szCs w:val="22"/>
                <w:color w:val="auto"/>
              </w:rPr>
              <w:t>$8.32</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10</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$133,638.41</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$8.55</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11</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$137,313.47</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$8.79</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12</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$141,089.59</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$9.03</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13</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$144,969.55</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$9.28</w:t>
            </w:r>
          </w:p>
        </w:tc>
      </w:tr>
      <w:tr>
        <w:trPr>
          <w:trHeight w:val="223"/>
        </w:trPr>
        <w:tc>
          <w:tcPr>
            <w:tcW w:w="290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Lease Year 14</w:t>
            </w:r>
          </w:p>
        </w:tc>
        <w:tc>
          <w:tcPr>
            <w:tcW w:w="2660" w:type="dxa"/>
            <w:vAlign w:val="bottom"/>
            <w:tcBorders>
              <w:bottom w:val="single" w:sz="8" w:color="auto"/>
            </w:tcBorders>
          </w:tcPr>
          <w:p>
            <w:pPr>
              <w:jc w:val="right"/>
              <w:ind w:right="152"/>
              <w:spacing w:after="0" w:line="223" w:lineRule="exact"/>
              <w:rPr>
                <w:sz w:val="20"/>
                <w:szCs w:val="20"/>
                <w:color w:val="auto"/>
              </w:rPr>
            </w:pPr>
            <w:r>
              <w:rPr>
                <w:rFonts w:ascii="Times New Roman" w:cs="Times New Roman" w:eastAsia="Times New Roman" w:hAnsi="Times New Roman"/>
                <w:sz w:val="22"/>
                <w:szCs w:val="22"/>
                <w:color w:val="auto"/>
              </w:rPr>
              <w:t>$148,956.21</w:t>
            </w:r>
          </w:p>
        </w:tc>
        <w:tc>
          <w:tcPr>
            <w:tcW w:w="2780" w:type="dxa"/>
            <w:vAlign w:val="bottom"/>
            <w:tcBorders>
              <w:bottom w:val="single" w:sz="8" w:color="auto"/>
            </w:tcBorders>
          </w:tcPr>
          <w:p>
            <w:pPr>
              <w:jc w:val="center"/>
              <w:ind w:right="52"/>
              <w:spacing w:after="0" w:line="223" w:lineRule="exact"/>
              <w:rPr>
                <w:sz w:val="20"/>
                <w:szCs w:val="20"/>
                <w:color w:val="auto"/>
              </w:rPr>
            </w:pPr>
            <w:r>
              <w:rPr>
                <w:rFonts w:ascii="Times New Roman" w:cs="Times New Roman" w:eastAsia="Times New Roman" w:hAnsi="Times New Roman"/>
                <w:sz w:val="22"/>
                <w:szCs w:val="22"/>
                <w:color w:val="auto"/>
              </w:rPr>
              <w:t>$9.53</w:t>
            </w:r>
          </w:p>
        </w:tc>
      </w:tr>
      <w:tr>
        <w:trPr>
          <w:trHeight w:val="237"/>
        </w:trPr>
        <w:tc>
          <w:tcPr>
            <w:tcW w:w="290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Lease Year 15</w:t>
            </w:r>
          </w:p>
        </w:tc>
        <w:tc>
          <w:tcPr>
            <w:tcW w:w="2660" w:type="dxa"/>
            <w:vAlign w:val="bottom"/>
            <w:tcBorders>
              <w:bottom w:val="single" w:sz="8" w:color="auto"/>
            </w:tcBorders>
          </w:tcPr>
          <w:p>
            <w:pPr>
              <w:jc w:val="right"/>
              <w:ind w:right="152"/>
              <w:spacing w:after="0" w:line="237" w:lineRule="exact"/>
              <w:rPr>
                <w:sz w:val="20"/>
                <w:szCs w:val="20"/>
                <w:color w:val="auto"/>
              </w:rPr>
            </w:pPr>
            <w:r>
              <w:rPr>
                <w:rFonts w:ascii="Times New Roman" w:cs="Times New Roman" w:eastAsia="Times New Roman" w:hAnsi="Times New Roman"/>
                <w:sz w:val="22"/>
                <w:szCs w:val="22"/>
                <w:color w:val="auto"/>
              </w:rPr>
              <w:t>$153,052.51</w:t>
            </w:r>
          </w:p>
        </w:tc>
        <w:tc>
          <w:tcPr>
            <w:tcW w:w="2780" w:type="dxa"/>
            <w:vAlign w:val="bottom"/>
            <w:tcBorders>
              <w:bottom w:val="single" w:sz="8" w:color="auto"/>
            </w:tcBorders>
          </w:tcPr>
          <w:p>
            <w:pPr>
              <w:jc w:val="center"/>
              <w:ind w:right="52"/>
              <w:spacing w:after="0" w:line="237" w:lineRule="exact"/>
              <w:rPr>
                <w:sz w:val="20"/>
                <w:szCs w:val="20"/>
                <w:color w:val="auto"/>
              </w:rPr>
            </w:pPr>
            <w:r>
              <w:rPr>
                <w:rFonts w:ascii="Times New Roman" w:cs="Times New Roman" w:eastAsia="Times New Roman" w:hAnsi="Times New Roman"/>
                <w:sz w:val="22"/>
                <w:szCs w:val="22"/>
                <w:color w:val="auto"/>
              </w:rPr>
              <w:t>$9.80</w:t>
            </w:r>
          </w:p>
        </w:tc>
      </w:tr>
      <w:tr>
        <w:trPr>
          <w:trHeight w:val="233"/>
        </w:trPr>
        <w:tc>
          <w:tcPr>
            <w:tcW w:w="2900" w:type="dxa"/>
            <w:vAlign w:val="bottom"/>
          </w:tcPr>
          <w:p>
            <w:pPr>
              <w:ind w:left="120"/>
              <w:spacing w:after="0" w:line="233" w:lineRule="exact"/>
              <w:rPr>
                <w:sz w:val="20"/>
                <w:szCs w:val="20"/>
                <w:color w:val="auto"/>
              </w:rPr>
            </w:pPr>
            <w:r>
              <w:rPr>
                <w:rFonts w:ascii="Times New Roman" w:cs="Times New Roman" w:eastAsia="Times New Roman" w:hAnsi="Times New Roman"/>
                <w:sz w:val="22"/>
                <w:szCs w:val="22"/>
                <w:color w:val="auto"/>
              </w:rPr>
              <w:t>Lease Year 16**</w:t>
            </w:r>
          </w:p>
        </w:tc>
        <w:tc>
          <w:tcPr>
            <w:tcW w:w="2660" w:type="dxa"/>
            <w:vAlign w:val="bottom"/>
          </w:tcPr>
          <w:p>
            <w:pPr>
              <w:jc w:val="right"/>
              <w:ind w:right="152"/>
              <w:spacing w:after="0" w:line="233" w:lineRule="exact"/>
              <w:rPr>
                <w:sz w:val="20"/>
                <w:szCs w:val="20"/>
                <w:color w:val="auto"/>
              </w:rPr>
            </w:pPr>
            <w:r>
              <w:rPr>
                <w:rFonts w:ascii="Times New Roman" w:cs="Times New Roman" w:eastAsia="Times New Roman" w:hAnsi="Times New Roman"/>
                <w:sz w:val="22"/>
                <w:szCs w:val="22"/>
                <w:color w:val="auto"/>
              </w:rPr>
              <w:t>$157,261.45</w:t>
            </w:r>
          </w:p>
        </w:tc>
        <w:tc>
          <w:tcPr>
            <w:tcW w:w="2780" w:type="dxa"/>
            <w:vAlign w:val="bottom"/>
          </w:tcPr>
          <w:p>
            <w:pPr>
              <w:jc w:val="center"/>
              <w:ind w:right="52"/>
              <w:spacing w:after="0" w:line="233" w:lineRule="exact"/>
              <w:rPr>
                <w:sz w:val="20"/>
                <w:szCs w:val="20"/>
                <w:color w:val="auto"/>
              </w:rPr>
            </w:pPr>
            <w:r>
              <w:rPr>
                <w:rFonts w:ascii="Times New Roman" w:cs="Times New Roman" w:eastAsia="Times New Roman" w:hAnsi="Times New Roman"/>
                <w:sz w:val="22"/>
                <w:szCs w:val="22"/>
                <w:color w:val="auto"/>
                <w:w w:val="95"/>
              </w:rPr>
              <w:t>$10.06</w:t>
            </w:r>
          </w:p>
        </w:tc>
      </w:tr>
    </w:tbl>
    <w:p>
      <w:pPr>
        <w:ind w:left="60"/>
        <w:spacing w:after="0" w:line="230" w:lineRule="auto"/>
        <w:rPr>
          <w:sz w:val="20"/>
          <w:szCs w:val="20"/>
          <w:color w:val="auto"/>
        </w:rPr>
      </w:pPr>
      <w:r>
        <w:rPr>
          <w:rFonts w:ascii="Times New Roman" w:cs="Times New Roman" w:eastAsia="Times New Roman" w:hAnsi="Times New Roman"/>
          <w:sz w:val="22"/>
          <w:szCs w:val="22"/>
          <w:color w:val="auto"/>
        </w:rPr>
        <w:t xml:space="preserve">*Subject to Abatement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of this Lease.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**Partial year of six (6) months.</w:t>
      </w:r>
    </w:p>
    <w:p>
      <w:pPr>
        <w:spacing w:after="0" w:line="205" w:lineRule="exact"/>
        <w:rPr>
          <w:sz w:val="20"/>
          <w:szCs w:val="20"/>
          <w:color w:val="auto"/>
        </w:rPr>
      </w:pPr>
    </w:p>
    <w:p>
      <w:pPr>
        <w:jc w:val="both"/>
        <w:ind w:left="60" w:right="240"/>
        <w:spacing w:after="0" w:line="241" w:lineRule="auto"/>
        <w:rPr>
          <w:sz w:val="20"/>
          <w:szCs w:val="20"/>
          <w:color w:val="auto"/>
        </w:rPr>
      </w:pPr>
      <w:r>
        <w:rPr>
          <w:rFonts w:ascii="Times New Roman" w:cs="Times New Roman" w:eastAsia="Times New Roman" w:hAnsi="Times New Roman"/>
          <w:sz w:val="22"/>
          <w:szCs w:val="22"/>
          <w:color w:val="auto"/>
        </w:rPr>
        <w:t>The first “</w:t>
      </w:r>
      <w:r>
        <w:rPr>
          <w:rFonts w:ascii="Times New Roman" w:cs="Times New Roman" w:eastAsia="Times New Roman" w:hAnsi="Times New Roman"/>
          <w:sz w:val="22"/>
          <w:szCs w:val="22"/>
          <w:b w:val="1"/>
          <w:bCs w:val="1"/>
          <w:color w:val="auto"/>
        </w:rPr>
        <w:t>Lease Year</w:t>
      </w:r>
      <w:r>
        <w:rPr>
          <w:rFonts w:ascii="Times New Roman" w:cs="Times New Roman" w:eastAsia="Times New Roman" w:hAnsi="Times New Roman"/>
          <w:sz w:val="22"/>
          <w:szCs w:val="22"/>
          <w:color w:val="auto"/>
        </w:rPr>
        <w:t>” shall commence on the Commencement Date and shall end on the day before the first anniversary of the Commencement Date occurs. Each succeeding Lease Year shall commence on the day following the end of the preceding Lease Year and shall extend for twelve consecutive months; provided, however, that the last Lease Year shall expire on the last day of the Lease Term.</w:t>
      </w:r>
    </w:p>
    <w:p>
      <w:pPr>
        <w:spacing w:after="0" w:line="203" w:lineRule="exact"/>
        <w:rPr>
          <w:sz w:val="20"/>
          <w:szCs w:val="20"/>
          <w:color w:val="auto"/>
        </w:rPr>
      </w:pPr>
    </w:p>
    <w:p>
      <w:pPr>
        <w:ind w:left="1800" w:hanging="907"/>
        <w:spacing w:after="0"/>
        <w:tabs>
          <w:tab w:leader="none" w:pos="18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382" w:lineRule="exact"/>
        <w:rPr>
          <w:sz w:val="20"/>
          <w:szCs w:val="20"/>
          <w:color w:val="auto"/>
        </w:rPr>
      </w:pPr>
    </w:p>
    <w:p>
      <w:pPr>
        <w:ind w:left="1720" w:hanging="827"/>
        <w:spacing w:after="0"/>
        <w:tabs>
          <w:tab w:leader="none" w:pos="172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April 1, 2021.</w:t>
      </w:r>
    </w:p>
    <w:p>
      <w:pPr>
        <w:spacing w:after="0" w:line="233" w:lineRule="exact"/>
        <w:rPr>
          <w:rFonts w:ascii="Times New Roman" w:cs="Times New Roman" w:eastAsia="Times New Roman" w:hAnsi="Times New Roman"/>
          <w:sz w:val="22"/>
          <w:szCs w:val="22"/>
          <w:color w:val="auto"/>
        </w:rPr>
      </w:pPr>
    </w:p>
    <w:p>
      <w:pPr>
        <w:ind w:left="740" w:right="1660" w:hanging="734"/>
        <w:spacing w:after="0" w:line="262" w:lineRule="auto"/>
        <w:tabs>
          <w:tab w:leader="none" w:pos="142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Lease Term</w:t>
      </w:r>
      <w:r>
        <w:rPr>
          <w:rFonts w:ascii="Times New Roman" w:cs="Times New Roman" w:eastAsia="Times New Roman" w:hAnsi="Times New Roman"/>
          <w:sz w:val="22"/>
          <w:szCs w:val="22"/>
          <w:color w:val="auto"/>
        </w:rPr>
        <w:t xml:space="preserve">”: Fifteen (15) years and six (6) months; provided, however, thatthe Lease Term is subject to the options to extend as detailed in </w:t>
      </w:r>
      <w:r>
        <w:rPr>
          <w:rFonts w:ascii="Times New Roman" w:cs="Times New Roman" w:eastAsia="Times New Roman" w:hAnsi="Times New Roman"/>
          <w:sz w:val="22"/>
          <w:szCs w:val="22"/>
          <w:u w:val="single" w:color="auto"/>
          <w:color w:val="auto"/>
        </w:rPr>
        <w:t>Section 17.01</w:t>
      </w:r>
      <w:r>
        <w:rPr>
          <w:rFonts w:ascii="Times New Roman" w:cs="Times New Roman" w:eastAsia="Times New Roman" w:hAnsi="Times New Roman"/>
          <w:sz w:val="22"/>
          <w:szCs w:val="22"/>
          <w:color w:val="auto"/>
        </w:rPr>
        <w:t xml:space="preserve"> below.</w:t>
      </w:r>
    </w:p>
    <w:p>
      <w:pPr>
        <w:spacing w:after="0" w:line="149" w:lineRule="exact"/>
        <w:rPr>
          <w:rFonts w:ascii="Times New Roman" w:cs="Times New Roman" w:eastAsia="Times New Roman" w:hAnsi="Times New Roman"/>
          <w:sz w:val="22"/>
          <w:szCs w:val="22"/>
          <w:color w:val="auto"/>
        </w:rPr>
      </w:pPr>
    </w:p>
    <w:p>
      <w:pPr>
        <w:ind w:left="1720" w:hanging="827"/>
        <w:spacing w:after="0"/>
        <w:tabs>
          <w:tab w:leader="none" w:pos="172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Security Deposit</w:t>
      </w:r>
      <w:r>
        <w:rPr>
          <w:rFonts w:ascii="Times New Roman" w:cs="Times New Roman" w:eastAsia="Times New Roman" w:hAnsi="Times New Roman"/>
          <w:sz w:val="22"/>
          <w:szCs w:val="22"/>
          <w:color w:val="auto"/>
        </w:rPr>
        <w:t>”: None.</w:t>
      </w:r>
    </w:p>
    <w:p>
      <w:pPr>
        <w:spacing w:after="0" w:line="233" w:lineRule="exact"/>
        <w:rPr>
          <w:sz w:val="20"/>
          <w:szCs w:val="20"/>
          <w:color w:val="auto"/>
        </w:rPr>
      </w:pPr>
    </w:p>
    <w:p>
      <w:pPr>
        <w:ind w:left="740" w:right="960" w:hanging="733"/>
        <w:spacing w:after="0" w:line="262" w:lineRule="auto"/>
        <w:tabs>
          <w:tab w:leader="none" w:pos="145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Broker(s)</w:t>
      </w:r>
      <w:r>
        <w:rPr>
          <w:rFonts w:ascii="Times New Roman" w:cs="Times New Roman" w:eastAsia="Times New Roman" w:hAnsi="Times New Roman"/>
          <w:sz w:val="22"/>
          <w:szCs w:val="22"/>
          <w:color w:val="auto"/>
        </w:rPr>
        <w:t>”: Jackson Rives of Foundry Commercial representing Landlord, and Cushman &amp; Wakefield representing Tenant.</w:t>
      </w:r>
    </w:p>
    <w:p>
      <w:pPr>
        <w:spacing w:after="0" w:line="176" w:lineRule="exact"/>
        <w:rPr>
          <w:rFonts w:ascii="Times New Roman" w:cs="Times New Roman" w:eastAsia="Times New Roman" w:hAnsi="Times New Roman"/>
          <w:sz w:val="22"/>
          <w:szCs w:val="22"/>
          <w:color w:val="auto"/>
        </w:rPr>
      </w:pPr>
    </w:p>
    <w:p>
      <w:pPr>
        <w:ind w:left="760" w:right="680" w:hanging="752"/>
        <w:spacing w:after="0" w:line="246" w:lineRule="auto"/>
        <w:tabs>
          <w:tab w:leader="none" w:pos="149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Use</w:t>
      </w:r>
      <w:r>
        <w:rPr>
          <w:rFonts w:ascii="Times New Roman" w:cs="Times New Roman" w:eastAsia="Times New Roman" w:hAnsi="Times New Roman"/>
          <w:sz w:val="22"/>
          <w:szCs w:val="22"/>
          <w:color w:val="auto"/>
        </w:rPr>
        <w:t>”: Warehousing, research, development, storage, laboratory, supply chain, production, testing, quality control, manufacturing, general office, kitchen, amenity uses and uses ancillary thereto or other uses allowed by law, all in compliance with all applicable laws, but no other use or purpose.</w:t>
      </w:r>
    </w:p>
    <w:p>
      <w:pPr>
        <w:sectPr>
          <w:pgSz w:w="11900" w:h="16838" w:orient="portrait"/>
          <w:cols w:equalWidth="0" w:num="1">
            <w:col w:w="11180"/>
          </w:cols>
          <w:pgMar w:left="380" w:top="108" w:right="339" w:bottom="1440" w:gutter="0" w:footer="0" w:header="0"/>
        </w:sectPr>
      </w:pP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1"/>
          <w:szCs w:val="21"/>
          <w:color w:val="auto"/>
        </w:rPr>
        <w:t>(l)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for notices and payments are as follows:</w:t>
      </w:r>
    </w:p>
    <w:p>
      <w:pPr>
        <w:spacing w:after="0" w:line="200" w:lineRule="exact"/>
        <w:rPr>
          <w:sz w:val="20"/>
          <w:szCs w:val="20"/>
          <w:color w:val="auto"/>
        </w:rPr>
      </w:pPr>
    </w:p>
    <w:p>
      <w:pPr>
        <w:sectPr>
          <w:pgSz w:w="11900" w:h="16838" w:orient="portrait"/>
          <w:cols w:equalWidth="0" w:num="2">
            <w:col w:w="1100" w:space="620"/>
            <w:col w:w="9460"/>
          </w:cols>
          <w:pgMar w:left="380" w:top="108" w:right="339" w:bottom="1440" w:gutter="0" w:footer="0" w:header="0"/>
          <w:type w:val="continuous"/>
        </w:sectPr>
      </w:pPr>
    </w:p>
    <w:p>
      <w:pPr>
        <w:spacing w:after="0" w:line="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Landlord: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Patriot Park Partners II, LLC</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Strategic Capital Partners, LLC 280 E.</w:t>
      </w:r>
    </w:p>
    <w:p>
      <w:pPr>
        <w:ind w:left="60"/>
        <w:spacing w:after="0" w:line="230" w:lineRule="auto"/>
        <w:rPr>
          <w:sz w:val="20"/>
          <w:szCs w:val="20"/>
          <w:color w:val="auto"/>
        </w:rPr>
      </w:pPr>
      <w:r>
        <w:rPr>
          <w:rFonts w:ascii="Times New Roman" w:cs="Times New Roman" w:eastAsia="Times New Roman" w:hAnsi="Times New Roman"/>
          <w:sz w:val="22"/>
          <w:szCs w:val="22"/>
          <w:color w:val="auto"/>
        </w:rPr>
        <w:t>96</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Street Suite 250</w:t>
      </w:r>
    </w:p>
    <w:p>
      <w:pPr>
        <w:spacing w:after="0" w:line="231" w:lineRule="auto"/>
        <w:rPr>
          <w:sz w:val="20"/>
          <w:szCs w:val="20"/>
          <w:color w:val="auto"/>
        </w:rPr>
      </w:pPr>
      <w:r>
        <w:rPr>
          <w:rFonts w:ascii="Times New Roman" w:cs="Times New Roman" w:eastAsia="Times New Roman" w:hAnsi="Times New Roman"/>
          <w:sz w:val="22"/>
          <w:szCs w:val="22"/>
          <w:color w:val="auto"/>
        </w:rPr>
        <w:t>Indianapolis, Indiana 46240 Attn:</w:t>
      </w:r>
    </w:p>
    <w:p>
      <w:pPr>
        <w:spacing w:after="0"/>
        <w:rPr>
          <w:sz w:val="20"/>
          <w:szCs w:val="20"/>
          <w:color w:val="auto"/>
        </w:rPr>
      </w:pPr>
      <w:r>
        <w:rPr>
          <w:rFonts w:ascii="Times New Roman" w:cs="Times New Roman" w:eastAsia="Times New Roman" w:hAnsi="Times New Roman"/>
          <w:sz w:val="22"/>
          <w:szCs w:val="22"/>
          <w:color w:val="auto"/>
        </w:rPr>
        <w:t>Richard Horn</w:t>
      </w:r>
    </w:p>
    <w:p>
      <w:pPr>
        <w:spacing w:after="0" w:line="200" w:lineRule="exact"/>
        <w:rPr>
          <w:sz w:val="20"/>
          <w:szCs w:val="20"/>
          <w:color w:val="auto"/>
        </w:rPr>
      </w:pPr>
    </w:p>
    <w:p>
      <w:pPr>
        <w:sectPr>
          <w:pgSz w:w="11900" w:h="16838" w:orient="portrait"/>
          <w:cols w:equalWidth="0" w:num="2">
            <w:col w:w="4360" w:space="720"/>
            <w:col w:w="6100"/>
          </w:cols>
          <w:pgMar w:left="380" w:top="108" w:right="339" w:bottom="1440" w:gutter="0" w:footer="0" w:header="0"/>
          <w:type w:val="continuous"/>
        </w:sectPr>
      </w:pP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Tenant:</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Times New Roman" w:cs="Times New Roman" w:eastAsia="Times New Roman" w:hAnsi="Times New Roman"/>
          <w:sz w:val="21"/>
          <w:szCs w:val="21"/>
          <w:color w:val="auto"/>
        </w:rPr>
        <w:t>Taysha Gene Therapies,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2280 Inwood Road</w:t>
      </w:r>
    </w:p>
    <w:p>
      <w:pPr>
        <w:spacing w:after="0"/>
        <w:rPr>
          <w:sz w:val="20"/>
          <w:szCs w:val="20"/>
          <w:color w:val="auto"/>
        </w:rPr>
      </w:pPr>
      <w:r>
        <w:rPr>
          <w:rFonts w:ascii="Times New Roman" w:cs="Times New Roman" w:eastAsia="Times New Roman" w:hAnsi="Times New Roman"/>
          <w:sz w:val="22"/>
          <w:szCs w:val="22"/>
          <w:color w:val="auto"/>
        </w:rPr>
        <w:t>Dallas, Texas 75235 Attention:</w:t>
      </w:r>
    </w:p>
    <w:p>
      <w:pPr>
        <w:spacing w:after="0" w:line="1" w:lineRule="exact"/>
        <w:rPr>
          <w:sz w:val="20"/>
          <w:szCs w:val="20"/>
          <w:color w:val="auto"/>
        </w:rPr>
      </w:pPr>
    </w:p>
    <w:p>
      <w:pPr>
        <w:sectPr>
          <w:pgSz w:w="11900" w:h="16838" w:orient="portrait"/>
          <w:cols w:equalWidth="0" w:num="2">
            <w:col w:w="4360" w:space="720"/>
            <w:col w:w="6100"/>
          </w:cols>
          <w:pgMar w:left="380" w:top="108" w:right="339" w:bottom="1440" w:gutter="0" w:footer="0" w:header="0"/>
          <w:type w:val="continuous"/>
        </w:sectPr>
      </w:pPr>
    </w:p>
    <w:p>
      <w:pPr>
        <w:ind w:left="5080"/>
        <w:spacing w:after="0" w:line="221" w:lineRule="auto"/>
        <w:rPr>
          <w:sz w:val="20"/>
          <w:szCs w:val="20"/>
          <w:color w:val="auto"/>
        </w:rPr>
      </w:pPr>
      <w:r>
        <w:rPr>
          <w:rFonts w:ascii="Times New Roman" w:cs="Times New Roman" w:eastAsia="Times New Roman" w:hAnsi="Times New Roman"/>
          <w:sz w:val="22"/>
          <w:szCs w:val="22"/>
          <w:color w:val="auto"/>
        </w:rPr>
        <w:t>Kamran Alam, CFO</w:t>
      </w:r>
    </w:p>
    <w:p>
      <w:pPr>
        <w:ind w:left="5080"/>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auto"/>
        </w:rPr>
        <w:t>accountspayable@tayshagtx.com</w:t>
      </w:r>
    </w:p>
    <w:p>
      <w:pPr>
        <w:spacing w:after="0" w:line="19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11951 Freedom Drive</w:t>
      </w:r>
    </w:p>
    <w:p>
      <w:pPr>
        <w:ind w:left="5080"/>
        <w:spacing w:after="0" w:line="230" w:lineRule="auto"/>
        <w:rPr>
          <w:sz w:val="20"/>
          <w:szCs w:val="20"/>
          <w:color w:val="auto"/>
        </w:rPr>
      </w:pPr>
      <w:r>
        <w:rPr>
          <w:rFonts w:ascii="Times New Roman" w:cs="Times New Roman" w:eastAsia="Times New Roman" w:hAnsi="Times New Roman"/>
          <w:sz w:val="22"/>
          <w:szCs w:val="22"/>
          <w:color w:val="auto"/>
        </w:rPr>
        <w:t>Reston, VA 20190 Attention: Peter</w:t>
      </w:r>
    </w:p>
    <w:p>
      <w:pPr>
        <w:ind w:left="5080"/>
        <w:spacing w:after="0" w:line="231" w:lineRule="auto"/>
        <w:rPr>
          <w:sz w:val="20"/>
          <w:szCs w:val="20"/>
          <w:color w:val="auto"/>
        </w:rPr>
      </w:pPr>
      <w:r>
        <w:rPr>
          <w:rFonts w:ascii="Times New Roman" w:cs="Times New Roman" w:eastAsia="Times New Roman" w:hAnsi="Times New Roman"/>
          <w:sz w:val="22"/>
          <w:szCs w:val="22"/>
          <w:color w:val="auto"/>
        </w:rPr>
        <w:t>N. Crain Email:</w:t>
      </w:r>
    </w:p>
    <w:p>
      <w:pPr>
        <w:ind w:left="5080"/>
        <w:spacing w:after="0"/>
        <w:rPr>
          <w:sz w:val="20"/>
          <w:szCs w:val="20"/>
          <w:color w:val="auto"/>
        </w:rPr>
      </w:pPr>
      <w:r>
        <w:rPr>
          <w:rFonts w:ascii="Times New Roman" w:cs="Times New Roman" w:eastAsia="Times New Roman" w:hAnsi="Times New Roman"/>
          <w:sz w:val="22"/>
          <w:szCs w:val="22"/>
          <w:color w:val="auto"/>
        </w:rPr>
        <w:t>pcrain@cooley.com</w:t>
      </w:r>
    </w:p>
    <w:p>
      <w:pPr>
        <w:spacing w:after="0" w:line="200" w:lineRule="exact"/>
        <w:rPr>
          <w:sz w:val="20"/>
          <w:szCs w:val="20"/>
          <w:color w:val="auto"/>
        </w:rPr>
      </w:pPr>
    </w:p>
    <w:p>
      <w:pPr>
        <w:spacing w:after="0" w:line="275" w:lineRule="exact"/>
        <w:rPr>
          <w:sz w:val="20"/>
          <w:szCs w:val="20"/>
          <w:color w:val="auto"/>
        </w:rPr>
      </w:pPr>
    </w:p>
    <w:p>
      <w:pPr>
        <w:ind w:left="1720" w:hanging="827"/>
        <w:spacing w:after="0"/>
        <w:tabs>
          <w:tab w:leader="none" w:pos="17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N/A.</w:t>
      </w:r>
    </w:p>
    <w:p>
      <w:pPr>
        <w:spacing w:after="0" w:line="223" w:lineRule="exact"/>
        <w:rPr>
          <w:rFonts w:ascii="Times New Roman" w:cs="Times New Roman" w:eastAsia="Times New Roman" w:hAnsi="Times New Roman"/>
          <w:sz w:val="22"/>
          <w:szCs w:val="22"/>
          <w:color w:val="auto"/>
        </w:rPr>
      </w:pPr>
    </w:p>
    <w:p>
      <w:pPr>
        <w:ind w:left="1720" w:hanging="827"/>
        <w:spacing w:after="0"/>
        <w:tabs>
          <w:tab w:leader="none" w:pos="17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ectPr>
          <w:pgSz w:w="11900" w:h="16838" w:orient="portrait"/>
          <w:cols w:equalWidth="0" w:num="1">
            <w:col w:w="11180"/>
          </w:cols>
          <w:pgMar w:left="380" w:top="108" w:right="339" w:bottom="1440" w:gutter="0" w:footer="0" w:header="0"/>
          <w:type w:val="continuous"/>
        </w:sectPr>
      </w:pPr>
    </w:p>
    <w:p>
      <w:pPr>
        <w:spacing w:after="0" w:line="23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Exhibit 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Leased</w:t>
      </w:r>
    </w:p>
    <w:p>
      <w:pPr>
        <w:spacing w:after="0" w:line="41" w:lineRule="exact"/>
        <w:rPr>
          <w:sz w:val="20"/>
          <w:szCs w:val="20"/>
          <w:color w:val="auto"/>
        </w:rPr>
      </w:pPr>
    </w:p>
    <w:p>
      <w:pPr>
        <w:sectPr>
          <w:pgSz w:w="11900" w:h="16838" w:orient="portrait"/>
          <w:cols w:equalWidth="0" w:num="2">
            <w:col w:w="4520" w:space="720"/>
            <w:col w:w="5940"/>
          </w:cols>
          <w:pgMar w:left="380" w:top="108" w:right="3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21"/>
          <w:szCs w:val="21"/>
          <w:color w:val="auto"/>
        </w:rPr>
        <w:t>Premises Exhibit</w:t>
      </w:r>
    </w:p>
    <w:p>
      <w:pPr>
        <w:sectPr>
          <w:pgSz w:w="11900" w:h="16838" w:orient="portrait"/>
          <w:cols w:equalWidth="0" w:num="1">
            <w:col w:w="11180"/>
          </w:cols>
          <w:pgMar w:left="380" w:top="108" w:right="339" w:bottom="1440" w:gutter="0" w:footer="0" w:header="0"/>
          <w:type w:val="continuous"/>
        </w:sectPr>
      </w:pPr>
    </w:p>
    <w:p>
      <w:pPr>
        <w:spacing w:after="0" w:line="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9"/>
          <w:szCs w:val="19"/>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Tenant</w:t>
      </w:r>
    </w:p>
    <w:p>
      <w:pPr>
        <w:spacing w:after="0" w:line="25" w:lineRule="exact"/>
        <w:rPr>
          <w:sz w:val="20"/>
          <w:szCs w:val="20"/>
          <w:color w:val="auto"/>
        </w:rPr>
      </w:pPr>
    </w:p>
    <w:p>
      <w:pPr>
        <w:sectPr>
          <w:pgSz w:w="11900" w:h="16838" w:orient="portrait"/>
          <w:cols w:equalWidth="0" w:num="2">
            <w:col w:w="3820" w:space="720"/>
            <w:col w:w="6640"/>
          </w:cols>
          <w:pgMar w:left="380" w:top="108" w:right="3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21"/>
          <w:szCs w:val="21"/>
          <w:color w:val="auto"/>
        </w:rPr>
        <w:t>Improvements</w:t>
      </w:r>
    </w:p>
    <w:p>
      <w:pPr>
        <w:sectPr>
          <w:pgSz w:w="11900" w:h="16838" w:orient="portrait"/>
          <w:cols w:equalWidth="0" w:num="1">
            <w:col w:w="11180"/>
          </w:cols>
          <w:pgMar w:left="380" w:top="108" w:right="339" w:bottom="1440" w:gutter="0" w:footer="0" w:header="0"/>
          <w:type w:val="continuous"/>
        </w:sectPr>
      </w:pPr>
    </w:p>
    <w:p>
      <w:pPr>
        <w:spacing w:after="0" w:line="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Exhibit B-1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Base Building Definition</w:t>
      </w:r>
    </w:p>
    <w:p>
      <w:pPr>
        <w:spacing w:after="0" w:line="200" w:lineRule="exact"/>
        <w:rPr>
          <w:sz w:val="20"/>
          <w:szCs w:val="20"/>
          <w:color w:val="auto"/>
        </w:rPr>
      </w:pPr>
    </w:p>
    <w:p>
      <w:pPr>
        <w:sectPr>
          <w:pgSz w:w="11900" w:h="16838" w:orient="portrait"/>
          <w:cols w:equalWidth="0" w:num="2">
            <w:col w:w="4700" w:space="720"/>
            <w:col w:w="5760"/>
          </w:cols>
          <w:pgMar w:left="380" w:top="108" w:right="339" w:bottom="1440" w:gutter="0" w:footer="0" w:header="0"/>
          <w:type w:val="continuous"/>
        </w:sect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478790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type w:val="continuous"/>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Exhibit B-2 Preliminary Plans</w:t>
      </w:r>
    </w:p>
    <w:p>
      <w:pPr>
        <w:spacing w:after="0" w:line="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Exhibit C Form of Letter of Understanding Exhibit D Move-</w:t>
      </w:r>
    </w:p>
    <w:p>
      <w:pPr>
        <w:ind w:left="1720"/>
        <w:spacing w:after="0"/>
        <w:rPr>
          <w:sz w:val="20"/>
          <w:szCs w:val="20"/>
          <w:color w:val="auto"/>
        </w:rPr>
      </w:pPr>
      <w:r>
        <w:rPr>
          <w:rFonts w:ascii="Times New Roman" w:cs="Times New Roman" w:eastAsia="Times New Roman" w:hAnsi="Times New Roman"/>
          <w:sz w:val="22"/>
          <w:szCs w:val="22"/>
          <w:color w:val="auto"/>
        </w:rPr>
        <w:t>Out Conditions Checklist Exhibit E Rules and Regulations</w:t>
      </w:r>
    </w:p>
    <w:p>
      <w:pPr>
        <w:spacing w:after="0" w:line="209" w:lineRule="exact"/>
        <w:rPr>
          <w:sz w:val="20"/>
          <w:szCs w:val="20"/>
          <w:color w:val="auto"/>
        </w:rPr>
      </w:pPr>
    </w:p>
    <w:p>
      <w:pPr>
        <w:jc w:val="both"/>
        <w:ind w:left="40" w:right="240" w:firstLine="810"/>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Lease of the Leased Premises</w:t>
      </w:r>
      <w:r>
        <w:rPr>
          <w:rFonts w:ascii="Times New Roman" w:cs="Times New Roman" w:eastAsia="Times New Roman" w:hAnsi="Times New Roman"/>
          <w:sz w:val="22"/>
          <w:szCs w:val="22"/>
          <w:color w:val="auto"/>
        </w:rPr>
        <w:t>. Landlord hereby leases to Tenant and Tenant hereby leases from Landlord the Leased Premises, under the terms and conditions herein, together with the exclusive right to use the related land and improvements thereto designed for use by all tenants of the Building, including, without limitation, driveways, parking areas and sidewalks, that are designed for the use by all tenants of the Building and their respective employees, agents, contractors, representatives, customers, guests, invitees and others (the “</w:t>
      </w:r>
      <w:r>
        <w:rPr>
          <w:rFonts w:ascii="Times New Roman" w:cs="Times New Roman" w:eastAsia="Times New Roman" w:hAnsi="Times New Roman"/>
          <w:sz w:val="22"/>
          <w:szCs w:val="22"/>
          <w:b w:val="1"/>
          <w:bCs w:val="1"/>
          <w:color w:val="auto"/>
        </w:rPr>
        <w:t>Common Areas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2 – LEASE TERM AND POSSESSION</w:t>
      </w:r>
    </w:p>
    <w:p>
      <w:pPr>
        <w:spacing w:after="0" w:line="210" w:lineRule="exact"/>
        <w:rPr>
          <w:sz w:val="20"/>
          <w:szCs w:val="20"/>
          <w:color w:val="auto"/>
        </w:rPr>
      </w:pPr>
    </w:p>
    <w:p>
      <w:pPr>
        <w:ind w:left="40" w:right="560" w:firstLine="822"/>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Lease Term</w:t>
      </w:r>
      <w:r>
        <w:rPr>
          <w:rFonts w:ascii="Times New Roman" w:cs="Times New Roman" w:eastAsia="Times New Roman" w:hAnsi="Times New Roman"/>
          <w:sz w:val="22"/>
          <w:szCs w:val="22"/>
          <w:color w:val="auto"/>
        </w:rPr>
        <w:t xml:space="preserve">. The Commencement Date and Lease Term shall be as set forth in </w:t>
      </w:r>
      <w:r>
        <w:rPr>
          <w:rFonts w:ascii="Times New Roman" w:cs="Times New Roman" w:eastAsia="Times New Roman" w:hAnsi="Times New Roman"/>
          <w:sz w:val="22"/>
          <w:szCs w:val="22"/>
          <w:u w:val="single" w:color="auto"/>
          <w:color w:val="auto"/>
        </w:rPr>
        <w:t>Sections 1.01(g)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1.01(h)</w:t>
      </w:r>
      <w:r>
        <w:rPr>
          <w:rFonts w:ascii="Times New Roman" w:cs="Times New Roman" w:eastAsia="Times New Roman" w:hAnsi="Times New Roman"/>
          <w:sz w:val="22"/>
          <w:szCs w:val="22"/>
          <w:color w:val="auto"/>
        </w:rPr>
        <w:t xml:space="preserve"> above.</w:t>
      </w:r>
    </w:p>
    <w:p>
      <w:pPr>
        <w:spacing w:after="0" w:line="172" w:lineRule="exact"/>
        <w:rPr>
          <w:sz w:val="20"/>
          <w:szCs w:val="20"/>
          <w:color w:val="auto"/>
        </w:rPr>
      </w:pPr>
    </w:p>
    <w:p>
      <w:pPr>
        <w:jc w:val="both"/>
        <w:ind w:left="40" w:right="240" w:firstLine="810"/>
        <w:spacing w:after="0" w:line="243" w:lineRule="auto"/>
        <w:rPr>
          <w:sz w:val="20"/>
          <w:szCs w:val="20"/>
          <w:color w:val="auto"/>
        </w:rPr>
      </w:pP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Construction of Tenant Improvements</w:t>
      </w:r>
      <w:r>
        <w:rPr>
          <w:rFonts w:ascii="Times New Roman" w:cs="Times New Roman" w:eastAsia="Times New Roman" w:hAnsi="Times New Roman"/>
          <w:sz w:val="21"/>
          <w:szCs w:val="21"/>
          <w:color w:val="auto"/>
        </w:rPr>
        <w:t xml:space="preserve">. Landlord shall be responsible for the construction of the Base Building as defined in </w:t>
      </w:r>
      <w:r>
        <w:rPr>
          <w:rFonts w:ascii="Times New Roman" w:cs="Times New Roman" w:eastAsia="Times New Roman" w:hAnsi="Times New Roman"/>
          <w:sz w:val="21"/>
          <w:szCs w:val="21"/>
          <w:b w:val="1"/>
          <w:bCs w:val="1"/>
          <w:u w:val="single" w:color="auto"/>
          <w:color w:val="auto"/>
        </w:rPr>
        <w:t>Exhibit B-1</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Base Building</w:t>
      </w:r>
      <w:r>
        <w:rPr>
          <w:rFonts w:ascii="Times New Roman" w:cs="Times New Roman" w:eastAsia="Times New Roman" w:hAnsi="Times New Roman"/>
          <w:sz w:val="21"/>
          <w:szCs w:val="21"/>
          <w:color w:val="auto"/>
        </w:rPr>
        <w:t>”). If substantial completion and delivery of the Base Building to Tenant does not occur on or before February 15, 2021 (the “</w:t>
      </w:r>
      <w:r>
        <w:rPr>
          <w:rFonts w:ascii="Times New Roman" w:cs="Times New Roman" w:eastAsia="Times New Roman" w:hAnsi="Times New Roman"/>
          <w:sz w:val="21"/>
          <w:szCs w:val="21"/>
          <w:b w:val="1"/>
          <w:bCs w:val="1"/>
          <w:color w:val="auto"/>
        </w:rPr>
        <w:t>Late Delivery Date</w:t>
      </w:r>
      <w:r>
        <w:rPr>
          <w:rFonts w:ascii="Times New Roman" w:cs="Times New Roman" w:eastAsia="Times New Roman" w:hAnsi="Times New Roman"/>
          <w:sz w:val="21"/>
          <w:szCs w:val="21"/>
          <w:color w:val="auto"/>
        </w:rPr>
        <w:t>”) then Landlord will credit to Tenant against Minimum Annual Rent first becoming due under this Lease for each day of delay after the Late Delivery Date until delivery of the substantially completed Base Building to Tenant occurs. Notwithstanding the foregoing, in no event will Tenant be entitled to a credit against Minimum Annual Rent in excess of an amount equal to ninety (90) days of Minimum Annual Rent, even if the Commencement Date does not occur within ninety (90) days after the Late Delivery Date. If Tenant receives any such rent credit, then the initial Lease Term will be extended by the number of days of Minimum Monthly Rent payable with such rent credit. The Late Delivery Date will be extended by reason of delays caused by Tenant or Force Majeure or circumstances beyond Landlord’s reasonable control. If Landlord fails to deliver the Base Building on or before May 16, 2021 (the “</w:t>
      </w:r>
      <w:r>
        <w:rPr>
          <w:rFonts w:ascii="Times New Roman" w:cs="Times New Roman" w:eastAsia="Times New Roman" w:hAnsi="Times New Roman"/>
          <w:sz w:val="21"/>
          <w:szCs w:val="21"/>
          <w:b w:val="1"/>
          <w:bCs w:val="1"/>
          <w:color w:val="auto"/>
        </w:rPr>
        <w:t>Late Delivery Termination Date</w:t>
      </w:r>
      <w:r>
        <w:rPr>
          <w:rFonts w:ascii="Times New Roman" w:cs="Times New Roman" w:eastAsia="Times New Roman" w:hAnsi="Times New Roman"/>
          <w:sz w:val="21"/>
          <w:szCs w:val="21"/>
          <w:color w:val="auto"/>
        </w:rPr>
        <w:t xml:space="preserve">”), then Tenant may, as Tenant’s sole and exclusive remedy, terminate this Lease by delivering written notice of termination to Landlord not later than 30 days after the Late Delivery Termination Date. If Tenant timely delivers such notice of termination, then this Lease will terminate and the parties will have no further rights or obligations hereunder, provided that if delivery of the Leased Premises occurs within thirty (30) days after Landlord receives Tenant's termination notice, then this Lease will remain in full force and effect. Any failure by Tenant to deliver such termination notice to Landlord in a timely manner after the Late Delivery Termination Date will constitute a waiver of Tenant's right to terminate this Lease pursuant to this section, and this Lease will remain in full force and effect. The Late Delivery Termination Date will be extended by reason of delays caused by Tenant or Force Majeure or circumstances beyond Landlord’s reasonable control. For the purposes of this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substantial completion means that the Base Building has been completed, as reasonably determined by Landlord’s architect in accordance with the provisions of the Lease and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B-1</w:t>
      </w:r>
      <w:r>
        <w:rPr>
          <w:rFonts w:ascii="Times New Roman" w:cs="Times New Roman" w:eastAsia="Times New Roman" w:hAnsi="Times New Roman"/>
          <w:sz w:val="21"/>
          <w:szCs w:val="21"/>
          <w:color w:val="auto"/>
        </w:rPr>
        <w:t>, subject only to punchlist items to be identified by Landlord and Landlord’s contractor in a joint inspection after substantial completion of the Base Building (the “</w:t>
      </w:r>
      <w:r>
        <w:rPr>
          <w:rFonts w:ascii="Times New Roman" w:cs="Times New Roman" w:eastAsia="Times New Roman" w:hAnsi="Times New Roman"/>
          <w:sz w:val="21"/>
          <w:szCs w:val="21"/>
          <w:b w:val="1"/>
          <w:bCs w:val="1"/>
          <w:color w:val="auto"/>
        </w:rPr>
        <w:t>Punch List Items</w:t>
      </w:r>
      <w:r>
        <w:rPr>
          <w:rFonts w:ascii="Times New Roman" w:cs="Times New Roman" w:eastAsia="Times New Roman" w:hAnsi="Times New Roman"/>
          <w:sz w:val="21"/>
          <w:szCs w:val="21"/>
          <w:color w:val="auto"/>
        </w:rPr>
        <w:t>”). Tenant shall construct and install (or cause to be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07" w:name="page208"/>
    <w:bookmarkEnd w:id="207"/>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86" w:lineRule="exact"/>
        <w:rPr>
          <w:sz w:val="20"/>
          <w:szCs w:val="20"/>
          <w:color w:val="auto"/>
        </w:rPr>
      </w:pPr>
    </w:p>
    <w:p>
      <w:pPr>
        <w:jc w:val="both"/>
        <w:ind w:left="40" w:right="240"/>
        <w:spacing w:after="0" w:line="236" w:lineRule="auto"/>
        <w:rPr>
          <w:sz w:val="20"/>
          <w:szCs w:val="20"/>
          <w:color w:val="auto"/>
        </w:rPr>
      </w:pPr>
      <w:r>
        <w:rPr>
          <w:rFonts w:ascii="Times New Roman" w:cs="Times New Roman" w:eastAsia="Times New Roman" w:hAnsi="Times New Roman"/>
          <w:sz w:val="22"/>
          <w:szCs w:val="22"/>
          <w:color w:val="auto"/>
        </w:rPr>
        <w:t>constructed and installed) all leasehold improvements to the Leased Premises (collectively, the “</w:t>
      </w:r>
      <w:r>
        <w:rPr>
          <w:rFonts w:ascii="Times New Roman" w:cs="Times New Roman" w:eastAsia="Times New Roman" w:hAnsi="Times New Roman"/>
          <w:sz w:val="22"/>
          <w:szCs w:val="22"/>
          <w:b w:val="1"/>
          <w:bCs w:val="1"/>
          <w:color w:val="auto"/>
        </w:rPr>
        <w:t>Tenant Improvements</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b w:val="1"/>
          <w:bCs w:val="1"/>
          <w:u w:val="single" w:color="auto"/>
          <w:color w:val="auto"/>
        </w:rPr>
        <w:t>Exhibit B and Exhibit B-2</w:t>
      </w:r>
      <w:r>
        <w:rPr>
          <w:rFonts w:ascii="Times New Roman" w:cs="Times New Roman" w:eastAsia="Times New Roman" w:hAnsi="Times New Roman"/>
          <w:sz w:val="22"/>
          <w:szCs w:val="22"/>
          <w:color w:val="auto"/>
        </w:rPr>
        <w:t xml:space="preserve"> attached hereto and made a part hereof. Promptly following substantial completion and delivery of the Base Building, Tenant shall execute Landlord’s Letter of Understanding in substantially the form attached hereto as </w:t>
      </w:r>
      <w:r>
        <w:rPr>
          <w:rFonts w:ascii="Times New Roman" w:cs="Times New Roman" w:eastAsia="Times New Roman" w:hAnsi="Times New Roman"/>
          <w:sz w:val="22"/>
          <w:szCs w:val="22"/>
          <w:b w:val="1"/>
          <w:bCs w:val="1"/>
          <w:u w:val="single" w:color="auto"/>
          <w:color w:val="auto"/>
        </w:rPr>
        <w:t>Exhibit C</w:t>
      </w:r>
      <w:r>
        <w:rPr>
          <w:rFonts w:ascii="Times New Roman" w:cs="Times New Roman" w:eastAsia="Times New Roman" w:hAnsi="Times New Roman"/>
          <w:sz w:val="22"/>
          <w:szCs w:val="22"/>
          <w:color w:val="auto"/>
        </w:rPr>
        <w:t xml:space="preserve"> and made a part hereof, acknowledging, among other things, that Tenant has accepted the Leased Premises. If Tenant takes possession of and occupies the Leased Premises Tenant shall be deemed to have accepted the Leased Premises and that the condition of the Leased Premises and the Building was at the time satisfactory and in conformity with the provisions of this Lease, subject to the Punch List Items.</w:t>
      </w:r>
    </w:p>
    <w:p>
      <w:pPr>
        <w:spacing w:after="0" w:line="207" w:lineRule="exact"/>
        <w:rPr>
          <w:sz w:val="20"/>
          <w:szCs w:val="20"/>
          <w:color w:val="auto"/>
        </w:rPr>
      </w:pPr>
    </w:p>
    <w:p>
      <w:pPr>
        <w:jc w:val="both"/>
        <w:ind w:left="40" w:right="240" w:firstLine="810"/>
        <w:spacing w:after="0" w:line="247" w:lineRule="auto"/>
        <w:rPr>
          <w:sz w:val="20"/>
          <w:szCs w:val="20"/>
          <w:color w:val="auto"/>
        </w:rPr>
      </w:pP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Surrender of the Leased Premises</w:t>
      </w:r>
      <w:r>
        <w:rPr>
          <w:rFonts w:ascii="Times New Roman" w:cs="Times New Roman" w:eastAsia="Times New Roman" w:hAnsi="Times New Roman"/>
          <w:sz w:val="21"/>
          <w:szCs w:val="21"/>
          <w:color w:val="auto"/>
        </w:rPr>
        <w:t xml:space="preserve">. Upon the expiration or earlier termination of this Lease, Tenant shall, at its sole cost and expense, immediately (a) surrender the Leased Premises to Landlord in broom-clean condition and in reasonably good order, condition and repair, including, without limitation, satisfaction of the move-out conditions on the checklist attached hereto as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 xml:space="preserve"> and made a part hereof, (b) remove from the Leased Premises or where located</w:t>
      </w:r>
    </w:p>
    <w:p>
      <w:pPr>
        <w:spacing w:after="0" w:line="2" w:lineRule="exact"/>
        <w:rPr>
          <w:sz w:val="20"/>
          <w:szCs w:val="20"/>
          <w:color w:val="auto"/>
        </w:rPr>
      </w:pPr>
    </w:p>
    <w:p>
      <w:pPr>
        <w:ind w:left="40" w:right="280" w:firstLine="4"/>
        <w:spacing w:after="0" w:line="242" w:lineRule="auto"/>
        <w:tabs>
          <w:tab w:leader="none" w:pos="58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Tenant’s Property (as defined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below), (ii) all fixtures installed by Tenant which Landlord indicates, in Landlord’s sole discretion, may be required to be removed in connection with Landlord’s approval of the installation of such fixture (unless Landlord provides, at least 300 days prior to the expiration of the Lease Term, written notice to Tenant detailing such fixtures (or portion thereof) not requiring removal by Tenant, in which case Tenant shall not be required to remove such portion of such fixtures specifically described in such notice as not requiring removal by Tenant), (iii) all data and communications equipment, wiring and cabling (including above ceiling, below raised floors and behind walls), (iv) any striping applied to the floors of the Leased Premises, (v) all improvements which Landlord indicates, in Landlord’s sole discretion, may be required to be removed in connection with Landlord’s approval of the installation of such improvements (unless Landlord provides, at least 300 days prior to the expiration of the Lease Term, written notice to Tenant detailing such improvements (or portion thereof) not requiring removal by Tenant, in which case Tenant shall not be required to remove such portion of such improvements specifically described in such notice as not requiring removal by Tenant), (vi) any alterations made by or behalf of Tenant without Landlord’s prior written consent (unless Landlord provides, at least 300 days prior to the expiration of the Lease Term, written notice to Tenant detailing such alterations (or portion thereof) that do not need to be removed, in which case Tenant shall not be required to remove such portion of such alterations specifically described in such notice as not requiring removal by Tenant), and (vii) any alterations required to be removed pursuant to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below, (c) repair any damage caused by any such removal, and (d) restore the parking area and the truck court serving the Building to substantially the same design and condition as delivered by Landlord to Tenant, with the condition of such parking area and the truck court being subject to normal wear and tear. Upon the expiration or earlier termination of this Lease, all of Tenant’s Property that is not removed within ten (10) days following Landlord’s written demand therefor shall be conclusively deemed to have been abandoned and Landlord shall be entitled to dispose of Tenant’s Property at Tenant’s cost, without incurring any liability to Tenant.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shall survive the expiration or any earlier termination of this Lease.</w:t>
      </w:r>
    </w:p>
    <w:p>
      <w:pPr>
        <w:spacing w:after="0" w:line="182" w:lineRule="exact"/>
        <w:rPr>
          <w:sz w:val="20"/>
          <w:szCs w:val="20"/>
          <w:color w:val="auto"/>
        </w:rPr>
      </w:pPr>
    </w:p>
    <w:p>
      <w:pPr>
        <w:jc w:val="both"/>
        <w:ind w:left="40" w:right="240" w:firstLine="810"/>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Holding Over</w:t>
      </w:r>
      <w:r>
        <w:rPr>
          <w:rFonts w:ascii="Times New Roman" w:cs="Times New Roman" w:eastAsia="Times New Roman" w:hAnsi="Times New Roman"/>
          <w:sz w:val="22"/>
          <w:szCs w:val="22"/>
          <w:color w:val="auto"/>
        </w:rPr>
        <w:t>. If Tenant retains possession of the Leased Premises after the expiration or earlier termination of this Lease, Tenant shall be a tenant at sufferance at one hundred fifty percent (150%) of the Monthly Rental Installments for the Leased Premises in effect upon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08" w:name="page209"/>
    <w:bookmarkEnd w:id="208"/>
    <w:p>
      <w:pPr>
        <w:ind w:left="996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60" w:right="240"/>
        <w:spacing w:after="0" w:line="234" w:lineRule="auto"/>
        <w:rPr>
          <w:sz w:val="20"/>
          <w:szCs w:val="20"/>
          <w:color w:val="auto"/>
        </w:rPr>
      </w:pPr>
      <w:r>
        <w:rPr>
          <w:rFonts w:ascii="Times New Roman" w:cs="Times New Roman" w:eastAsia="Times New Roman" w:hAnsi="Times New Roman"/>
          <w:sz w:val="22"/>
          <w:szCs w:val="22"/>
          <w:color w:val="auto"/>
        </w:rPr>
        <w:t xml:space="preserve">the date of such expiration or earlier termination for each month thereafter, and otherwise upon the terms, covenants and conditions herein specified, so far as applicable. Acceptance by Landlord of Rent (as defined in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below) after such expiration or earlier termination shall not result in a renewal of this Lease, nor shall such acceptance create a month-to-month tenancy. In the event a month-to-month tenancy is created by operation of law, either party shall have the right to terminate such month-to-month tenancy upon thirty (30) days’ prior written notice to the other, whether or not said notice is given on the date that any Rent is due. In addition, Tenant shall be liable to Landlord for all damages occasioned by such holding over, including, without limitation, all consequential, direct and indirect damages and losses sustained by Landlord.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shall not be deemed a consent by Landlord to any holding over by Tenant upon the expiration or earlier termination of this Lease, nor limit Landlord’s remedies in such event.</w:t>
      </w:r>
    </w:p>
    <w:p>
      <w:pPr>
        <w:spacing w:after="0" w:line="20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3 - RENT</w:t>
      </w:r>
    </w:p>
    <w:p>
      <w:pPr>
        <w:spacing w:after="0" w:line="210" w:lineRule="exact"/>
        <w:rPr>
          <w:sz w:val="20"/>
          <w:szCs w:val="20"/>
          <w:color w:val="auto"/>
        </w:rPr>
      </w:pPr>
    </w:p>
    <w:p>
      <w:pPr>
        <w:jc w:val="both"/>
        <w:ind w:left="60" w:right="240" w:firstLine="810"/>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below, Tenant shall pay to Landlord the Minimum Annual Rent in the amounts of the Monthly Rental Installments set forth in </w:t>
      </w:r>
      <w:r>
        <w:rPr>
          <w:rFonts w:ascii="Times New Roman" w:cs="Times New Roman" w:eastAsia="Times New Roman" w:hAnsi="Times New Roman"/>
          <w:sz w:val="22"/>
          <w:szCs w:val="22"/>
          <w:u w:val="single" w:color="auto"/>
          <w:color w:val="auto"/>
        </w:rPr>
        <w:t>Section 1.01(e)</w:t>
      </w:r>
      <w:r>
        <w:rPr>
          <w:rFonts w:ascii="Times New Roman" w:cs="Times New Roman" w:eastAsia="Times New Roman" w:hAnsi="Times New Roman"/>
          <w:sz w:val="22"/>
          <w:szCs w:val="22"/>
          <w:color w:val="auto"/>
        </w:rPr>
        <w:t xml:space="preserve"> above, in advance, without demand, abatement, counterclaim, recoupment, deduction or offset, beginning on the Commencement Date, and, thereafter, on or before the first day of each and every calendar month thereafter during the Lease Term. The Monthly Rental Installments for partial calendar months shall be prorated on the basis of the total number of days in the applicable calendar month</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Tenant shall be responsible for delivering the Monthly Rental Installments to the payment address set forth in </w:t>
      </w:r>
      <w:r>
        <w:rPr>
          <w:rFonts w:ascii="Times New Roman" w:cs="Times New Roman" w:eastAsia="Times New Roman" w:hAnsi="Times New Roman"/>
          <w:sz w:val="22"/>
          <w:szCs w:val="22"/>
          <w:u w:val="single" w:color="auto"/>
          <w:color w:val="auto"/>
        </w:rPr>
        <w:t>Section 1.01(l)</w:t>
      </w:r>
      <w:r>
        <w:rPr>
          <w:rFonts w:ascii="Times New Roman" w:cs="Times New Roman" w:eastAsia="Times New Roman" w:hAnsi="Times New Roman"/>
          <w:sz w:val="22"/>
          <w:szCs w:val="22"/>
          <w:color w:val="auto"/>
        </w:rPr>
        <w:t xml:space="preserve"> above in accordance with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Annual Rental Adjustment Definitions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right="1200" w:hanging="752"/>
        <w:spacing w:after="0" w:line="262" w:lineRule="auto"/>
        <w:tabs>
          <w:tab w:leader="none" w:pos="150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Rental Adjustment</w:t>
      </w:r>
      <w:r>
        <w:rPr>
          <w:rFonts w:ascii="Times New Roman" w:cs="Times New Roman" w:eastAsia="Times New Roman" w:hAnsi="Times New Roman"/>
          <w:sz w:val="22"/>
          <w:szCs w:val="22"/>
          <w:color w:val="auto"/>
        </w:rPr>
        <w:t>” shall mean the amount of Tenant’s Proportionate Share of Operating Expenses for a particular calendar year.</w:t>
      </w:r>
    </w:p>
    <w:p>
      <w:pPr>
        <w:spacing w:after="0" w:line="176" w:lineRule="exact"/>
        <w:rPr>
          <w:rFonts w:ascii="Times New Roman" w:cs="Times New Roman" w:eastAsia="Times New Roman" w:hAnsi="Times New Roman"/>
          <w:sz w:val="22"/>
          <w:szCs w:val="22"/>
          <w:color w:val="auto"/>
        </w:rPr>
      </w:pPr>
    </w:p>
    <w:p>
      <w:pPr>
        <w:ind w:left="760" w:right="500" w:hanging="752"/>
        <w:spacing w:after="0" w:line="244" w:lineRule="auto"/>
        <w:tabs>
          <w:tab w:leader="none" w:pos="1501"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Operating Expenses</w:t>
      </w:r>
      <w:r>
        <w:rPr>
          <w:rFonts w:ascii="Times New Roman" w:cs="Times New Roman" w:eastAsia="Times New Roman" w:hAnsi="Times New Roman"/>
          <w:sz w:val="21"/>
          <w:szCs w:val="21"/>
          <w:color w:val="auto"/>
        </w:rPr>
        <w:t xml:space="preserve">” shall mean the amount of all of Landlord’s costs and expenses paid or incurred in operating, repairing, replacing and maintaining the Building and the Common Areas in good condition and repair for a particular calendar year, including by way of illustration and not limitation, the following: all Real Estate Taxes (as defined in </w:t>
      </w:r>
      <w:r>
        <w:rPr>
          <w:rFonts w:ascii="Times New Roman" w:cs="Times New Roman" w:eastAsia="Times New Roman" w:hAnsi="Times New Roman"/>
          <w:sz w:val="21"/>
          <w:szCs w:val="21"/>
          <w:u w:val="single" w:color="auto"/>
          <w:color w:val="auto"/>
        </w:rPr>
        <w:t>Section 3.02(d)</w:t>
      </w:r>
      <w:r>
        <w:rPr>
          <w:rFonts w:ascii="Times New Roman" w:cs="Times New Roman" w:eastAsia="Times New Roman" w:hAnsi="Times New Roman"/>
          <w:sz w:val="21"/>
          <w:szCs w:val="21"/>
          <w:color w:val="auto"/>
        </w:rPr>
        <w:t xml:space="preserve"> below), insurance premiums and deductibles; water, sewer, electrical and other utility charges (other than the separately billed electrical and other utility charges paid by Tenant pursuant to thisLease); service and other charges incurred in the repair, replacement, operation and maintenance of the elevators (if any) and the heating, ventilation and air-conditioning (“</w:t>
      </w:r>
      <w:r>
        <w:rPr>
          <w:rFonts w:ascii="Times New Roman" w:cs="Times New Roman" w:eastAsia="Times New Roman" w:hAnsi="Times New Roman"/>
          <w:sz w:val="21"/>
          <w:szCs w:val="21"/>
          <w:b w:val="1"/>
          <w:bCs w:val="1"/>
          <w:color w:val="auto"/>
        </w:rPr>
        <w:t>HVAC</w:t>
      </w:r>
      <w:r>
        <w:rPr>
          <w:rFonts w:ascii="Times New Roman" w:cs="Times New Roman" w:eastAsia="Times New Roman" w:hAnsi="Times New Roman"/>
          <w:sz w:val="21"/>
          <w:szCs w:val="21"/>
          <w:color w:val="auto"/>
        </w:rPr>
        <w:t>”) system installed by Landlord or required to be maintained by Landlord (if any); painting; stormwater discharge fees; tools and supplies; repair costs; landscape maintenance costs (during any applicable warranty period); access patrols; license, permit and inspection fees; the Building’s pro rata share of the operation, management and maintenance of a property management office in the Park; management fees (not to exceed 3% of gross revenues for the Building (including the Minimum Annual Rent and Annual Rental Adjustment)); administrative fees; supplies, costs, wages and related employee benefits payable for the management, maintenance and operation of the Building; maintenance, repair and replacement of the driveways, parking areas, curbs and sidewalk areas(excluding snow and ice removal, which is solely the responsibility of Tenant, unless such snow and ice removal is required by Landlord in cases of emergency to protect</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09" w:name="page210"/>
    <w:bookmarkEnd w:id="209"/>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40" w:right="240"/>
        <w:spacing w:after="0" w:line="231" w:lineRule="auto"/>
        <w:rPr>
          <w:sz w:val="20"/>
          <w:szCs w:val="20"/>
          <w:color w:val="auto"/>
        </w:rPr>
      </w:pPr>
      <w:r>
        <w:rPr>
          <w:rFonts w:ascii="Times New Roman" w:cs="Times New Roman" w:eastAsia="Times New Roman" w:hAnsi="Times New Roman"/>
          <w:sz w:val="22"/>
          <w:szCs w:val="22"/>
          <w:color w:val="auto"/>
        </w:rPr>
        <w:t>Landlord’s property and or Landlord’s vendors, guests and invitees) , landscaped areas (during any applicable maintenance period), drainage strips (installed as part of the base building), sewer lines (installed as part of the base building), exterior walls, foundation, structural frame, roof, gutters and exterior building and site lighting (pole lights, wall packs, soffit lights); and maintenance and repair costs, dues, fees and assessments incurred under any covenants or charged by any owners association (as prorated if applicable to more than the Leased Premises). The cost of any improvements included as an Operating Expense that are capital in nature (“</w:t>
      </w:r>
      <w:r>
        <w:rPr>
          <w:rFonts w:ascii="Times New Roman" w:cs="Times New Roman" w:eastAsia="Times New Roman" w:hAnsi="Times New Roman"/>
          <w:sz w:val="22"/>
          <w:szCs w:val="22"/>
          <w:b w:val="1"/>
          <w:bCs w:val="1"/>
          <w:color w:val="auto"/>
        </w:rPr>
        <w:t>Capital Expenses</w:t>
      </w:r>
      <w:r>
        <w:rPr>
          <w:rFonts w:ascii="Times New Roman" w:cs="Times New Roman" w:eastAsia="Times New Roman" w:hAnsi="Times New Roman"/>
          <w:sz w:val="22"/>
          <w:szCs w:val="22"/>
          <w:color w:val="auto"/>
        </w:rPr>
        <w:t>”) shall be amortized over the expected useful life of the improvement (as reasonably determined by an architect or other third-party professional with experience related to such improvement), and in each calendar year of the Lease Term only the amortized portion of such Capital Expenses shall be included, and such amortized portion shall be prorated with respect to any partial calendar year during the Lease Term. Notwithstanding anything to the contrary contained in the Lease, Operating Expenses shall not include the following: (1) any ground lease rental; (2) capital improvements required by Landlord's failure to comply with any applicable laws or other legal requirements; (3) costs incurred by Landlord for the repair of damage to the Building to the extent that Landlord actually reimbursed by insurance proceeds; (4) depreciation and amortization of any type, except on materials, tools, supplies and vendor type equipment purchased by Landlord to enable Landlord to supply services Landlord might otherwise contract for with a third party where such depreciation and amortization would otherwise have been included in the charge for such third party's services, all as determined in accordance with GAAP, and when depreciation or amortization is permitted or required, the item shall be amortized over its reasonably anticipated useful life; (5) leasing commissions, attorney's fees, and other costs and expenses incurred in connection with negotiations or disputes with present or prospective tenants, other occupants of the Park; (6) interest, principal, points and fees on debt or amortization on any mortgage or mortgages or any other debt instrument encumbering the Building or Park; (7) promotional or marketing costs specifically associated with leasing or marketing space in the Building, and costs of signs in or on the Building identifying the owner of the Building; (8) any costs incurred in connection with upgrading the Building to comply with Laws in effect prior to the Commencement Date, including handicap, life, fire and safety codes; (9) wages, salaries, fees and fringe benefits paid to administrative or executive personnel or officers or partners of Landlord; (10) the cost of the initial construction of the Building; (11) the cost of correcting defects in the construction of the Building or in Building equipment; (12) the cost of any repair made by Landlord because of the total or partial destruction of the Building or the condemnation of a portion of the Building; (13) the cost of overtime or other expense to Landlord due to Landlord's defaults or incurred while performing work expressly provided in this lease to be borne at Landlord's expense; (14) costs incurred due to the late payment of taxes, utility bills or other amounts owing, so long as Landlord was obligated to make such payments; (15) general overhead and general administrative expenses and accounting, record-keeping and clerical support of Landlord or the management agent, except reasonable expenses incurred in connection with the operations of the property management office (not to exceed 3% of gross revenues for the Building (including the Minimum Annual Rent and Annual Rental Adjustment)), on a prorated basis to the extent such operations are directly servicing the Building; (16) increased insurance premiums caused solely by Landlord's hazardous acts; (17) costs incurred for any items to the extent Landlord actually recovers under a manufacturer's, materialmen's vendor's or contractor's warranty; (18) costs incurred to test, survey, clean up, contain, abate, remove or otherwise remedy Hazardous Substances (as hereinafter defined) and/or indoor air quality problems from the Building or Park;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8" w:lineRule="exact"/>
        <w:rPr>
          <w:sz w:val="20"/>
          <w:szCs w:val="20"/>
          <w:color w:val="auto"/>
        </w:rPr>
      </w:pPr>
    </w:p>
    <w:p>
      <w:pPr>
        <w:jc w:val="both"/>
        <w:ind w:left="60" w:right="240" w:firstLine="4"/>
        <w:spacing w:after="0" w:line="235" w:lineRule="auto"/>
        <w:tabs>
          <w:tab w:leader="none" w:pos="48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directly resulting from the gross negligence or willful misconduct of Landlord, its employees, agents, contractors or employees; (20) costs or fees relating to the defense of Landlord's title or interest in the real estate containing the Building, or any part thereof; (21) costs or expenses incurred by Landlord in financing, refinancing, pledging, selling, granting or otherwise transferring or encumbering ownership rights in the Building or Park; (22) any bad debt loss; (23) costs and expenses incurred in connection with any transfer of an interest in the Landlord;</w:t>
      </w:r>
    </w:p>
    <w:p>
      <w:pPr>
        <w:jc w:val="both"/>
        <w:ind w:left="60" w:right="240" w:firstLine="4"/>
        <w:spacing w:after="0" w:line="235" w:lineRule="auto"/>
        <w:tabs>
          <w:tab w:leader="none" w:pos="50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franchise, transfer, inheritance, gift or capital stock taxes; and (25) costs relating to maintaining Landlord’s existence, either as a corporation, partnership, trust or other entity, such as trustee’s fees, annual fees, partnership expenses, and legal and accounting fees (other than with respect to Building operations).</w:t>
      </w:r>
    </w:p>
    <w:p>
      <w:pPr>
        <w:spacing w:after="0" w:line="201" w:lineRule="exact"/>
        <w:rPr>
          <w:sz w:val="20"/>
          <w:szCs w:val="20"/>
          <w:color w:val="auto"/>
        </w:rPr>
      </w:pPr>
    </w:p>
    <w:p>
      <w:pPr>
        <w:ind w:left="940"/>
        <w:spacing w:after="0"/>
        <w:tabs>
          <w:tab w:leader="none" w:pos="25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Tenant’s Proportionate Share of Operating Expenses</w:t>
      </w:r>
      <w:r>
        <w:rPr>
          <w:rFonts w:ascii="Times New Roman" w:cs="Times New Roman" w:eastAsia="Times New Roman" w:hAnsi="Times New Roman"/>
          <w:sz w:val="22"/>
          <w:szCs w:val="22"/>
          <w:color w:val="auto"/>
        </w:rPr>
        <w:t>” shall mean an amount equal to the</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product obtained by multiplying Tenant’s Proportionate Share by the Operating Expenses for the applicable calendar year.</w:t>
      </w:r>
    </w:p>
    <w:p>
      <w:pPr>
        <w:spacing w:after="0" w:line="205" w:lineRule="exact"/>
        <w:rPr>
          <w:sz w:val="20"/>
          <w:szCs w:val="20"/>
          <w:color w:val="auto"/>
        </w:rPr>
      </w:pPr>
    </w:p>
    <w:p>
      <w:pPr>
        <w:ind w:left="760" w:right="560" w:hanging="752"/>
        <w:spacing w:after="0" w:line="237" w:lineRule="auto"/>
        <w:tabs>
          <w:tab w:leader="none" w:pos="150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Real Estate Taxes</w:t>
      </w:r>
      <w:r>
        <w:rPr>
          <w:rFonts w:ascii="Times New Roman" w:cs="Times New Roman" w:eastAsia="Times New Roman" w:hAnsi="Times New Roman"/>
          <w:sz w:val="22"/>
          <w:szCs w:val="22"/>
          <w:color w:val="auto"/>
        </w:rPr>
        <w:t>” shall mean any form of real estate tax or assessment or servicepayments in lieu thereof or water or sewer tax or charges, and any license fee, commercial rental tax, improvement bond or charges in connection with an improvement district or other similar charge or tax (other than inheritance, personal income or estate taxes) imposed upon the Building or Common Areas, or against Landlord’s business of leasing the Building, by any authority having the power to so charge or tax, together with costs and expenses of contesting the validity or amount of the Real Estate Taxes.</w:t>
      </w:r>
    </w:p>
    <w:p>
      <w:pPr>
        <w:spacing w:after="0" w:line="2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of Additional Rent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640" w:hanging="752"/>
        <w:spacing w:after="0" w:line="235" w:lineRule="auto"/>
        <w:tabs>
          <w:tab w:leader="none" w:pos="150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required to be paid by Tenant hereunder (in addition to Minimum Annual Rent) and any charges or expenses incurred by Landlord on behalf of Tenant under the terms of this Lease shall be considered “</w:t>
      </w:r>
      <w:r>
        <w:rPr>
          <w:rFonts w:ascii="Times New Roman" w:cs="Times New Roman" w:eastAsia="Times New Roman" w:hAnsi="Times New Roman"/>
          <w:sz w:val="22"/>
          <w:szCs w:val="22"/>
          <w:b w:val="1"/>
          <w:bCs w:val="1"/>
          <w:color w:val="auto"/>
        </w:rPr>
        <w:t>Additional Rent</w:t>
      </w:r>
      <w:r>
        <w:rPr>
          <w:rFonts w:ascii="Times New Roman" w:cs="Times New Roman" w:eastAsia="Times New Roman" w:hAnsi="Times New Roman"/>
          <w:sz w:val="22"/>
          <w:szCs w:val="22"/>
          <w:color w:val="auto"/>
        </w:rPr>
        <w:t>” payable in the same manner and upon the same terms and conditions as the Minimum Annual Rent reserved hereunder, except as set forth herein to the contrary. Minimum Annual Rent and Additional Rent are sometimes referred to herein, collectively, as “</w:t>
      </w:r>
      <w:r>
        <w:rPr>
          <w:rFonts w:ascii="Times New Roman" w:cs="Times New Roman" w:eastAsia="Times New Roman" w:hAnsi="Times New Roman"/>
          <w:sz w:val="22"/>
          <w:szCs w:val="22"/>
          <w:b w:val="1"/>
          <w:bCs w:val="1"/>
          <w:color w:val="auto"/>
        </w:rPr>
        <w:t>Rent</w:t>
      </w:r>
      <w:r>
        <w:rPr>
          <w:rFonts w:ascii="Times New Roman" w:cs="Times New Roman" w:eastAsia="Times New Roman" w:hAnsi="Times New Roman"/>
          <w:sz w:val="22"/>
          <w:szCs w:val="22"/>
          <w:color w:val="auto"/>
        </w:rPr>
        <w:t>”. Any failure on the part of Tenant to pay such Additional Rent when and as the same shall become due shall entitle Landlord to the remedies available to it for non-payment of Minimum Annual Rent.</w:t>
      </w:r>
    </w:p>
    <w:p>
      <w:pPr>
        <w:spacing w:after="0" w:line="210" w:lineRule="exact"/>
        <w:rPr>
          <w:rFonts w:ascii="Times New Roman" w:cs="Times New Roman" w:eastAsia="Times New Roman" w:hAnsi="Times New Roman"/>
          <w:sz w:val="22"/>
          <w:szCs w:val="22"/>
          <w:color w:val="auto"/>
        </w:rPr>
      </w:pPr>
    </w:p>
    <w:p>
      <w:pPr>
        <w:ind w:left="760" w:right="460" w:hanging="752"/>
        <w:spacing w:after="0" w:line="246" w:lineRule="auto"/>
        <w:tabs>
          <w:tab w:leader="none" w:pos="1501"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Minimum Annual Rent specified in this Lease, commencing as of the Commencement Date, Tenant shall pay to Landlord as Additional Rent for the Leased Premises, in each calendar year or partial calendar year during the Lease Term, an amount equal to the Annual Rental Adjustment for such calendar year or partial calendar year, as the case may be. Landlord shall estimate the Annual Rental Adjustment annually, and written notice thereof shall be given to Tenant prior to the beginning of each calendar year. Tenant shall pay to Landlord each month, at the same time the Monthly Rental Installment is due, an amount equal to one- twelfth (1/12) of the estimated Annual Rental Adjustment. Tenant shall be responsible for delivering the Additional Rent to the payment address set forth in </w:t>
      </w:r>
      <w:r>
        <w:rPr>
          <w:rFonts w:ascii="Times New Roman" w:cs="Times New Roman" w:eastAsia="Times New Roman" w:hAnsi="Times New Roman"/>
          <w:sz w:val="21"/>
          <w:szCs w:val="21"/>
          <w:u w:val="single" w:color="auto"/>
          <w:color w:val="auto"/>
        </w:rPr>
        <w:t>Section 1.01(l)</w:t>
      </w:r>
      <w:r>
        <w:rPr>
          <w:rFonts w:ascii="Times New Roman" w:cs="Times New Roman" w:eastAsia="Times New Roman" w:hAnsi="Times New Roman"/>
          <w:sz w:val="21"/>
          <w:szCs w:val="21"/>
          <w:color w:val="auto"/>
        </w:rPr>
        <w:t xml:space="preserve"> above in accordance with this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If Operating Expenses increase during a calendar year, Landlord may increase the estimated Annual Rental Adjustment during such calendar year by giving Tenant written notice to that effect, and thereafter Tenant shall pay to Landlord, in each of</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11" w:name="page212"/>
    <w:bookmarkEnd w:id="211"/>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52" w:right="240"/>
        <w:spacing w:after="0" w:line="233" w:lineRule="auto"/>
        <w:rPr>
          <w:sz w:val="20"/>
          <w:szCs w:val="20"/>
          <w:color w:val="auto"/>
        </w:rPr>
      </w:pPr>
      <w:r>
        <w:rPr>
          <w:rFonts w:ascii="Times New Roman" w:cs="Times New Roman" w:eastAsia="Times New Roman" w:hAnsi="Times New Roman"/>
          <w:sz w:val="22"/>
          <w:szCs w:val="22"/>
          <w:color w:val="auto"/>
        </w:rPr>
        <w:t xml:space="preserve">the remaining months of such calendar year, an amount equal to the amount of such increase in the estimated Annual Rental Adjustment divided by the number of months remaining in such calendar year. Within one hundred twenty (120) days after the end of each calendar year, Landlord shall prepare and deliver to Tenant a statement showing the actual Annual Rental Adjustment for such calendar year. If the estimated Annual Rental Adjustment payments made by Tenant are less than the actual Annual Rental Adjustment, then Tenant shall pay to Landlord the difference between the actual Annual Rental Adjustment for the preceding calendar year and the estimated payments made by Tenant during such calendar year within thirty (30) days after receipt of the aforementioned statement. In the event that the estimated Annual Rental Adjustment payments made by Tenant are greater than the actual Annual Rental Adjustment, then Landlord shall credit the amount of such overpayment toward the next Monthly Rental Installment(s) and the next monthly estimated Annual Rental Adjustment payment(s) due under this Lease until such overpayment is recovered by Tenant in full (provided, that if the Lease shall have expired or terminated, and (i) Tenant has vacated the Leased Premises and (ii) there are then no Defaults outstanding under this Lease, then Landlord shall send a refund check to Tenant, after first deducting any amounts owed by Tenant under this Lease, within thirty (30) days after delivery of the aforementioned statement).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shall survive the expiration or any earlier termination of this Lease.</w:t>
      </w:r>
    </w:p>
    <w:p>
      <w:pPr>
        <w:spacing w:after="0" w:line="207" w:lineRule="exact"/>
        <w:rPr>
          <w:sz w:val="20"/>
          <w:szCs w:val="20"/>
          <w:color w:val="auto"/>
        </w:rPr>
      </w:pPr>
    </w:p>
    <w:p>
      <w:pPr>
        <w:ind w:left="752" w:right="480" w:hanging="752"/>
        <w:spacing w:after="0" w:line="235" w:lineRule="auto"/>
        <w:tabs>
          <w:tab w:leader="none" w:pos="149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Operating Expenses - Cap on Controllable Expenses</w:t>
      </w:r>
      <w:r>
        <w:rPr>
          <w:rFonts w:ascii="Times New Roman" w:cs="Times New Roman" w:eastAsia="Times New Roman" w:hAnsi="Times New Roman"/>
          <w:sz w:val="22"/>
          <w:szCs w:val="22"/>
          <w:color w:val="auto"/>
        </w:rPr>
        <w:t>. Notwithstanding anything to the contrary in this Lease, Tenant shall not be charged for increases in “Controllable Operating Expenses” (as defined below) of more than five percent (5%) per annum in any calendar year on a cumulative basis from and after the first full calendar year after the Commencement Date (the “</w:t>
      </w:r>
      <w:r>
        <w:rPr>
          <w:rFonts w:ascii="Times New Roman" w:cs="Times New Roman" w:eastAsia="Times New Roman" w:hAnsi="Times New Roman"/>
          <w:sz w:val="22"/>
          <w:szCs w:val="22"/>
          <w:b w:val="1"/>
          <w:bCs w:val="1"/>
          <w:color w:val="auto"/>
        </w:rPr>
        <w:t>Cap</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Controllable Operating Expenses</w:t>
      </w:r>
      <w:r>
        <w:rPr>
          <w:rFonts w:ascii="Times New Roman" w:cs="Times New Roman" w:eastAsia="Times New Roman" w:hAnsi="Times New Roman"/>
          <w:sz w:val="22"/>
          <w:szCs w:val="22"/>
          <w:color w:val="auto"/>
        </w:rPr>
        <w:t xml:space="preserve">” shall mean all Operating Expenses </w:t>
      </w: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than</w:t>
      </w:r>
      <w:r>
        <w:rPr>
          <w:rFonts w:ascii="Times New Roman" w:cs="Times New Roman" w:eastAsia="Times New Roman" w:hAnsi="Times New Roman"/>
          <w:sz w:val="22"/>
          <w:szCs w:val="22"/>
          <w:color w:val="auto"/>
        </w:rPr>
        <w:t xml:space="preserve"> RealEstate Taxes, utilities, insurance (including any commercially reasonable deductibles), snow removal and charges assessed against or attributed to the Building pursuant to any applicable declaration of protective covenants. For purposes of determining the Cap, Controllable Operating Expenses shall be quantified on an aggregate basis and not on an individual basis.</w:t>
      </w:r>
    </w:p>
    <w:p>
      <w:pPr>
        <w:spacing w:after="0" w:line="178" w:lineRule="exact"/>
        <w:rPr>
          <w:rFonts w:ascii="Times New Roman" w:cs="Times New Roman" w:eastAsia="Times New Roman" w:hAnsi="Times New Roman"/>
          <w:sz w:val="22"/>
          <w:szCs w:val="22"/>
          <w:color w:val="auto"/>
        </w:rPr>
      </w:pPr>
    </w:p>
    <w:p>
      <w:pPr>
        <w:ind w:left="752" w:right="620" w:hanging="752"/>
        <w:spacing w:after="0" w:line="249" w:lineRule="auto"/>
        <w:tabs>
          <w:tab w:leader="none" w:pos="149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Tenant’s Right to Audit</w:t>
      </w:r>
      <w:r>
        <w:rPr>
          <w:rFonts w:ascii="Times New Roman" w:cs="Times New Roman" w:eastAsia="Times New Roman" w:hAnsi="Times New Roman"/>
          <w:sz w:val="21"/>
          <w:szCs w:val="21"/>
          <w:color w:val="auto"/>
        </w:rPr>
        <w:t xml:space="preserve">. Tenant shall have the right to inspect records of Landlord which are reasonably necessary for Tenant to conduct its review of Operating Expenses for the period as to which the statement described in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xml:space="preserve"> above is rendered. Any such inspection shall be subject to the following conditions: (i) only one</w:t>
      </w:r>
    </w:p>
    <w:p>
      <w:pPr>
        <w:spacing w:after="0" w:line="1" w:lineRule="exact"/>
        <w:rPr>
          <w:rFonts w:ascii="Times New Roman" w:cs="Times New Roman" w:eastAsia="Times New Roman" w:hAnsi="Times New Roman"/>
          <w:sz w:val="21"/>
          <w:szCs w:val="21"/>
          <w:color w:val="auto"/>
        </w:rPr>
      </w:pPr>
    </w:p>
    <w:p>
      <w:pPr>
        <w:ind w:left="752" w:right="640"/>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such inspection may be performed in any calendar year, (ii) Tenant shall provide Landlord with at least ten (10) business days prior written notice of such inspection, (iii) any such inspection shall be performed on a non-contingency basis, (iv) any such inspection shall be conducted either (a) at the office reasonably designated by Landlord and shall be conducted during usual business hours or (b) by Landlord providing the applicable documentation to Tenant via an electronic portal such as Dropbox, (v) any such inspection shall be at the sole cost and expense of Tenant except as set forth below, (vi) in no event shall Tenant’s rights hereunder relieve Tenant of its obligation to pay all amounts due as and when provided in this Lease, or (vii) Tenant agrees that it will not disclose, but will keep instrict confidence, the information furnished to Tenant by Landlord, but nothing herein shall prohibit Tenant from making such disclosures as reasonably necessary to conduct such inspection to Tenant’s employees, agents, attorneys, and accountants. In the event Landlord disputes the results of Tenant’s inspection, and the parties cannot, in good faith, mutually agree upon the actual applicable charges, such matter shall be submitted to an independent certified public accountant mutually acceptable to Landlord and Tenant, whose determination of the actual charges shall be</w:t>
      </w:r>
    </w:p>
    <w:p>
      <w:pPr>
        <w:spacing w:after="0" w:line="200" w:lineRule="exact"/>
        <w:rPr>
          <w:sz w:val="20"/>
          <w:szCs w:val="20"/>
          <w:color w:val="auto"/>
        </w:rPr>
      </w:pPr>
    </w:p>
    <w:p>
      <w:pPr>
        <w:spacing w:after="0" w:line="22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12" w:name="page213"/>
    <w:bookmarkEnd w:id="212"/>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40" w:right="240"/>
        <w:spacing w:after="0" w:line="235" w:lineRule="auto"/>
        <w:rPr>
          <w:sz w:val="20"/>
          <w:szCs w:val="20"/>
          <w:color w:val="auto"/>
        </w:rPr>
      </w:pPr>
      <w:r>
        <w:rPr>
          <w:rFonts w:ascii="Times New Roman" w:cs="Times New Roman" w:eastAsia="Times New Roman" w:hAnsi="Times New Roman"/>
          <w:sz w:val="22"/>
          <w:szCs w:val="22"/>
          <w:color w:val="auto"/>
        </w:rPr>
        <w:t>binding. The cost of such independent audit shall be borne by the party whose determination of the Operating Expenses was furthest from the determination made by the independent auditor. Following the final resolution of Tenant’s inspection, Tenant shall pay to Landlord or Landlord shall credit Tenant’s account, as the case may be, within thirty (30) days of the final resolution, the amount of any excess or deficiency. If the final resolution of such audit determines that Landlord overcharged Tenant by more than ten percent (10%), Landlord shall reimburse the costs of Tenant’s audit in an amount not to exceed $5,000.00. If Tenant does not request and perform such inspection prior to the one hundred twentieth (120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day after the date on which Tenant has received the applicable statement of Annual Rent Adjustment, Tenant's rights to contest such charges shall be deemed waived.</w:t>
      </w:r>
    </w:p>
    <w:p>
      <w:pPr>
        <w:spacing w:after="0" w:line="178" w:lineRule="exact"/>
        <w:rPr>
          <w:sz w:val="20"/>
          <w:szCs w:val="20"/>
          <w:color w:val="auto"/>
        </w:rPr>
      </w:pPr>
    </w:p>
    <w:p>
      <w:pPr>
        <w:jc w:val="both"/>
        <w:ind w:left="40" w:right="240" w:firstLine="810"/>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Late Charges</w:t>
      </w:r>
      <w:r>
        <w:rPr>
          <w:rFonts w:ascii="Times New Roman" w:cs="Times New Roman" w:eastAsia="Times New Roman" w:hAnsi="Times New Roman"/>
          <w:sz w:val="22"/>
          <w:szCs w:val="22"/>
          <w:color w:val="auto"/>
        </w:rPr>
        <w:t>. Tenant acknowledges that Landlord shall incur certain additional unanticipated administrative and legal costs and expenses if Tenant fails to pay timely any payment required hereunder. Therefore, in addition to the other remedies available to Landlord hereunder, if any payment required to be paid by Tenant to Landlord hereunder shall become overdue, such unpaid amount shall bear interest from the due date thereof to the date of payment at the prime rate of interest, as reported in the Wall Street Journal (the “</w:t>
      </w:r>
      <w:r>
        <w:rPr>
          <w:rFonts w:ascii="Times New Roman" w:cs="Times New Roman" w:eastAsia="Times New Roman" w:hAnsi="Times New Roman"/>
          <w:sz w:val="22"/>
          <w:szCs w:val="22"/>
          <w:b w:val="1"/>
          <w:bCs w:val="1"/>
          <w:color w:val="auto"/>
        </w:rPr>
        <w:t>Prime Rate</w:t>
      </w:r>
      <w:r>
        <w:rPr>
          <w:rFonts w:ascii="Times New Roman" w:cs="Times New Roman" w:eastAsia="Times New Roman" w:hAnsi="Times New Roman"/>
          <w:sz w:val="22"/>
          <w:szCs w:val="22"/>
          <w:color w:val="auto"/>
        </w:rPr>
        <w:t>”) plus six percent (6%) per annum; provided, however, such interest rate shall not be less than twelve percent (12%) per annum.</w:t>
      </w:r>
    </w:p>
    <w:p>
      <w:pPr>
        <w:spacing w:after="0" w:line="208" w:lineRule="exact"/>
        <w:rPr>
          <w:sz w:val="20"/>
          <w:szCs w:val="20"/>
          <w:color w:val="auto"/>
        </w:rPr>
      </w:pPr>
    </w:p>
    <w:p>
      <w:pPr>
        <w:jc w:val="both"/>
        <w:ind w:left="40" w:right="240" w:firstLine="810"/>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Abatement of Minimum Annual Rent</w:t>
      </w:r>
      <w:r>
        <w:rPr>
          <w:rFonts w:ascii="Times New Roman" w:cs="Times New Roman" w:eastAsia="Times New Roman" w:hAnsi="Times New Roman"/>
          <w:sz w:val="22"/>
          <w:szCs w:val="22"/>
          <w:color w:val="auto"/>
        </w:rPr>
        <w:t>. Provided that Tenant shall not then be in default under any of the terms, covenants and conditions contained in this Lease beyond the expiration of any applicable notice and/or cure period, Tenant shall be entitled to an abatement (the “</w:t>
      </w:r>
      <w:r>
        <w:rPr>
          <w:rFonts w:ascii="Times New Roman" w:cs="Times New Roman" w:eastAsia="Times New Roman" w:hAnsi="Times New Roman"/>
          <w:sz w:val="22"/>
          <w:szCs w:val="22"/>
          <w:b w:val="1"/>
          <w:bCs w:val="1"/>
          <w:color w:val="auto"/>
        </w:rPr>
        <w:t>Abatement</w:t>
      </w:r>
      <w:r>
        <w:rPr>
          <w:rFonts w:ascii="Times New Roman" w:cs="Times New Roman" w:eastAsia="Times New Roman" w:hAnsi="Times New Roman"/>
          <w:sz w:val="22"/>
          <w:szCs w:val="22"/>
          <w:color w:val="auto"/>
        </w:rPr>
        <w:t>”) of all Minimum Annual Rent otherwise payable during the first six (6) months after the Commencement Date (the “</w:t>
      </w:r>
      <w:r>
        <w:rPr>
          <w:rFonts w:ascii="Times New Roman" w:cs="Times New Roman" w:eastAsia="Times New Roman" w:hAnsi="Times New Roman"/>
          <w:sz w:val="22"/>
          <w:szCs w:val="22"/>
          <w:b w:val="1"/>
          <w:bCs w:val="1"/>
          <w:color w:val="auto"/>
        </w:rPr>
        <w:t>Abatement Period</w:t>
      </w:r>
      <w:r>
        <w:rPr>
          <w:rFonts w:ascii="Times New Roman" w:cs="Times New Roman" w:eastAsia="Times New Roman" w:hAnsi="Times New Roman"/>
          <w:sz w:val="22"/>
          <w:szCs w:val="22"/>
          <w:color w:val="auto"/>
        </w:rPr>
        <w:t>”); provided, however, that during the Abatement Period, Tenant shall not be relieved of its obligation to pay any Additional Rent attributable to such period. Tenant acknowledges that the consideration for the Abatement is Tenant’s agreement to perform all of the terms, covenants and conditions of this Lease on its part to be performed. Therefore, if this Lease shall be terminated on or before the scheduled expiration date hereof by reason of Tenant’s default beyond the expiration of any applicable notice and grace period, the aggregate amount of all Minimum Annual Rental that was abated shall immediately thereafter become due and payable by Tenant to Landlord. In the event of Tenant’s failure to pay such aggregate amount to Landlord, Landlord shall be entitled to the same rights and remedies as in the event of Tenant’s default in the payment of Minimum Annual Rent.</w:t>
      </w:r>
    </w:p>
    <w:p>
      <w:pPr>
        <w:spacing w:after="0" w:line="21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4 – INTENTIONALLY OMITTED</w:t>
      </w:r>
    </w:p>
    <w:p>
      <w:pPr>
        <w:spacing w:after="0" w:line="20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5 - OCCUPANCY AND USE</w:t>
      </w:r>
    </w:p>
    <w:p>
      <w:pPr>
        <w:spacing w:after="0" w:line="224" w:lineRule="exact"/>
        <w:rPr>
          <w:sz w:val="20"/>
          <w:szCs w:val="20"/>
          <w:color w:val="auto"/>
        </w:rPr>
      </w:pPr>
    </w:p>
    <w:p>
      <w:pPr>
        <w:jc w:val="both"/>
        <w:ind w:left="40" w:right="240" w:firstLine="810"/>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Use</w:t>
      </w:r>
      <w:r>
        <w:rPr>
          <w:rFonts w:ascii="Times New Roman" w:cs="Times New Roman" w:eastAsia="Times New Roman" w:hAnsi="Times New Roman"/>
          <w:sz w:val="22"/>
          <w:szCs w:val="22"/>
          <w:color w:val="auto"/>
        </w:rPr>
        <w:t>. Tenant shall use the Leased Premises for the Permitted Use and for no other purpose without the prior written consent of Landlord. Subject to the terms and conditions of the Lease, Tenant shall have access to the Leased Premises twenty-four (24) hours per day each day of the year during the Lease Term.</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Covenants of Tenant Regarding Use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8" w:lineRule="exact"/>
        <w:rPr>
          <w:sz w:val="20"/>
          <w:szCs w:val="20"/>
          <w:color w:val="auto"/>
        </w:rPr>
      </w:pPr>
    </w:p>
    <w:p>
      <w:pPr>
        <w:ind w:left="760" w:right="560" w:hanging="752"/>
        <w:spacing w:after="0" w:line="245" w:lineRule="auto"/>
        <w:tabs>
          <w:tab w:leader="none" w:pos="1501"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(i) use and maintain the Leased Premises and conduct its business thereon in a safe, careful, reputable and lawful manner, (ii) comply with all covenants and restrictions that encumber the Building and all applicable laws, rules, regulations, orders, ordinances, directions and requirements of any governmental authority or agency, now in force orwhich may hereafter be in force (collectively, the “</w:t>
      </w:r>
      <w:r>
        <w:rPr>
          <w:rFonts w:ascii="Times New Roman" w:cs="Times New Roman" w:eastAsia="Times New Roman" w:hAnsi="Times New Roman"/>
          <w:sz w:val="21"/>
          <w:szCs w:val="21"/>
          <w:b w:val="1"/>
          <w:bCs w:val="1"/>
          <w:color w:val="auto"/>
        </w:rPr>
        <w:t>Laws</w:t>
      </w:r>
      <w:r>
        <w:rPr>
          <w:rFonts w:ascii="Times New Roman" w:cs="Times New Roman" w:eastAsia="Times New Roman" w:hAnsi="Times New Roman"/>
          <w:sz w:val="21"/>
          <w:szCs w:val="21"/>
          <w:color w:val="auto"/>
        </w:rPr>
        <w:t>”), including, without limitation, those Laws which shall impose upon Landlord or Tenant any duty with respect to or triggered by a change in the use or occupation of, or any improvement or alteration to, the Leased Premises, and</w:t>
      </w:r>
    </w:p>
    <w:p>
      <w:pPr>
        <w:spacing w:after="0" w:line="2" w:lineRule="exact"/>
        <w:rPr>
          <w:rFonts w:ascii="Times New Roman" w:cs="Times New Roman" w:eastAsia="Times New Roman" w:hAnsi="Times New Roman"/>
          <w:sz w:val="21"/>
          <w:szCs w:val="21"/>
          <w:color w:val="auto"/>
        </w:rPr>
      </w:pPr>
    </w:p>
    <w:p>
      <w:pPr>
        <w:jc w:val="both"/>
        <w:ind w:left="60" w:right="240" w:firstLine="4"/>
        <w:spacing w:after="0" w:line="234" w:lineRule="auto"/>
        <w:tabs>
          <w:tab w:leader="none" w:pos="45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comply with and obey all reasonable rules and regulations of Landlord, including the Building rules and regulations attached hereto as </w:t>
      </w:r>
      <w:r>
        <w:rPr>
          <w:rFonts w:ascii="Times New Roman" w:cs="Times New Roman" w:eastAsia="Times New Roman" w:hAnsi="Times New Roman"/>
          <w:sz w:val="22"/>
          <w:szCs w:val="22"/>
          <w:b w:val="1"/>
          <w:bCs w:val="1"/>
          <w:u w:val="single" w:color="auto"/>
          <w:color w:val="auto"/>
        </w:rPr>
        <w:t>Exhibit E</w:t>
      </w:r>
      <w:r>
        <w:rPr>
          <w:rFonts w:ascii="Times New Roman" w:cs="Times New Roman" w:eastAsia="Times New Roman" w:hAnsi="Times New Roman"/>
          <w:sz w:val="22"/>
          <w:szCs w:val="22"/>
          <w:color w:val="auto"/>
        </w:rPr>
        <w:t xml:space="preserve"> and made a part hereof (the “</w:t>
      </w:r>
      <w:r>
        <w:rPr>
          <w:rFonts w:ascii="Times New Roman" w:cs="Times New Roman" w:eastAsia="Times New Roman" w:hAnsi="Times New Roman"/>
          <w:sz w:val="22"/>
          <w:szCs w:val="22"/>
          <w:b w:val="1"/>
          <w:bCs w:val="1"/>
          <w:color w:val="auto"/>
        </w:rPr>
        <w:t>Rules and Regulations</w:t>
      </w:r>
      <w:r>
        <w:rPr>
          <w:rFonts w:ascii="Times New Roman" w:cs="Times New Roman" w:eastAsia="Times New Roman" w:hAnsi="Times New Roman"/>
          <w:sz w:val="22"/>
          <w:szCs w:val="22"/>
          <w:color w:val="auto"/>
        </w:rPr>
        <w:t>”), as such Rules and Regulations may be modified from time to time by Landlord upon written notice to Tenant. In the event of a conflict between the Rules and Regulations and the provisions of this Lease, the provisions of this Lease shall govern and control.</w:t>
      </w:r>
    </w:p>
    <w:p>
      <w:pPr>
        <w:spacing w:after="0" w:line="204" w:lineRule="exact"/>
        <w:rPr>
          <w:rFonts w:ascii="Times New Roman" w:cs="Times New Roman" w:eastAsia="Times New Roman" w:hAnsi="Times New Roman"/>
          <w:sz w:val="22"/>
          <w:szCs w:val="22"/>
          <w:color w:val="auto"/>
        </w:rPr>
      </w:pPr>
    </w:p>
    <w:p>
      <w:pPr>
        <w:ind w:left="1500" w:hanging="1492"/>
        <w:spacing w:after="0"/>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do or permit anything to be done in or about the Leased Premises that will in any way cause</w:t>
      </w:r>
    </w:p>
    <w:p>
      <w:pPr>
        <w:spacing w:after="0" w:line="14" w:lineRule="exact"/>
        <w:rPr>
          <w:sz w:val="20"/>
          <w:szCs w:val="20"/>
          <w:color w:val="auto"/>
        </w:rPr>
      </w:pPr>
    </w:p>
    <w:p>
      <w:pPr>
        <w:ind w:left="760" w:right="500"/>
        <w:spacing w:after="0" w:line="232" w:lineRule="auto"/>
        <w:rPr>
          <w:sz w:val="20"/>
          <w:szCs w:val="20"/>
          <w:color w:val="auto"/>
        </w:rPr>
      </w:pPr>
      <w:r>
        <w:rPr>
          <w:rFonts w:ascii="Times New Roman" w:cs="Times New Roman" w:eastAsia="Times New Roman" w:hAnsi="Times New Roman"/>
          <w:sz w:val="22"/>
          <w:szCs w:val="22"/>
          <w:color w:val="auto"/>
        </w:rPr>
        <w:t>a nuisance, obstruct or interfere with the rights of other tenants or occupants of the Park or injure them. Landlord shall not be responsible to Tenant for the non- performance by any other tenant or occupant of the Park of Landlord’s directions or any of the Rules and Regulations, but Landlord agrees that any enforcement thereof shall be done uniformly. Tenant shall not overload the floors of the Leased Premises. All damage to the floor structure or foundation of the Building due to improper positioning or storage of items or materials shall be repaired by Landlord at the sole expense of Tenant, who shall reimburse Landlord immediately therefor upon demand. Tenant shall not use the Leased Premises, nor allow the Leased Premises to be used, for any purpose or in any manner that would (i) invalidate any policy of insurance now or hereafter carried by Landlord on the Building, or (ii) increase the rate of premiums payable on any such insurance policy unless Tenant reimburses Landlord for any such increase in premiums charged.</w:t>
      </w:r>
    </w:p>
    <w:p>
      <w:pPr>
        <w:spacing w:after="0" w:line="2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Landlord’s Rights Regarding Use</w:t>
      </w:r>
      <w:r>
        <w:rPr>
          <w:rFonts w:ascii="Times New Roman" w:cs="Times New Roman" w:eastAsia="Times New Roman" w:hAnsi="Times New Roman"/>
          <w:sz w:val="22"/>
          <w:szCs w:val="22"/>
          <w:color w:val="auto"/>
        </w:rPr>
        <w:t>. In addition to Landlord’s rights specified elsewhere in this Lease,</w:t>
      </w:r>
    </w:p>
    <w:p>
      <w:pPr>
        <w:spacing w:after="0" w:line="14" w:lineRule="exact"/>
        <w:rPr>
          <w:sz w:val="20"/>
          <w:szCs w:val="20"/>
          <w:color w:val="auto"/>
        </w:rPr>
      </w:pPr>
    </w:p>
    <w:p>
      <w:pPr>
        <w:jc w:val="both"/>
        <w:ind w:left="60" w:right="240" w:firstLine="4"/>
        <w:spacing w:after="0" w:line="231" w:lineRule="auto"/>
        <w:tabs>
          <w:tab w:leader="none" w:pos="35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at any time, with reasonable prior notice to Tenant (except in the event of emergency where no such notice shall be required), to Tenant, to control, change or otherwise alter the Common Areas in such manner as it deems reasonably necessary or proper, and (b) Landlord, its agents, employees, representatives, consultants, contractors and any mortgagees of the Building, shall have the right (but not the obligation) to enter any part of the Leased Premises at reasonable times upon reasonable notice (at least twenty- four hours’) (except in the event of an emergency where no notice shall be required) and to enter upon the Building for the purposes of examining or inspecting the same (including, without limitation, testing to confirm Tenant’s compliance with this Lease), showing the same to prospective purchasers or mortgagees or, during the last twelve (12) months of the Lease Term, to tenants, and making such repairs, alterations or improvements to the Leased Premises or the Building as Landlord may deem reasonably necessary or desirable. Landlord shall incur no liability to Tenant for such entry, nor shall such entry constitute an eviction of Tenant or a termination of this Lease, or entitle Tenant to any abatement of rent therefor. Except in the event of an emergency, at Tenant’s election, a Tenant representative shall be permitted to be present with Landlord (or its agents or representatives) while in the Leased Premises. Except in the event of an emergency, Landlord shall use commercially reasonable efforts to not unreasonably disrupt Tenant's normal business operations in the Leased Premises in connection with any such entry.</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14" w:name="page215"/>
    <w:bookmarkEnd w:id="214"/>
    <w:p>
      <w:pPr>
        <w:ind w:left="996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60" w:right="240"/>
        <w:spacing w:after="0" w:line="238" w:lineRule="auto"/>
        <w:rPr>
          <w:sz w:val="20"/>
          <w:szCs w:val="20"/>
          <w:color w:val="auto"/>
        </w:rPr>
      </w:pPr>
      <w:r>
        <w:rPr>
          <w:rFonts w:ascii="Times New Roman" w:cs="Times New Roman" w:eastAsia="Times New Roman" w:hAnsi="Times New Roman"/>
          <w:sz w:val="22"/>
          <w:szCs w:val="22"/>
          <w:color w:val="auto"/>
        </w:rPr>
        <w:t>For any planned major repairs or replacements within the Building, Landlord shall give Tenant reasonable prior written notice (including details about the scope of such repairs or replacements) (except in the event of an emergency where no notice shall be required), provided that the prior written notice is sufficient to allow enough time for Tenant to move Tenant’s Property and critical operations from the area affected by Landlord’s work related to such major repairs or replacements (except in the event of an emergency where no notice shall be required).</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Signage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60" w:right="240" w:firstLine="813"/>
        <w:spacing w:after="0" w:line="246" w:lineRule="auto"/>
        <w:tabs>
          <w:tab w:leader="none" w:pos="1164"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applicable Laws and the approval of the Landlord and the owners association(s) for the Park, Tenant may, at Tenant’s sole cost and expense, erect sign(s) concerning the business of Tenant that shall be in keeping with the decor and other signs in the Park, including wayfinding, monument or Building exterior signs. All signage (including the signage described in the preceding sentence) in or about the Leased Premises shall be first approved by Landlord (which approval shall not be unreasonably withheld, conditioned or delayed) and the owners association(s) for the Park, and shall be in compliance with any Laws and recorded restrictions applicable to the sign or the Building. The location, size and style of all signs shall be approved by Landlord (which approval shall not be unreasonably withheld, conditioned or delayed) and the owners association(s) for the Park. Tenant agrees to maintain any sign installed by or on behalf of Tenant in a reasonably good state of repair, and, upon the expiration of the Lease Term, Tenant agrees to promptly remove such signs and repair any damage to the Leased Premises or the Building, normal wear and tear and casualty excepted.</w:t>
      </w:r>
    </w:p>
    <w:p>
      <w:pPr>
        <w:spacing w:after="0" w:line="197" w:lineRule="exact"/>
        <w:rPr>
          <w:rFonts w:ascii="Times New Roman" w:cs="Times New Roman" w:eastAsia="Times New Roman" w:hAnsi="Times New Roman"/>
          <w:sz w:val="21"/>
          <w:szCs w:val="21"/>
          <w:color w:val="auto"/>
        </w:rPr>
      </w:pPr>
    </w:p>
    <w:p>
      <w:pPr>
        <w:ind w:left="760" w:right="820" w:hanging="752"/>
        <w:spacing w:after="0" w:line="261" w:lineRule="auto"/>
        <w:tabs>
          <w:tab w:leader="none" w:pos="150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may install such other signs, advertisements, notices or tenant identification information on the tenant access doors or other areas of the Building, as it shall deem reasonably necessary or proper, or as otherwise approved by Tenant, which approval shall not be unreasonably withheld, conditioned or delayed.</w:t>
      </w:r>
    </w:p>
    <w:p>
      <w:pPr>
        <w:spacing w:after="0" w:line="157" w:lineRule="exact"/>
        <w:rPr>
          <w:rFonts w:ascii="Times New Roman" w:cs="Times New Roman" w:eastAsia="Times New Roman" w:hAnsi="Times New Roman"/>
          <w:sz w:val="21"/>
          <w:szCs w:val="21"/>
          <w:color w:val="auto"/>
        </w:rPr>
      </w:pPr>
    </w:p>
    <w:p>
      <w:pPr>
        <w:ind w:left="760" w:right="500" w:hanging="752"/>
        <w:spacing w:after="0" w:line="244" w:lineRule="auto"/>
        <w:tabs>
          <w:tab w:leader="none" w:pos="150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place any exterior signs on the Leased Premises or interior signs visible from the exterior of the Leased Premises without the prior written consent of Landlord, which consent shall not be unreasonably withheld, conditioned or delayed.</w:t>
      </w:r>
    </w:p>
    <w:p>
      <w:pPr>
        <w:spacing w:after="0" w:line="173" w:lineRule="exact"/>
        <w:rPr>
          <w:rFonts w:ascii="Times New Roman" w:cs="Times New Roman" w:eastAsia="Times New Roman" w:hAnsi="Times New Roman"/>
          <w:sz w:val="22"/>
          <w:szCs w:val="22"/>
          <w:color w:val="auto"/>
        </w:rPr>
      </w:pPr>
    </w:p>
    <w:p>
      <w:pPr>
        <w:ind w:left="760" w:right="700" w:hanging="752"/>
        <w:spacing w:after="0" w:line="258" w:lineRule="auto"/>
        <w:tabs>
          <w:tab w:leader="none" w:pos="150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Lease to the contrary, Landlord may immediately remove any sign(s) placed by Tenant in violation of this </w:t>
      </w:r>
      <w:r>
        <w:rPr>
          <w:rFonts w:ascii="Times New Roman" w:cs="Times New Roman" w:eastAsia="Times New Roman" w:hAnsi="Times New Roman"/>
          <w:sz w:val="22"/>
          <w:szCs w:val="22"/>
          <w:u w:val="single" w:color="auto"/>
          <w:color w:val="auto"/>
        </w:rPr>
        <w:t>Section 5.04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0" w:right="240" w:firstLine="810"/>
        <w:spacing w:after="0" w:line="248" w:lineRule="auto"/>
        <w:rPr>
          <w:sz w:val="20"/>
          <w:szCs w:val="20"/>
          <w:color w:val="auto"/>
        </w:rPr>
      </w:pP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Parking</w:t>
      </w:r>
      <w:r>
        <w:rPr>
          <w:rFonts w:ascii="Times New Roman" w:cs="Times New Roman" w:eastAsia="Times New Roman" w:hAnsi="Times New Roman"/>
          <w:sz w:val="21"/>
          <w:szCs w:val="21"/>
          <w:color w:val="auto"/>
        </w:rPr>
        <w:t xml:space="preserve">. Subject to applicable Laws and governmental approvals, Tenant shall be entitled to use the parking area designated on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attached hereto as the “</w:t>
      </w:r>
      <w:r>
        <w:rPr>
          <w:rFonts w:ascii="Times New Roman" w:cs="Times New Roman" w:eastAsia="Times New Roman" w:hAnsi="Times New Roman"/>
          <w:sz w:val="21"/>
          <w:szCs w:val="21"/>
          <w:b w:val="1"/>
          <w:bCs w:val="1"/>
          <w:color w:val="auto"/>
        </w:rPr>
        <w:t>Parking Area</w:t>
      </w:r>
      <w:r>
        <w:rPr>
          <w:rFonts w:ascii="Times New Roman" w:cs="Times New Roman" w:eastAsia="Times New Roman" w:hAnsi="Times New Roman"/>
          <w:sz w:val="21"/>
          <w:szCs w:val="21"/>
          <w:color w:val="auto"/>
        </w:rPr>
        <w:t xml:space="preserve">” during the Lease Term (including any extensions), which Parking Area shall be exclusive to Tenant. Notwithstanding the foregoing, Tenant and Landlord acknowledge and agree that the intent of the Parking Area shown on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is to indicate potential available capacity, not a specific number of parking spaces. Notwithstanding anything contained in this Lease to the contrary, any formal designation of parking and association permitting and/or improvements are the Tenant’s sole responsibility. No vehicle may be repaired or serviced in the parking area. There shall be no parking permitted on any of the streets or roadways located within the Park.</w:t>
      </w:r>
    </w:p>
    <w:p>
      <w:pPr>
        <w:spacing w:after="0" w:line="19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6 - UTILITIES AND OTHER BUILDING SERVICES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15" w:name="page216"/>
    <w:bookmarkEnd w:id="215"/>
    <w:p>
      <w:pPr>
        <w:ind w:left="996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Services to be Provided</w:t>
      </w:r>
      <w:r>
        <w:rPr>
          <w:rFonts w:ascii="Times New Roman" w:cs="Times New Roman" w:eastAsia="Times New Roman" w:hAnsi="Times New Roman"/>
          <w:sz w:val="22"/>
          <w:szCs w:val="22"/>
          <w:color w:val="auto"/>
        </w:rPr>
        <w:t>. Provided Tenant is not in default beyond applicable notice and cure periods,</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Landlord shall furnish to Tenant, except as noted below, the following utilities and other services:</w:t>
      </w:r>
    </w:p>
    <w:p>
      <w:pPr>
        <w:spacing w:after="0" w:line="209" w:lineRule="exact"/>
        <w:rPr>
          <w:sz w:val="20"/>
          <w:szCs w:val="20"/>
          <w:color w:val="auto"/>
        </w:rPr>
      </w:pPr>
    </w:p>
    <w:p>
      <w:pPr>
        <w:ind w:left="1720" w:hanging="827"/>
        <w:spacing w:after="0"/>
        <w:tabs>
          <w:tab w:leader="none" w:pos="172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Electrical service under account of Landlord (if any)</w:t>
      </w:r>
    </w:p>
    <w:p>
      <w:pPr>
        <w:spacing w:after="0" w:line="233" w:lineRule="exact"/>
        <w:rPr>
          <w:rFonts w:ascii="Times New Roman" w:cs="Times New Roman" w:eastAsia="Times New Roman" w:hAnsi="Times New Roman"/>
          <w:sz w:val="22"/>
          <w:szCs w:val="22"/>
          <w:color w:val="auto"/>
        </w:rPr>
      </w:pPr>
    </w:p>
    <w:p>
      <w:pPr>
        <w:ind w:left="1720" w:hanging="827"/>
        <w:spacing w:after="0"/>
        <w:tabs>
          <w:tab w:leader="none" w:pos="172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and sewer service for the Landlord’s meter</w:t>
      </w:r>
    </w:p>
    <w:p>
      <w:pPr>
        <w:spacing w:after="0" w:line="233" w:lineRule="exact"/>
        <w:rPr>
          <w:rFonts w:ascii="Times New Roman" w:cs="Times New Roman" w:eastAsia="Times New Roman" w:hAnsi="Times New Roman"/>
          <w:sz w:val="22"/>
          <w:szCs w:val="22"/>
          <w:color w:val="auto"/>
        </w:rPr>
      </w:pPr>
    </w:p>
    <w:p>
      <w:pPr>
        <w:ind w:left="760" w:right="1220" w:hanging="752"/>
        <w:spacing w:after="0" w:line="258" w:lineRule="auto"/>
        <w:tabs>
          <w:tab w:leader="none" w:pos="150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of the Building and Common Areas except to the extent such maintenance is Tenant’s responsibility hereunder;</w:t>
      </w:r>
    </w:p>
    <w:p>
      <w:pPr>
        <w:spacing w:after="0" w:line="185" w:lineRule="exact"/>
        <w:rPr>
          <w:rFonts w:ascii="Times New Roman" w:cs="Times New Roman" w:eastAsia="Times New Roman" w:hAnsi="Times New Roman"/>
          <w:sz w:val="22"/>
          <w:szCs w:val="22"/>
          <w:color w:val="auto"/>
        </w:rPr>
      </w:pPr>
    </w:p>
    <w:p>
      <w:pPr>
        <w:ind w:left="760" w:right="880" w:hanging="752"/>
        <w:spacing w:after="0" w:line="258" w:lineRule="auto"/>
        <w:tabs>
          <w:tab w:leader="none" w:pos="150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Replacement of all lamps, bulbs, starters and ballasts in the Common Areas as required from time to time as a result of normal usage; and</w:t>
      </w:r>
    </w:p>
    <w:p>
      <w:pPr>
        <w:spacing w:after="0" w:line="185" w:lineRule="exact"/>
        <w:rPr>
          <w:rFonts w:ascii="Times New Roman" w:cs="Times New Roman" w:eastAsia="Times New Roman" w:hAnsi="Times New Roman"/>
          <w:sz w:val="22"/>
          <w:szCs w:val="22"/>
          <w:color w:val="auto"/>
        </w:rPr>
      </w:pPr>
    </w:p>
    <w:p>
      <w:pPr>
        <w:ind w:left="1720" w:hanging="827"/>
        <w:spacing w:after="0"/>
        <w:tabs>
          <w:tab w:leader="none" w:pos="172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Repair and maintenance to the extent expressly specified elsewhere in this Lease.</w:t>
      </w:r>
    </w:p>
    <w:p>
      <w:pPr>
        <w:spacing w:after="0" w:line="233" w:lineRule="exact"/>
        <w:rPr>
          <w:sz w:val="20"/>
          <w:szCs w:val="20"/>
          <w:color w:val="auto"/>
        </w:rPr>
      </w:pPr>
    </w:p>
    <w:p>
      <w:pPr>
        <w:jc w:val="both"/>
        <w:ind w:left="60" w:right="240" w:firstLine="810"/>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of Utilities</w:t>
      </w:r>
      <w:r>
        <w:rPr>
          <w:rFonts w:ascii="Times New Roman" w:cs="Times New Roman" w:eastAsia="Times New Roman" w:hAnsi="Times New Roman"/>
          <w:sz w:val="22"/>
          <w:szCs w:val="22"/>
          <w:color w:val="auto"/>
        </w:rPr>
        <w:t>. Tenant shall obtain in its own name and pay directly to the appropriate supplier the cost of all separately metered utilities or services serving the Leased Premises. With respect to any utilities or services that are jointly metered with other premises, Landlord shall make a reasonable determination of Tenant’s proportionate share of the cost of such utilities and services (at rates that would have been payable if such utilities and services had been directly billed by the utilities or services providers) and Tenant shall pay such share to Landlord within thirty (30) days after receipt of Landlord’s written statement.</w:t>
      </w:r>
    </w:p>
    <w:p>
      <w:pPr>
        <w:spacing w:after="0" w:line="208" w:lineRule="exact"/>
        <w:rPr>
          <w:sz w:val="20"/>
          <w:szCs w:val="20"/>
          <w:color w:val="auto"/>
        </w:rPr>
      </w:pPr>
    </w:p>
    <w:p>
      <w:pPr>
        <w:jc w:val="both"/>
        <w:ind w:left="60" w:right="240" w:firstLine="810"/>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Interruption of Services</w:t>
      </w:r>
      <w:r>
        <w:rPr>
          <w:rFonts w:ascii="Times New Roman" w:cs="Times New Roman" w:eastAsia="Times New Roman" w:hAnsi="Times New Roman"/>
          <w:sz w:val="22"/>
          <w:szCs w:val="22"/>
          <w:color w:val="auto"/>
        </w:rPr>
        <w:t xml:space="preserve">. Tenant acknowledges and agrees that any one or more of the utilities or other services identified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above or otherwise hereunder may be interrupted by reason of accident, emergency or other causes beyond Landlord’s control, or may be discontinued or diminished temporarily by Landlord or other persons until certain repairs, alterations or improvements can be made. Landlord shall not be liable in damages or otherwise for any failure or interruption of any utility or other Building service and no such failure or interruption shall entitle Tenant to terminate this Lease or withhold sums due hereunder. Notwithstanding the foregoing, in the event (i) the utilities serving the Leased Premises are interrupted due to Landlord’s gross negligence or willful misconduct, (ii) such condition prevents Tenant from using all or a portion of the Leased Premises for the purposes permitted hereunder,</w:t>
      </w:r>
    </w:p>
    <w:p>
      <w:pPr>
        <w:spacing w:after="0" w:line="3" w:lineRule="exact"/>
        <w:rPr>
          <w:sz w:val="20"/>
          <w:szCs w:val="20"/>
          <w:color w:val="auto"/>
        </w:rPr>
      </w:pPr>
    </w:p>
    <w:p>
      <w:pPr>
        <w:ind w:left="60" w:right="280" w:firstLine="4"/>
        <w:spacing w:after="0" w:line="234" w:lineRule="auto"/>
        <w:tabs>
          <w:tab w:leader="none" w:pos="84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such failure or interruption continues for five (5) consecutive business days after Tenant provides written notice of such condition to Landlord, then the Monthly Rental Installments shall abate as to that portion of the Leased Premises that is rendered untenantable for the purpose provided herein with such abatement commencing upon the expiration of the five (5) business day period and continuing for so long as the failure or interruption exists.</w:t>
      </w:r>
    </w:p>
    <w:p>
      <w:pPr>
        <w:spacing w:after="0" w:line="2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u w:val="single" w:color="auto"/>
          <w:color w:val="auto"/>
        </w:rPr>
        <w:t>ARTICLE 7 - REPAIRS, MAINTENANCE AND ALTERATIONS</w:t>
      </w:r>
    </w:p>
    <w:p>
      <w:pPr>
        <w:spacing w:after="0" w:line="210" w:lineRule="exact"/>
        <w:rPr>
          <w:sz w:val="20"/>
          <w:szCs w:val="20"/>
          <w:color w:val="auto"/>
        </w:rPr>
      </w:pPr>
    </w:p>
    <w:p>
      <w:pPr>
        <w:jc w:val="both"/>
        <w:ind w:left="60" w:right="240" w:firstLine="912"/>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Repair and Maintenance of Building</w:t>
      </w:r>
      <w:r>
        <w:rPr>
          <w:rFonts w:ascii="Times New Roman" w:cs="Times New Roman" w:eastAsia="Times New Roman" w:hAnsi="Times New Roman"/>
          <w:sz w:val="22"/>
          <w:szCs w:val="22"/>
          <w:color w:val="auto"/>
        </w:rPr>
        <w:t>. Landlord shall make all necessary repairs and replacements to the slab, roof, exterior walls, foundation, structural frame, exterior lighting (wall packs and soffit) of the Building and the parking and landscaped areas (during applicable warranty period only) and other Common Areas not intended to be maintained by</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16" w:name="page217"/>
    <w:bookmarkEnd w:id="216"/>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40" w:right="240"/>
        <w:spacing w:after="0" w:line="235" w:lineRule="auto"/>
        <w:rPr>
          <w:sz w:val="20"/>
          <w:szCs w:val="20"/>
          <w:color w:val="auto"/>
        </w:rPr>
      </w:pPr>
      <w:r>
        <w:rPr>
          <w:rFonts w:ascii="Times New Roman" w:cs="Times New Roman" w:eastAsia="Times New Roman" w:hAnsi="Times New Roman"/>
          <w:sz w:val="22"/>
          <w:szCs w:val="22"/>
          <w:color w:val="auto"/>
        </w:rPr>
        <w:t xml:space="preserve">Tenant (including, but not limited to, the parking lot lights, underground irrigation, paved surfaces, curbs and storm water systems). Landlord shall also make all necessary replacements to fans and exhaust equipment supplied as building shell; provided that Tenant is responsible for the maintenance and repair of such fans and exhaust equipment supplied or installed as part of the Tenant Improvements. The cost of such repairs, replacements and maintenance shall be included in Operating Expenses to the extent provided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provided however, to the extent any such repairs, replacements or maintenance are required because of the negligence, misuse or default of Tenant, its employees, agents, contractors, customers or invitees, Landlord shall make such repairs at Tenant’s sole expense.</w:t>
      </w:r>
    </w:p>
    <w:p>
      <w:pPr>
        <w:spacing w:after="0" w:line="210" w:lineRule="exact"/>
        <w:rPr>
          <w:sz w:val="20"/>
          <w:szCs w:val="20"/>
          <w:color w:val="auto"/>
        </w:rPr>
      </w:pPr>
    </w:p>
    <w:p>
      <w:pPr>
        <w:jc w:val="both"/>
        <w:ind w:left="40" w:right="240" w:firstLine="810"/>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Repair and Maintenance of Leased Premises</w:t>
      </w:r>
      <w:r>
        <w:rPr>
          <w:rFonts w:ascii="Times New Roman" w:cs="Times New Roman" w:eastAsia="Times New Roman" w:hAnsi="Times New Roman"/>
          <w:sz w:val="22"/>
          <w:szCs w:val="22"/>
          <w:color w:val="auto"/>
        </w:rPr>
        <w:t>. Tenant shall, at its own cost and expense, maintain the Leased Premises in reasonably good condition, regularly servicing and promptly making all repairs and replacements thereto (except for repairs and replacements expressly set forth in Section 7.01 above to be made by Landlord), including but not limited to the electrical system, plumbing, lighting, heating, ventilating and air conditioning (“</w:t>
      </w:r>
      <w:r>
        <w:rPr>
          <w:rFonts w:ascii="Times New Roman" w:cs="Times New Roman" w:eastAsia="Times New Roman" w:hAnsi="Times New Roman"/>
          <w:sz w:val="22"/>
          <w:szCs w:val="22"/>
          <w:b w:val="1"/>
          <w:bCs w:val="1"/>
          <w:color w:val="auto"/>
        </w:rPr>
        <w:t>HVAC</w:t>
      </w:r>
      <w:r>
        <w:rPr>
          <w:rFonts w:ascii="Times New Roman" w:cs="Times New Roman" w:eastAsia="Times New Roman" w:hAnsi="Times New Roman"/>
          <w:sz w:val="22"/>
          <w:szCs w:val="22"/>
          <w:color w:val="auto"/>
        </w:rPr>
        <w:t>”) system, plate glass, floors, windows and doors, and dock doors, dock levelers and dock locks, the landscaped areas (upon written notice from Landlord following the applicable warranty period), irrigation (upon written notice from Landlord following the applicable warranty period), snow and ice removal, and fire life safety systems (including, but not limited to routine maintenance and repairs to all portions of the fire life safety systems and fire system monitoring). Tenant shall obtain a preventive maintenance contract on the HVAC system and provide Landlord with a copy thereof. The preventive maintenance contract shall meet or exceed manufacturer’s standard maintenance criteria and service intervals, and shall provide for the inspection and maintenance of the HVAC system on at least a semi-annual basis. To the extent any warranties and/or guaranties received by Landlord from its contractors are assignable, Landlord will make these warranties and/or guaranties available to Tenant for its benefit.</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Alterations</w:t>
      </w:r>
      <w:r>
        <w:rPr>
          <w:rFonts w:ascii="Times New Roman" w:cs="Times New Roman" w:eastAsia="Times New Roman" w:hAnsi="Times New Roman"/>
          <w:sz w:val="22"/>
          <w:szCs w:val="22"/>
          <w:color w:val="auto"/>
        </w:rPr>
        <w:t>. Except for cosmetic, non-structural alterations not exceeding</w:t>
      </w:r>
    </w:p>
    <w:p>
      <w:pPr>
        <w:spacing w:after="0" w:line="14" w:lineRule="exact"/>
        <w:rPr>
          <w:sz w:val="20"/>
          <w:szCs w:val="20"/>
          <w:color w:val="auto"/>
        </w:rPr>
      </w:pPr>
    </w:p>
    <w:p>
      <w:pPr>
        <w:jc w:val="both"/>
        <w:ind w:left="40" w:right="240"/>
        <w:spacing w:after="0" w:line="231" w:lineRule="auto"/>
        <w:rPr>
          <w:sz w:val="20"/>
          <w:szCs w:val="20"/>
          <w:color w:val="auto"/>
        </w:rPr>
      </w:pPr>
      <w:r>
        <w:rPr>
          <w:rFonts w:ascii="Times New Roman" w:cs="Times New Roman" w:eastAsia="Times New Roman" w:hAnsi="Times New Roman"/>
          <w:sz w:val="22"/>
          <w:szCs w:val="22"/>
          <w:color w:val="auto"/>
        </w:rPr>
        <w:t>$100,000.00 in cost per Lease Year, Tenant shall not permit alterations in or to the Leased Premises unless and until Landlord has approved the plans therefor in writing, which approval shall not be unreasonably withheld, conditioned, or delayed. Subject to Landlord’s prior written approval, which approval shall not be unreasonably withheld, conditioned or delayed, Tenant may install a security system for the Leased Premises. As a condition of such approval, Landlord may, in Landlord’s sole discretion in accordance with the terms of the Lease (including Section 2.03), require Tenant to remove the alteration and restore the Leased Premises to its pre-alterations condition upon expiration or earlier termination of this Lease; otherwise, all such alterations shall, at Landlord’s option in accordance with the terms of the Lease, become a part of the realty and the property of Landlord and shall not be removed by Tenant. Tenant shall ensure that all alterations shall be made in accordance with all applicable Laws, in a good and workmanlike manner and of quality at least equal to the original construction of the Building. No person shall be entitled to any lien derived through or under Tenant for any labor or material furnished to the Leased Premises, and nothing in this Lease shall be construed to constitute Landlord’s consent to the creation of any lien. If any lien is filed against the Leased Premises for work claimed to have been done for or material claimed to have been furnished to Tenant, Tenant shall cause such lien to be discharged of record within thirty (30) days after filing. Tenant shall indemnify Landlord from all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costs, losses, expenses and attorneys’ fees in connection with any construction or alteration and any related lien.</w:t>
      </w:r>
    </w:p>
    <w:p>
      <w:pPr>
        <w:spacing w:after="0" w:line="2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8 - INDEMNITY AND INSURANCE</w:t>
      </w:r>
    </w:p>
    <w:p>
      <w:pPr>
        <w:spacing w:after="0" w:line="210" w:lineRule="exact"/>
        <w:rPr>
          <w:sz w:val="20"/>
          <w:szCs w:val="20"/>
          <w:color w:val="auto"/>
        </w:rPr>
      </w:pPr>
    </w:p>
    <w:p>
      <w:pPr>
        <w:jc w:val="both"/>
        <w:ind w:left="40" w:right="240" w:firstLine="810"/>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All of Tenant’s trade fixtures, merchandise, inventory, special fire protection equipment, telecommunication and computer equipment, supplemental air conditioning equipment, kitchen equipment and all other personal property located in or about the Leased Premises, the Building or the Common Areas, which is deemed to include the trade fixtures, merchandise, inventory and personal property of others located in or about the Leased Premises or Common Areas at the invitation, direction or acquiescence (express or implied) of Tenant (all of which property shall be referred to herein, collectively, as “</w:t>
      </w:r>
      <w:r>
        <w:rPr>
          <w:rFonts w:ascii="Times New Roman" w:cs="Times New Roman" w:eastAsia="Times New Roman" w:hAnsi="Times New Roman"/>
          <w:sz w:val="22"/>
          <w:szCs w:val="22"/>
          <w:b w:val="1"/>
          <w:bCs w:val="1"/>
          <w:color w:val="auto"/>
        </w:rPr>
        <w:t>Tenant’s Property</w:t>
      </w:r>
      <w:r>
        <w:rPr>
          <w:rFonts w:ascii="Times New Roman" w:cs="Times New Roman" w:eastAsia="Times New Roman" w:hAnsi="Times New Roman"/>
          <w:sz w:val="22"/>
          <w:szCs w:val="22"/>
          <w:color w:val="auto"/>
        </w:rPr>
        <w:t xml:space="preserve">”), shall be and remain at Tenant’s sole risk. Landlord shall not be liable to Tenant or to any other person for, and Tenant hereby releases Landlord (and its affiliates, property managers and mortgagees) from (a) any and all liability for theft of or damage to Tenant’s Property, and (b) any and all liability for any injury to Tenant or its employees, agents, representatives, contractors, customers, guests and invitees in or about the Leased Premises, the Building, the Common Areas or the Park, except to the extent of personal injury caused directly by the sole negligence or willful misconduct of Landlord, its agents, employees or contractors. Nothing contained in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shall limit (or be deemed to limit) the waivers contained in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below. In the event of any conflict between the provisions of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below and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shall prevail. This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 xml:space="preserve"> shall survive the expiration or earlier termination of this Lease.</w:t>
      </w:r>
    </w:p>
    <w:p>
      <w:pPr>
        <w:spacing w:after="0" w:line="180" w:lineRule="exact"/>
        <w:rPr>
          <w:sz w:val="20"/>
          <w:szCs w:val="20"/>
          <w:color w:val="auto"/>
        </w:rPr>
      </w:pPr>
    </w:p>
    <w:p>
      <w:pPr>
        <w:jc w:val="both"/>
        <w:ind w:left="40" w:right="240" w:firstLine="810"/>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Indemnification by Tenant</w:t>
      </w:r>
      <w:r>
        <w:rPr>
          <w:rFonts w:ascii="Times New Roman" w:cs="Times New Roman" w:eastAsia="Times New Roman" w:hAnsi="Times New Roman"/>
          <w:sz w:val="21"/>
          <w:szCs w:val="21"/>
          <w:color w:val="auto"/>
        </w:rPr>
        <w:t>. Tenant shall protect, defend, indemnify and hold harmless Landlord, its agents, employees and contractors of all tiers from and against any and all claims, damages, demands, penalties, costs, liabilities, losses, and expenses (including reasonable attorneys’ fees and expenses at the trial and appellate levels) to the extent</w:t>
      </w:r>
    </w:p>
    <w:p>
      <w:pPr>
        <w:spacing w:after="0" w:line="1" w:lineRule="exact"/>
        <w:rPr>
          <w:sz w:val="20"/>
          <w:szCs w:val="20"/>
          <w:color w:val="auto"/>
        </w:rPr>
      </w:pPr>
    </w:p>
    <w:p>
      <w:pPr>
        <w:jc w:val="both"/>
        <w:ind w:left="40" w:right="240" w:firstLine="4"/>
        <w:spacing w:after="0" w:line="232" w:lineRule="auto"/>
        <w:tabs>
          <w:tab w:leader="none" w:pos="39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arising out of or relating to any act, omission, negligence, or willful misconduct of Tenant or Tenant’s agents, representatives, guests, employees, contractors, customers or invitees in or about the Leased Premises, the Building, the Common Areas or the Park, (b) arising out of or relating to any of Tenant’s Property, or (c) arising out of any other act or occurrence within the Leased Premises, in all such cases except to the extent caused directly by the negligence or willful misconduct of Landlord, its agents, employees or contractors. Nothing contained in 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shall limit (or be deemed to limit) the waivers contained in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below. In the event of any conflict between the provisions of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below and 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shall prevail. This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shall survive the expiration or earlier termination of this Lease.</w:t>
      </w:r>
    </w:p>
    <w:p>
      <w:pPr>
        <w:spacing w:after="0" w:line="193" w:lineRule="exact"/>
        <w:rPr>
          <w:sz w:val="20"/>
          <w:szCs w:val="20"/>
          <w:color w:val="auto"/>
        </w:rPr>
      </w:pPr>
    </w:p>
    <w:p>
      <w:pPr>
        <w:jc w:val="both"/>
        <w:ind w:left="40" w:right="240" w:firstLine="810"/>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Indemnification by Landlord</w:t>
      </w:r>
      <w:r>
        <w:rPr>
          <w:rFonts w:ascii="Times New Roman" w:cs="Times New Roman" w:eastAsia="Times New Roman" w:hAnsi="Times New Roman"/>
          <w:sz w:val="22"/>
          <w:szCs w:val="22"/>
          <w:color w:val="auto"/>
        </w:rPr>
        <w:t xml:space="preserve">. Landlord shall protect, defend, indemnify and hold harmless Tenant, its agents, employees and contractors of all tiers from and against any and all claims, damages, demands, penalties, costs, liabilities, losses and expenses (including reasonable attorneys’ fees and expenses at the trial and appellate levels) to the extent arising out of or relating to the sole negligence or willful misconduct of Landlord or Landlord’s agents, employees or contractors. Nothing contained in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shall limit (or be deemed to limit) the waivers contained in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below. In the event of any conflict between the provisions of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below and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the provisions of </w:t>
      </w: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shall prevail. This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xml:space="preserve"> shall survive the expiration or earlier termination of this Lease.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Tenant’s Insurance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580" w:hanging="752"/>
        <w:spacing w:after="0" w:line="258" w:lineRule="auto"/>
        <w:tabs>
          <w:tab w:leader="none" w:pos="149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Lease Term (and any period of early entry or occupancy or holding over by Tenant, if applicable), Tenant shall maintain the following types of insurance, in the amounts specified below:</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1020" w:type="dxa"/>
            <w:vAlign w:val="bottom"/>
          </w:tcPr>
          <w:p>
            <w:pPr>
              <w:spacing w:after="0"/>
              <w:rPr>
                <w:sz w:val="22"/>
                <w:szCs w:val="22"/>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Liability Insurance. Commercial General Liability Insurance, ISO Form CG 00 01, or its equivalent,</w:t>
            </w:r>
          </w:p>
        </w:tc>
      </w:tr>
      <w:tr>
        <w:trPr>
          <w:trHeight w:val="236"/>
        </w:trPr>
        <w:tc>
          <w:tcPr>
            <w:tcW w:w="480" w:type="dxa"/>
            <w:vAlign w:val="bottom"/>
          </w:tcPr>
          <w:p>
            <w:pPr>
              <w:spacing w:after="0"/>
              <w:rPr>
                <w:sz w:val="20"/>
                <w:szCs w:val="20"/>
                <w:color w:val="auto"/>
              </w:rPr>
            </w:pPr>
          </w:p>
        </w:tc>
        <w:tc>
          <w:tcPr>
            <w:tcW w:w="1020" w:type="dxa"/>
            <w:vAlign w:val="bottom"/>
          </w:tcPr>
          <w:p>
            <w:pPr>
              <w:ind w:left="280"/>
              <w:spacing w:after="0" w:line="236" w:lineRule="exact"/>
              <w:rPr>
                <w:sz w:val="20"/>
                <w:szCs w:val="20"/>
                <w:color w:val="auto"/>
              </w:rPr>
            </w:pPr>
            <w:r>
              <w:rPr>
                <w:rFonts w:ascii="Times New Roman" w:cs="Times New Roman" w:eastAsia="Times New Roman" w:hAnsi="Times New Roman"/>
                <w:sz w:val="22"/>
                <w:szCs w:val="22"/>
                <w:color w:val="auto"/>
                <w:w w:val="93"/>
              </w:rPr>
              <w:t>covering</w:t>
            </w:r>
          </w:p>
        </w:tc>
        <w:tc>
          <w:tcPr>
            <w:tcW w:w="1640" w:type="dxa"/>
            <w:vAlign w:val="bottom"/>
            <w:tcBorders>
              <w:top w:val="single" w:sz="8" w:color="auto"/>
            </w:tcBorders>
          </w:tcPr>
          <w:p>
            <w:pPr>
              <w:ind w:left="60"/>
              <w:spacing w:after="0" w:line="236" w:lineRule="exact"/>
              <w:rPr>
                <w:sz w:val="20"/>
                <w:szCs w:val="20"/>
                <w:color w:val="auto"/>
              </w:rPr>
            </w:pPr>
            <w:r>
              <w:rPr>
                <w:rFonts w:ascii="Times New Roman" w:cs="Times New Roman" w:eastAsia="Times New Roman" w:hAnsi="Times New Roman"/>
                <w:sz w:val="22"/>
                <w:szCs w:val="22"/>
                <w:color w:val="auto"/>
                <w:w w:val="97"/>
              </w:rPr>
              <w:t>Tenant’s use of or</w:t>
            </w:r>
          </w:p>
        </w:tc>
        <w:tc>
          <w:tcPr>
            <w:tcW w:w="736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96"/>
              </w:rPr>
              <w:t>occupancy at the Leased Premises against claims for bodily injury or death or property</w:t>
            </w:r>
          </w:p>
        </w:tc>
      </w:tr>
      <w:tr>
        <w:trPr>
          <w:trHeight w:val="243"/>
        </w:trPr>
        <w:tc>
          <w:tcPr>
            <w:tcW w:w="480" w:type="dxa"/>
            <w:vAlign w:val="bottom"/>
          </w:tcPr>
          <w:p>
            <w:pPr>
              <w:spacing w:after="0"/>
              <w:rPr>
                <w:sz w:val="21"/>
                <w:szCs w:val="21"/>
                <w:color w:val="auto"/>
              </w:rPr>
            </w:pPr>
          </w:p>
        </w:tc>
        <w:tc>
          <w:tcPr>
            <w:tcW w:w="1002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w w:val="96"/>
              </w:rPr>
              <w:t>damage, which insurance shall be primary and non-contributory and shall provide coverage on an occurrence basis</w:t>
            </w:r>
          </w:p>
        </w:tc>
      </w:tr>
      <w:tr>
        <w:trPr>
          <w:trHeight w:val="243"/>
        </w:trPr>
        <w:tc>
          <w:tcPr>
            <w:tcW w:w="480" w:type="dxa"/>
            <w:vAlign w:val="bottom"/>
          </w:tcPr>
          <w:p>
            <w:pPr>
              <w:spacing w:after="0"/>
              <w:rPr>
                <w:sz w:val="21"/>
                <w:szCs w:val="21"/>
                <w:color w:val="auto"/>
              </w:rPr>
            </w:pPr>
          </w:p>
        </w:tc>
        <w:tc>
          <w:tcPr>
            <w:tcW w:w="1002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w w:val="98"/>
              </w:rPr>
              <w:t>with a per occurrence limit of not less than $3,000,000 for each policy year, which limit may be satisfied by any</w:t>
            </w:r>
          </w:p>
        </w:tc>
      </w:tr>
      <w:tr>
        <w:trPr>
          <w:trHeight w:val="282"/>
        </w:trPr>
        <w:tc>
          <w:tcPr>
            <w:tcW w:w="480" w:type="dxa"/>
            <w:vAlign w:val="bottom"/>
          </w:tcPr>
          <w:p>
            <w:pPr>
              <w:spacing w:after="0"/>
              <w:rPr>
                <w:sz w:val="24"/>
                <w:szCs w:val="24"/>
                <w:color w:val="auto"/>
              </w:rPr>
            </w:pPr>
          </w:p>
        </w:tc>
        <w:tc>
          <w:tcPr>
            <w:tcW w:w="1002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combination of primary and excess or umbrella per occurrence policies.</w:t>
            </w:r>
          </w:p>
        </w:tc>
      </w:tr>
    </w:tbl>
    <w:p>
      <w:pPr>
        <w:spacing w:after="0" w:line="204" w:lineRule="exact"/>
        <w:rPr>
          <w:sz w:val="20"/>
          <w:szCs w:val="20"/>
          <w:color w:val="auto"/>
        </w:rPr>
      </w:pPr>
    </w:p>
    <w:p>
      <w:pPr>
        <w:ind w:left="880" w:right="360" w:hanging="763"/>
        <w:spacing w:after="0" w:line="261" w:lineRule="auto"/>
        <w:tabs>
          <w:tab w:leader="none" w:pos="1629"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Property Insurance</w:t>
      </w:r>
      <w:r>
        <w:rPr>
          <w:rFonts w:ascii="Times New Roman" w:cs="Times New Roman" w:eastAsia="Times New Roman" w:hAnsi="Times New Roman"/>
          <w:sz w:val="21"/>
          <w:szCs w:val="21"/>
          <w:color w:val="auto"/>
        </w:rPr>
        <w:t xml:space="preserve">. Special Form Insurance in the amount of the full replacement cost of Tenant’s Property (including, without limitation, alterations or additions performed by Tenant pursuant hereto, but excluding those improvements, if any, made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above), which insurance shall waive coinsurance limitations.</w:t>
      </w:r>
    </w:p>
    <w:p>
      <w:pPr>
        <w:spacing w:after="0" w:line="184" w:lineRule="exact"/>
        <w:rPr>
          <w:rFonts w:ascii="Times New Roman" w:cs="Times New Roman" w:eastAsia="Times New Roman" w:hAnsi="Times New Roman"/>
          <w:sz w:val="21"/>
          <w:szCs w:val="21"/>
          <w:color w:val="auto"/>
        </w:rPr>
      </w:pPr>
    </w:p>
    <w:p>
      <w:pPr>
        <w:ind w:left="880" w:right="560" w:hanging="763"/>
        <w:spacing w:after="0" w:line="244" w:lineRule="auto"/>
        <w:tabs>
          <w:tab w:leader="none" w:pos="1629"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Worker’s Compensation Insurance</w:t>
      </w:r>
      <w:r>
        <w:rPr>
          <w:rFonts w:ascii="Times New Roman" w:cs="Times New Roman" w:eastAsia="Times New Roman" w:hAnsi="Times New Roman"/>
          <w:sz w:val="22"/>
          <w:szCs w:val="22"/>
          <w:color w:val="auto"/>
        </w:rPr>
        <w:t>. Worker’s Compensation insurance in amounts required by applicable Laws; provided, if there is no statutory requirement for Tenant, Tenant shall still obtain Worker’s Compensation insurance coverage.</w:t>
      </w:r>
    </w:p>
    <w:p>
      <w:pPr>
        <w:spacing w:after="0" w:line="200" w:lineRule="exact"/>
        <w:rPr>
          <w:rFonts w:ascii="Times New Roman" w:cs="Times New Roman" w:eastAsia="Times New Roman" w:hAnsi="Times New Roman"/>
          <w:sz w:val="22"/>
          <w:szCs w:val="22"/>
          <w:color w:val="auto"/>
        </w:rPr>
      </w:pPr>
    </w:p>
    <w:p>
      <w:pPr>
        <w:ind w:left="880" w:right="440" w:hanging="763"/>
        <w:spacing w:after="0" w:line="258" w:lineRule="auto"/>
        <w:tabs>
          <w:tab w:leader="none" w:pos="1629"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Interruption Insurance</w:t>
      </w:r>
      <w:r>
        <w:rPr>
          <w:rFonts w:ascii="Times New Roman" w:cs="Times New Roman" w:eastAsia="Times New Roman" w:hAnsi="Times New Roman"/>
          <w:sz w:val="22"/>
          <w:szCs w:val="22"/>
          <w:color w:val="auto"/>
        </w:rPr>
        <w:t>. Business Interruption Insurance with limits not less than an amount equal to eighteen (18) months’ Minimum Annual Rent hereunder.</w:t>
      </w:r>
    </w:p>
    <w:p>
      <w:pPr>
        <w:spacing w:after="0" w:line="185" w:lineRule="exact"/>
        <w:rPr>
          <w:rFonts w:ascii="Times New Roman" w:cs="Times New Roman" w:eastAsia="Times New Roman" w:hAnsi="Times New Roman"/>
          <w:sz w:val="22"/>
          <w:szCs w:val="22"/>
          <w:color w:val="auto"/>
        </w:rPr>
      </w:pPr>
    </w:p>
    <w:p>
      <w:pPr>
        <w:ind w:left="880" w:right="280" w:hanging="763"/>
        <w:spacing w:after="0" w:line="244" w:lineRule="auto"/>
        <w:tabs>
          <w:tab w:leader="none" w:pos="1629"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Automobile Insurance</w:t>
      </w:r>
      <w:r>
        <w:rPr>
          <w:rFonts w:ascii="Times New Roman" w:cs="Times New Roman" w:eastAsia="Times New Roman" w:hAnsi="Times New Roman"/>
          <w:sz w:val="22"/>
          <w:szCs w:val="22"/>
          <w:color w:val="auto"/>
        </w:rPr>
        <w:t>. Comprehensive Automobile Liability Insurance insuring bodily injury and property damage arising from all owned, non-owned and hired vehicles, if any, with minimum limits of liability of $1,000,000 combined single limit, per accident.</w:t>
      </w:r>
    </w:p>
    <w:p>
      <w:pPr>
        <w:spacing w:after="0" w:line="200" w:lineRule="exact"/>
        <w:rPr>
          <w:rFonts w:ascii="Times New Roman" w:cs="Times New Roman" w:eastAsia="Times New Roman" w:hAnsi="Times New Roman"/>
          <w:sz w:val="22"/>
          <w:szCs w:val="22"/>
          <w:color w:val="auto"/>
        </w:rPr>
      </w:pPr>
    </w:p>
    <w:p>
      <w:pPr>
        <w:ind w:left="760" w:right="460" w:hanging="752"/>
        <w:spacing w:after="0" w:line="233" w:lineRule="auto"/>
        <w:tabs>
          <w:tab w:leader="none" w:pos="150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insurance required to be carried by Tenant hereunder shall (i) be issued by Arthur J. Gallagher &amp; Co. or one or more other insurance companies reasonably acceptable to Landlord, licensed to do business in the State in which the Leased Premises is located and having an AM Best’s rating of A VII or better, and (ii) provide that said insurance shall not be materiallychanged, canceled or permitted to lapse on less than thirty (30) days’ prior written notice to Landlord. In addition, Tenant shall name Landlord, Landlord’s managing agent, and any mortgagee requested by Landlord, as additional insureds under Tenant’s commercial general liability, excess and umbrella policies (but only to the extent of the limits required hereunder). On or before the Commencement Date (or the date of any earlier entry or occupancy by Tenant), and thereafter, prior to the expiration of each such policy, Tenant shall furnish Landlord with certificates of insurance (ACORD Form 28 for evidence of commercial property insurance and ACORD Form 25 for certificate of liability coverage), evidencing all required coverages, and that with the exception of Worker’s Compensation insurance, such insurance is primary and non- contributory. During the Lease Term, Tenant shall maintain commercially reasonable deductibles</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19" w:name="page220"/>
    <w:bookmarkEnd w:id="219"/>
    <w:p>
      <w:pPr>
        <w:ind w:left="996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60" w:right="240"/>
        <w:spacing w:after="0" w:line="235" w:lineRule="auto"/>
        <w:rPr>
          <w:sz w:val="20"/>
          <w:szCs w:val="20"/>
          <w:color w:val="auto"/>
        </w:rPr>
      </w:pPr>
      <w:r>
        <w:rPr>
          <w:rFonts w:ascii="Times New Roman" w:cs="Times New Roman" w:eastAsia="Times New Roman" w:hAnsi="Times New Roman"/>
          <w:sz w:val="22"/>
          <w:szCs w:val="22"/>
          <w:color w:val="auto"/>
        </w:rPr>
        <w:t>on its commercial general liability insurance and property insurance set forth above. Upon Tenant’s receipt of a request from Landlord, Tenant shall provide Landlord with copies of all insurance policies, including all endorsements, evidencing the coverages required hereunder. If Tenant fails to carry such insurance and furnish Landlord with such certificates of insurance or copies of insurance policies (if applicable), Landlord may obtain such insurance on Tenant’s behalf and Tenant shall reimburse Landlord upon demand for the cost thereof as Additional Rent. Landlord reserves the right from time to time to require Tenant to obtain higher minimum amounts or different types of insurance if it becomes customary for other landlords of similar buildings in the area to require similar sized tenants in similar industries to carry insurance of such higher minimum amounts or of such different types.</w:t>
      </w:r>
    </w:p>
    <w:p>
      <w:pPr>
        <w:spacing w:after="0" w:line="205" w:lineRule="exact"/>
        <w:rPr>
          <w:sz w:val="20"/>
          <w:szCs w:val="20"/>
          <w:color w:val="auto"/>
        </w:rPr>
      </w:pPr>
    </w:p>
    <w:p>
      <w:pPr>
        <w:jc w:val="both"/>
        <w:ind w:left="60" w:right="240" w:firstLine="81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8.05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Landlord’s Insurance</w:t>
      </w:r>
      <w:r>
        <w:rPr>
          <w:rFonts w:ascii="Times New Roman" w:cs="Times New Roman" w:eastAsia="Times New Roman" w:hAnsi="Times New Roman"/>
          <w:sz w:val="22"/>
          <w:szCs w:val="22"/>
          <w:color w:val="auto"/>
        </w:rPr>
        <w:t>. During the Lease Term, Landlord shall maintain the following types of insurance, in the amounts specified below (the cost of which shall be included in Operating Expenses):</w:t>
      </w:r>
    </w:p>
    <w:p>
      <w:pPr>
        <w:spacing w:after="0" w:line="185" w:lineRule="exact"/>
        <w:rPr>
          <w:sz w:val="20"/>
          <w:szCs w:val="20"/>
          <w:color w:val="auto"/>
        </w:rPr>
      </w:pPr>
    </w:p>
    <w:p>
      <w:pPr>
        <w:ind w:left="760" w:right="500" w:hanging="752"/>
        <w:spacing w:after="0" w:line="238" w:lineRule="auto"/>
        <w:tabs>
          <w:tab w:leader="none" w:pos="150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Insurance</w:t>
      </w:r>
      <w:r>
        <w:rPr>
          <w:rFonts w:ascii="Times New Roman" w:cs="Times New Roman" w:eastAsia="Times New Roman" w:hAnsi="Times New Roman"/>
          <w:sz w:val="22"/>
          <w:szCs w:val="22"/>
          <w:color w:val="auto"/>
        </w:rPr>
        <w:t>. Commercial General Liability Insurance, ISO Form CG 00 01,or its equivalent, covering the Common Areas against claims for bodily injury or death and property damage, which insurance shall be primary and non-contributory and shall provide coverage on an occurrence basis with a per occurrence limit of not less than $3,000,000 for each policy year, which limit may be satisfied by any combination of primary and excess or umbrella per occurrence policies.</w:t>
      </w:r>
    </w:p>
    <w:p>
      <w:pPr>
        <w:spacing w:after="0" w:line="203" w:lineRule="exact"/>
        <w:rPr>
          <w:rFonts w:ascii="Times New Roman" w:cs="Times New Roman" w:eastAsia="Times New Roman" w:hAnsi="Times New Roman"/>
          <w:sz w:val="22"/>
          <w:szCs w:val="22"/>
          <w:color w:val="auto"/>
        </w:rPr>
      </w:pPr>
    </w:p>
    <w:p>
      <w:pPr>
        <w:ind w:left="760" w:right="500" w:hanging="752"/>
        <w:spacing w:after="0" w:line="244" w:lineRule="auto"/>
        <w:tabs>
          <w:tab w:leader="none" w:pos="150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Property Insurance</w:t>
      </w:r>
      <w:r>
        <w:rPr>
          <w:rFonts w:ascii="Times New Roman" w:cs="Times New Roman" w:eastAsia="Times New Roman" w:hAnsi="Times New Roman"/>
          <w:sz w:val="22"/>
          <w:szCs w:val="22"/>
          <w:color w:val="auto"/>
        </w:rPr>
        <w:t xml:space="preserve">. Special Form Insurance in the amount of the full replacement cost of the Building, including, without limitation, any improvements, if any, made pursuant to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above, but excluding Tenant’s Property and any other items required to be insured by Tenant pursuant to </w:t>
      </w:r>
      <w:r>
        <w:rPr>
          <w:rFonts w:ascii="Times New Roman" w:cs="Times New Roman" w:eastAsia="Times New Roman" w:hAnsi="Times New Roman"/>
          <w:sz w:val="22"/>
          <w:szCs w:val="22"/>
          <w:u w:val="single" w:color="auto"/>
          <w:color w:val="auto"/>
        </w:rPr>
        <w:t>Section 8.04</w:t>
      </w:r>
      <w:r>
        <w:rPr>
          <w:rFonts w:ascii="Times New Roman" w:cs="Times New Roman" w:eastAsia="Times New Roman" w:hAnsi="Times New Roman"/>
          <w:sz w:val="22"/>
          <w:szCs w:val="22"/>
          <w:color w:val="auto"/>
        </w:rPr>
        <w:t xml:space="preserve"> above.</w:t>
      </w:r>
    </w:p>
    <w:p>
      <w:pPr>
        <w:spacing w:after="0" w:line="173" w:lineRule="exact"/>
        <w:rPr>
          <w:sz w:val="20"/>
          <w:szCs w:val="20"/>
          <w:color w:val="auto"/>
        </w:rPr>
      </w:pPr>
    </w:p>
    <w:p>
      <w:pPr>
        <w:jc w:val="both"/>
        <w:ind w:left="60" w:right="240" w:firstLine="810"/>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8.06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Waiver of Subrogation</w:t>
      </w:r>
      <w:r>
        <w:rPr>
          <w:rFonts w:ascii="Times New Roman" w:cs="Times New Roman" w:eastAsia="Times New Roman" w:hAnsi="Times New Roman"/>
          <w:sz w:val="22"/>
          <w:szCs w:val="22"/>
          <w:color w:val="auto"/>
        </w:rPr>
        <w:t xml:space="preserve">. Notwithstanding anything contained in this Lease to the contrary, each of Landlord (and its affiliates, property managers and mortgagees) and Tenant (and its affiliates) hereby waives any and all rights of recovery, claims, actions or causes of action against the other party, or such other party’s employees, agents or contractors, for any loss or damage to the Leased Premises, the Building, the Common Areas and to any personal property of such party, arising from any risk which is required to be insured against by </w:t>
      </w:r>
      <w:r>
        <w:rPr>
          <w:rFonts w:ascii="Times New Roman" w:cs="Times New Roman" w:eastAsia="Times New Roman" w:hAnsi="Times New Roman"/>
          <w:sz w:val="22"/>
          <w:szCs w:val="22"/>
          <w:u w:val="single" w:color="auto"/>
          <w:color w:val="auto"/>
        </w:rPr>
        <w:t>Sections 8.04(a)(ii)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8.04(a)(iii)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8.05(b)</w:t>
      </w:r>
      <w:r>
        <w:rPr>
          <w:rFonts w:ascii="Times New Roman" w:cs="Times New Roman" w:eastAsia="Times New Roman" w:hAnsi="Times New Roman"/>
          <w:sz w:val="22"/>
          <w:szCs w:val="22"/>
          <w:color w:val="auto"/>
        </w:rPr>
        <w:t xml:space="preserve"> above. The effect of such waiver is not limited by the amount of such insurance actually carried or required to be carried, or to the actual proceeds received after a loss or to any deductible applicable thereto, and either party’s failure to carry insurance required under this Lease shall not invalidate such waiver. The foregoing waiver shall apply regardless of the cause or origin of any such claim, including, without limitation, the fault or negligence of either party or such party’s employees, agents or contractors. The Special Form Insurance policies and Workers’ Compensation Insurance policies maintained by Landlord and Tenant as provided in this Lease shall include an endorsement containing an express waiver of any rights of subrogation by the insurance company against Landlord and Tenant, as applicable.</w:t>
      </w:r>
    </w:p>
    <w:p>
      <w:pPr>
        <w:spacing w:after="0" w:line="20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9 - CASUALTY</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20" w:name="page221"/>
    <w:bookmarkEnd w:id="220"/>
    <w:p>
      <w:pPr>
        <w:ind w:left="996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60" w:right="240" w:firstLine="810"/>
        <w:spacing w:after="0" w:line="232" w:lineRule="auto"/>
        <w:rPr>
          <w:sz w:val="20"/>
          <w:szCs w:val="20"/>
          <w:color w:val="auto"/>
        </w:rPr>
      </w:pPr>
      <w:r>
        <w:rPr>
          <w:rFonts w:ascii="Times New Roman" w:cs="Times New Roman" w:eastAsia="Times New Roman" w:hAnsi="Times New Roman"/>
          <w:sz w:val="22"/>
          <w:szCs w:val="22"/>
          <w:color w:val="auto"/>
        </w:rPr>
        <w:t xml:space="preserve">In the event of total or partial destruction of the Building or the Leased Premises by fire or other casualty, Landlord agrees promptly to restore and repair same; provided, however, Landlord’s obligation hereunder with respect to the Leased Premises shall be limited to the reconstruction of such of the leasehold improvements as were originally required to be made by Landlord pursuant to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above, if any. Rent shall proportionately abate during the time that the Leased Premises or part thereof are unusable because of any such damage. Notwithstanding the foregoing, if the Leased Premises are (a) destroyed to the extent that they cannot be repaired or rebuilt within three hundred sixty-five (365) days from the casualty date (based on Landlord’s completion estimate); or (b) destroyed by a casualty that is not covered by the insurance required hereunder or, if covered, such insurance proceeds are not released by any mortgagee entitled thereto or are insufficient to rebuild the Building and the Leased Premises; then, in the case of a clause (a) casualty, either Landlord or Tenant may (by giving written notice to the other of such election within ten (10) days after receipt of Landlord’s completion estimate), or, in the case of a clause (b) casualty, then Landlord may, in either case upon thirty (30) days’ written notice to the other party, terminate this Lease with respect to matters thereafter accruing. Tenant hereby waives any rights under applicable Laws inconsistent with the terms of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If this Lease is not terminated due to a casualty, then Tenant shall promptly restore Tenant’s Property (including, without limitation, alterations or additions performed by Tenant pursuant hereto, but excluding those improvements, if any, made by Landlord pursuant to Section 2.02 above) to as good or better condition than they were in immediately prior to the casualty.</w:t>
      </w:r>
    </w:p>
    <w:p>
      <w:pPr>
        <w:spacing w:after="0" w:line="21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10 - EMINENT DOMAIN</w:t>
      </w:r>
    </w:p>
    <w:p>
      <w:pPr>
        <w:spacing w:after="0" w:line="210" w:lineRule="exact"/>
        <w:rPr>
          <w:sz w:val="20"/>
          <w:szCs w:val="20"/>
          <w:color w:val="auto"/>
        </w:rPr>
      </w:pPr>
    </w:p>
    <w:p>
      <w:pPr>
        <w:jc w:val="both"/>
        <w:ind w:left="60" w:right="240" w:firstLine="810"/>
        <w:spacing w:after="0" w:line="235" w:lineRule="auto"/>
        <w:rPr>
          <w:sz w:val="20"/>
          <w:szCs w:val="20"/>
          <w:color w:val="auto"/>
        </w:rPr>
      </w:pPr>
      <w:r>
        <w:rPr>
          <w:rFonts w:ascii="Times New Roman" w:cs="Times New Roman" w:eastAsia="Times New Roman" w:hAnsi="Times New Roman"/>
          <w:sz w:val="22"/>
          <w:szCs w:val="22"/>
          <w:color w:val="auto"/>
        </w:rPr>
        <w:t>If all or any substantial part of the Building shall be acquired by the exercise of eminent domain, Landlord may terminate this Lease by giving written notice to Tenant on or before the date possession thereof is so taken. If all or any part of the Leased Premises shall be acquired by the exercise of eminent domain so that the Leased Premises shall become impractical for Tenant to use for the Permitted Use, Tenant may terminate this Lease by giving written notice to Landlord as of the date possession thereof is so taken. All damages awarded shall belong to Landlord; provided, however, that Tenant may claim an award for relocation expenses and for the value of Tenant’s Property, but only if such amount is not subtracted from Landlord’s award and does not otherwise diminish or adversely affect any award to Landlord.</w:t>
      </w:r>
    </w:p>
    <w:p>
      <w:pPr>
        <w:spacing w:after="0" w:line="206" w:lineRule="exact"/>
        <w:rPr>
          <w:sz w:val="20"/>
          <w:szCs w:val="20"/>
          <w:color w:val="auto"/>
        </w:rPr>
      </w:pPr>
    </w:p>
    <w:p>
      <w:pPr>
        <w:ind w:left="900" w:right="3400" w:firstLine="2319"/>
        <w:spacing w:after="0" w:line="443"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ARTICLE 11 - ASSIGNMENT AND SUBLEASE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Assignment and Sublease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760" w:right="500" w:hanging="752"/>
        <w:spacing w:after="0" w:line="235" w:lineRule="auto"/>
        <w:tabs>
          <w:tab w:leader="none" w:pos="150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assign this Lease or sublet the Leased Premises in whole or in partor mortgage, pledge, or hypothecate its leasehold interest or grant any concession or license withinthe Leased Premises without Landlord’s prior written consent, which consent shall not be unreasonably withheld, conditioned or delayed. In the event of any assignment or subletting or other transfer, Tenant shall remain primarily liable hereunder, any such transfer shall not relieve Tenant of its obligations under this Lease, and (other than a transfer to a Permitted Transferee (as defined below)) any extension, expansion, rights of first offer, rights of first refusal or other optionsgranted to Tenant under this Lease shall be rendered void and of no further force or effect. The acceptance of rent by Landlord from any other person or entity shall not be deemed to be a waiver</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21" w:name="page222"/>
    <w:bookmarkEnd w:id="221"/>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52" w:right="240"/>
        <w:spacing w:after="0" w:line="244" w:lineRule="auto"/>
        <w:rPr>
          <w:sz w:val="20"/>
          <w:szCs w:val="20"/>
          <w:color w:val="auto"/>
        </w:rPr>
      </w:pPr>
      <w:r>
        <w:rPr>
          <w:rFonts w:ascii="Times New Roman" w:cs="Times New Roman" w:eastAsia="Times New Roman" w:hAnsi="Times New Roman"/>
          <w:sz w:val="22"/>
          <w:szCs w:val="22"/>
          <w:color w:val="auto"/>
        </w:rPr>
        <w:t>of any of the provisions of this Lease or to be a consent to the assignment of this Lease or the subletting of the Leased Premises. Any assignment or sublease or other transfer consented to by Landlord shall not relieve Tenant (or its assignee) from obtaining Landlord’s consent to any subsequent assignment or sublease or other transfer hereunder.</w:t>
      </w:r>
    </w:p>
    <w:p>
      <w:pPr>
        <w:spacing w:after="0" w:line="200" w:lineRule="exact"/>
        <w:rPr>
          <w:sz w:val="20"/>
          <w:szCs w:val="20"/>
          <w:color w:val="auto"/>
        </w:rPr>
      </w:pPr>
    </w:p>
    <w:p>
      <w:pPr>
        <w:ind w:left="752" w:right="500" w:hanging="752"/>
        <w:spacing w:after="0" w:line="236" w:lineRule="auto"/>
        <w:tabs>
          <w:tab w:leader="none" w:pos="149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way of example and not limitation, Landlord shall be deemed to have reasonably withheld consent to a proposed assignment or sublease if in Landlord’s opinion (i) the Leased Premises are or may be in any way adversely affected; (ii) the business reputation of the proposed assignee or subtenant is harmful to Landlord or adversely affects the value of the Building or Park;</w:t>
      </w:r>
    </w:p>
    <w:p>
      <w:pPr>
        <w:jc w:val="both"/>
        <w:ind w:left="52" w:right="240" w:firstLine="4"/>
        <w:spacing w:after="0" w:line="232" w:lineRule="auto"/>
        <w:tabs>
          <w:tab w:leader="none" w:pos="417"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worth of the proposed assignee or subtenant is insufficient to meet the obligations of Tenant hereunder, or (iv) the prospective assignee or subtenant is a current tenant at the Park or is a bona-fide third-party prospective tenant of Landlord at the Park and Landlord has vacant space available for such tenant or prospective tenant, or (v) Landlord or its leasing agent is then marketing available and comparable space in the Park with similar size to the proposed sublease space. Landlord further expressly reserves the right to refuse to give its consent to any subletting if the proposed rent is publicly advertised to be less than the rent publicly advertised for similar premises in the Building.</w:t>
      </w:r>
    </w:p>
    <w:p>
      <w:pPr>
        <w:spacing w:after="0" w:line="209" w:lineRule="exact"/>
        <w:rPr>
          <w:rFonts w:ascii="Times New Roman" w:cs="Times New Roman" w:eastAsia="Times New Roman" w:hAnsi="Times New Roman"/>
          <w:sz w:val="22"/>
          <w:szCs w:val="22"/>
          <w:color w:val="auto"/>
        </w:rPr>
      </w:pPr>
    </w:p>
    <w:p>
      <w:pPr>
        <w:ind w:left="752" w:right="480" w:hanging="752"/>
        <w:spacing w:after="0" w:line="234" w:lineRule="auto"/>
        <w:tabs>
          <w:tab w:leader="none" w:pos="149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shall make any assignment or sublease, with Landlord’s consent, for a rental in excess of the rent payable under this Lease, Tenant shall pay to Landlord fifty percent (50%) of any such excess rental upon receipt (after subtracting the reasonable out-of-pocket expenses which Tenant reasonably and actually incurred in connection with the procurement of such assignment or sublease (and if the subleased or assigned space does not constitute the entire Leased Premises, such excess shall be determined on a pro-rata basis)). Tenant agrees to pay Landlord $1500.00 upon demand by Landlord for reasonable accounting and attorneys’ fees incurred in conjunction with the processing and documentation of any requested assignment, subletting or any other hypothecation of this Lease or Tenant’s interest in and to the Leased Premises as consideration for Landlord’s consent. Neither Tenant’s payment nor Landlord’s acceptance of the foregoing fees shall be construed to impose any obligation whatsoever upon Landlord to consent to Tenant’s request.</w:t>
      </w:r>
    </w:p>
    <w:p>
      <w:pPr>
        <w:spacing w:after="0" w:line="206" w:lineRule="exact"/>
        <w:rPr>
          <w:sz w:val="20"/>
          <w:szCs w:val="20"/>
          <w:color w:val="auto"/>
        </w:rPr>
      </w:pPr>
    </w:p>
    <w:p>
      <w:pPr>
        <w:jc w:val="both"/>
        <w:ind w:left="52" w:right="240" w:firstLine="810"/>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Permitted Transfer</w:t>
      </w:r>
      <w:r>
        <w:rPr>
          <w:rFonts w:ascii="Times New Roman" w:cs="Times New Roman" w:eastAsia="Times New Roman" w:hAnsi="Times New Roman"/>
          <w:sz w:val="22"/>
          <w:szCs w:val="22"/>
          <w:color w:val="auto"/>
        </w:rPr>
        <w:t xml:space="preserve">. Notwithstanding anything to the contrary contained in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above, Tenant shall have the right, without Landlord’s consent, but upon ten (10) days’ prior notice to Landlord, to (a) sublet all or part of the Leased Premises to any related corporation or other entity which controls Tenant, is controlled by Tenant or is under common control with Tenant; (b) assign this Lease to any related corporation or other entity which controls Tenant, is controlled by Tenant, or is under common control with Tenant, or to a successor entity into which or with which Tenant is merged or consolidated or which acquires substantially all of Tenant’s assets or property; or (c) effectuate any public offering of Tenant’s stock on the New York Stock Exchange or in the NASDAQ over the counter market, provided that in the event of a transfer pursuant to clause (b), the tangible net worth of the successor entity after any such transaction is not less than the tangible net worth of Tenant as of the date hereof and provided further that such successor entity assumes all of the obligations and liabilities of Tenant (any such entity hereinafter referred to as a “</w:t>
      </w:r>
      <w:r>
        <w:rPr>
          <w:rFonts w:ascii="Times New Roman" w:cs="Times New Roman" w:eastAsia="Times New Roman" w:hAnsi="Times New Roman"/>
          <w:sz w:val="22"/>
          <w:szCs w:val="22"/>
          <w:b w:val="1"/>
          <w:bCs w:val="1"/>
          <w:color w:val="auto"/>
        </w:rPr>
        <w:t>Permitted Transferee</w:t>
      </w:r>
      <w:r>
        <w:rPr>
          <w:rFonts w:ascii="Times New Roman" w:cs="Times New Roman" w:eastAsia="Times New Roman" w:hAnsi="Times New Roman"/>
          <w:sz w:val="22"/>
          <w:szCs w:val="22"/>
          <w:color w:val="auto"/>
        </w:rPr>
        <w:t xml:space="preserve">”). For the purpose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(i) “control” shall mean ownership of not less than fifty percent (50%) of all voting stock or legal and equitable interest in such corporation or entity, and (ii) “tangible net worth” shall mean the excess</w:t>
      </w:r>
    </w:p>
    <w:p>
      <w:pPr>
        <w:spacing w:after="0" w:line="200" w:lineRule="exact"/>
        <w:rPr>
          <w:sz w:val="20"/>
          <w:szCs w:val="20"/>
          <w:color w:val="auto"/>
        </w:rPr>
      </w:pPr>
    </w:p>
    <w:p>
      <w:pPr>
        <w:spacing w:after="0" w:line="21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22" w:name="page223"/>
    <w:bookmarkEnd w:id="222"/>
    <w:p>
      <w:pPr>
        <w:ind w:left="996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60" w:right="240"/>
        <w:spacing w:after="0" w:line="238" w:lineRule="auto"/>
        <w:rPr>
          <w:sz w:val="20"/>
          <w:szCs w:val="20"/>
          <w:color w:val="auto"/>
        </w:rPr>
      </w:pPr>
      <w:r>
        <w:rPr>
          <w:rFonts w:ascii="Times New Roman" w:cs="Times New Roman" w:eastAsia="Times New Roman" w:hAnsi="Times New Roman"/>
          <w:sz w:val="22"/>
          <w:szCs w:val="22"/>
          <w:color w:val="auto"/>
        </w:rPr>
        <w:t xml:space="preserve">of the value of tangible assets (i.e. assets excluding those which are intangible such as goodwill, patents and trademarks) over liabilities. Tenant shall remain primarily liable hereunder and any such transfer shall not relieve Tenant of its obligations under this Lease. Nothing in this </w:t>
      </w:r>
      <w:r>
        <w:rPr>
          <w:rFonts w:ascii="Times New Roman" w:cs="Times New Roman" w:eastAsia="Times New Roman" w:hAnsi="Times New Roman"/>
          <w:sz w:val="22"/>
          <w:szCs w:val="22"/>
          <w:u w:val="single" w:color="auto"/>
          <w:color w:val="auto"/>
        </w:rPr>
        <w:t>Section</w:t>
      </w:r>
    </w:p>
    <w:p>
      <w:pPr>
        <w:ind w:left="60" w:right="240"/>
        <w:spacing w:after="0" w:line="232" w:lineRule="auto"/>
        <w:rPr>
          <w:sz w:val="20"/>
          <w:szCs w:val="20"/>
          <w:color w:val="auto"/>
        </w:rPr>
      </w:pPr>
      <w:r>
        <w:rPr>
          <w:rFonts w:ascii="Times New Roman" w:cs="Times New Roman" w:eastAsia="Times New Roman" w:hAnsi="Times New Roman"/>
          <w:sz w:val="22"/>
          <w:szCs w:val="22"/>
          <w:u w:val="single" w:color="auto"/>
          <w:color w:val="auto"/>
        </w:rPr>
        <w:t>11.02</w:t>
      </w:r>
      <w:r>
        <w:rPr>
          <w:rFonts w:ascii="Times New Roman" w:cs="Times New Roman" w:eastAsia="Times New Roman" w:hAnsi="Times New Roman"/>
          <w:sz w:val="22"/>
          <w:szCs w:val="22"/>
          <w:color w:val="auto"/>
        </w:rPr>
        <w:t xml:space="preserve"> is intended to nor shall permit Tenant to transfer its interest under this Lease as part of a fraud or subterfuge to intentionally avoid its obligations under this Lease (for example, transferring its interest to a shell corporation that subsequently files a bankruptcy), and any such transfer shall constitute a Default hereunder. Any change in control of Tenant resulting from a merger, consolidation, or a transfer of partnership or membership interests, a stock transfer, or any sale of substantially all of the assets of Tenant that do not meet the requirements of this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xml:space="preserve"> shall be deemed an assignment or transfer that requires Landlord’s prior written consent pursuant to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above.</w:t>
      </w:r>
    </w:p>
    <w:p>
      <w:pPr>
        <w:spacing w:after="0" w:line="17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u w:val="single" w:color="auto"/>
          <w:color w:val="auto"/>
        </w:rPr>
        <w:t>ARTICLE 12 - TRANSFERS BY LANDLORD</w:t>
      </w:r>
    </w:p>
    <w:p>
      <w:pPr>
        <w:spacing w:after="0" w:line="224" w:lineRule="exact"/>
        <w:rPr>
          <w:sz w:val="20"/>
          <w:szCs w:val="20"/>
          <w:color w:val="auto"/>
        </w:rPr>
      </w:pPr>
    </w:p>
    <w:p>
      <w:pPr>
        <w:jc w:val="both"/>
        <w:ind w:left="60" w:right="240" w:firstLine="810"/>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12.01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Sale of the Building</w:t>
      </w:r>
      <w:r>
        <w:rPr>
          <w:rFonts w:ascii="Times New Roman" w:cs="Times New Roman" w:eastAsia="Times New Roman" w:hAnsi="Times New Roman"/>
          <w:sz w:val="22"/>
          <w:szCs w:val="22"/>
          <w:color w:val="auto"/>
        </w:rPr>
        <w:t>. Landlord shall have the right to sell the Building and Common Areas from and after the date hereof, subject only to the rights of Tenant hereunder; and such sale shall operate to release Landlord from liability accruing hereunder after the date of such conveyance.</w:t>
      </w:r>
    </w:p>
    <w:p>
      <w:pPr>
        <w:spacing w:after="0" w:line="200" w:lineRule="exact"/>
        <w:rPr>
          <w:sz w:val="20"/>
          <w:szCs w:val="20"/>
          <w:color w:val="auto"/>
        </w:rPr>
      </w:pPr>
    </w:p>
    <w:p>
      <w:pPr>
        <w:jc w:val="both"/>
        <w:ind w:left="60" w:right="240" w:firstLine="810"/>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Estoppel Certificate</w:t>
      </w:r>
      <w:r>
        <w:rPr>
          <w:rFonts w:ascii="Times New Roman" w:cs="Times New Roman" w:eastAsia="Times New Roman" w:hAnsi="Times New Roman"/>
          <w:sz w:val="22"/>
          <w:szCs w:val="22"/>
          <w:color w:val="auto"/>
        </w:rPr>
        <w:t>. Within ten (10) days following receipt of a written request from either party, the other party shall execute and deliver to requesting party, without cost to the requesting party, an estoppel certificate in such form as the requesting party may reasonably request certifying (a) that this Lease is in full force and effect and unmodified or stating the nature of any modification, (b) the date to which rent has been paid, (c) that there are not, to the certifying party’s knowledge, any uncured defaults or specifying such defaults if any are claimed, and (d) any other matters or state of facts reasonably required respecting this Lease. Such estoppel may be relied upon by the requesting party and by any purchaser or mortgagee of the Building or of the requesting party.</w:t>
      </w:r>
    </w:p>
    <w:p>
      <w:pPr>
        <w:spacing w:after="0" w:line="2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right="500" w:hanging="752"/>
        <w:spacing w:after="0" w:line="244" w:lineRule="auto"/>
        <w:tabs>
          <w:tab w:leader="none" w:pos="1501"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Lease is and shall be expressly subject and subordinate at all times to the lien of any present or future mortgage or deed of trust, ground or underlying lease, or any other methodof financing or refinancing now or hereafter encumbering the Leased Premises (“</w:t>
      </w:r>
      <w:r>
        <w:rPr>
          <w:rFonts w:ascii="Times New Roman" w:cs="Times New Roman" w:eastAsia="Times New Roman" w:hAnsi="Times New Roman"/>
          <w:sz w:val="21"/>
          <w:szCs w:val="21"/>
          <w:b w:val="1"/>
          <w:bCs w:val="1"/>
          <w:color w:val="auto"/>
        </w:rPr>
        <w:t>Mortgage Lien</w:t>
      </w:r>
      <w:r>
        <w:rPr>
          <w:rFonts w:ascii="Times New Roman" w:cs="Times New Roman" w:eastAsia="Times New Roman" w:hAnsi="Times New Roman"/>
          <w:sz w:val="21"/>
          <w:szCs w:val="21"/>
          <w:color w:val="auto"/>
        </w:rPr>
        <w:t>”), and to all advances made, or hereafter to be made upon the security thereof, and to all increases, renewals, amendments, modifications, consolidations, spreaders, replacements, substitutions and/or extensions of any such Mortgage Lien and to all easements, restrictions, liens, encumbrances, rights-of-way, or other matters affecting the Leased Premises of record. If any such Mortgage Lien be foreclosed, upon request of the mortgagee, lessor or beneficiary (“</w:t>
      </w:r>
      <w:r>
        <w:rPr>
          <w:rFonts w:ascii="Times New Roman" w:cs="Times New Roman" w:eastAsia="Times New Roman" w:hAnsi="Times New Roman"/>
          <w:sz w:val="21"/>
          <w:szCs w:val="21"/>
          <w:b w:val="1"/>
          <w:bCs w:val="1"/>
          <w:color w:val="auto"/>
        </w:rPr>
        <w:t>Landlord’s Mortgagee</w:t>
      </w:r>
      <w:r>
        <w:rPr>
          <w:rFonts w:ascii="Times New Roman" w:cs="Times New Roman" w:eastAsia="Times New Roman" w:hAnsi="Times New Roman"/>
          <w:sz w:val="21"/>
          <w:szCs w:val="21"/>
          <w:color w:val="auto"/>
        </w:rPr>
        <w:t>”), as the case may be, Tenant will attorn to the purchaser at the foreclosure sale. The foregoing provisions are declared to be self-operative and no further instruments shall be required to effect such subordination and/or attornment; provided, however, that subordination of this Lease to any current or future mortgage or trust deed shall be conditioned upon the mortgagee, beneficiary, or purchaser at foreclosure, as the case may be, agreeing that Tenant’s occupancy of the Leased Premises and other rights under this Lease shall not be disturbedby reason of the foreclosure of such mortgage or trust deed, as the case may be, so long as Tenant</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23" w:name="page224"/>
    <w:bookmarkEnd w:id="223"/>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52" w:right="240"/>
        <w:spacing w:after="0" w:line="239" w:lineRule="auto"/>
        <w:rPr>
          <w:sz w:val="20"/>
          <w:szCs w:val="20"/>
          <w:color w:val="auto"/>
        </w:rPr>
      </w:pPr>
      <w:r>
        <w:rPr>
          <w:rFonts w:ascii="Times New Roman" w:cs="Times New Roman" w:eastAsia="Times New Roman" w:hAnsi="Times New Roman"/>
          <w:sz w:val="22"/>
          <w:szCs w:val="22"/>
          <w:color w:val="auto"/>
        </w:rPr>
        <w:t>is not in default under this Lease. Within ten (10) days following receipt of a written request from Landlord, Tenant shall execute and deliver to Landlord, without cost, any commercially reasonable instrument that Landlord deems reasonably necessary or desirable to confirm the subordination of this Lease. Notwithstanding the foregoing, a Mortgagee may unilaterally elect, at any time, to make this Lease superior to its Mortgage Lien by so notifying Tenant in writing.</w:t>
      </w:r>
    </w:p>
    <w:p>
      <w:pPr>
        <w:spacing w:after="0" w:line="207" w:lineRule="exact"/>
        <w:rPr>
          <w:sz w:val="20"/>
          <w:szCs w:val="20"/>
          <w:color w:val="auto"/>
        </w:rPr>
      </w:pPr>
    </w:p>
    <w:p>
      <w:pPr>
        <w:ind w:left="752" w:right="580" w:hanging="752"/>
        <w:spacing w:after="0" w:line="280" w:lineRule="auto"/>
        <w:tabs>
          <w:tab w:leader="none" w:pos="1493"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condition to the subordination of this Lease to the current mortgage or any future mortgage, Landlord shall use reasonable efforts to obtain a non-disturbance agreement from Landlord’s present mortgagee, </w:t>
      </w:r>
      <w:r>
        <w:rPr>
          <w:rFonts w:ascii="Times New Roman" w:cs="Times New Roman" w:eastAsia="Times New Roman" w:hAnsi="Times New Roman"/>
          <w:sz w:val="19"/>
          <w:szCs w:val="19"/>
          <w:b w:val="1"/>
          <w:bCs w:val="1"/>
          <w:color w:val="auto"/>
        </w:rPr>
        <w:t>First Horizon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Bank</w:t>
      </w:r>
      <w:r>
        <w:rPr>
          <w:rFonts w:ascii="Times New Roman" w:cs="Times New Roman" w:eastAsia="Times New Roman" w:hAnsi="Times New Roman"/>
          <w:sz w:val="19"/>
          <w:szCs w:val="19"/>
          <w:color w:val="auto"/>
        </w:rPr>
        <w:t>, or from any future Landlord’s Mortgagee on such mortgagee’s commercially reasonable standard form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SNDA</w:t>
      </w:r>
      <w:r>
        <w:rPr>
          <w:rFonts w:ascii="Times New Roman" w:cs="Times New Roman" w:eastAsia="Times New Roman" w:hAnsi="Times New Roman"/>
          <w:sz w:val="19"/>
          <w:szCs w:val="19"/>
          <w:color w:val="auto"/>
        </w:rPr>
        <w:t xml:space="preserve">”), which would state, </w:t>
      </w:r>
      <w:r>
        <w:rPr>
          <w:rFonts w:ascii="Times New Roman" w:cs="Times New Roman" w:eastAsia="Times New Roman" w:hAnsi="Times New Roman"/>
          <w:sz w:val="19"/>
          <w:szCs w:val="19"/>
          <w:i w:val="1"/>
          <w:iCs w:val="1"/>
          <w:color w:val="auto"/>
        </w:rPr>
        <w:t>interalia</w:t>
      </w:r>
      <w:r>
        <w:rPr>
          <w:rFonts w:ascii="Times New Roman" w:cs="Times New Roman" w:eastAsia="Times New Roman" w:hAnsi="Times New Roman"/>
          <w:sz w:val="19"/>
          <w:szCs w:val="19"/>
          <w:color w:val="auto"/>
        </w:rPr>
        <w:t>, that in the event of foreclosure or deed in lieu of foreclosure, for so long as Tenant is not in default, this Lease shall be recognized and Tenant's occupancy shall not be disturbed. Tenant shallbe entitled to record the SNDA with the Durham County Register of Deeds at Tenant’s sole cost and expense.</w:t>
      </w:r>
    </w:p>
    <w:p>
      <w:pPr>
        <w:spacing w:after="0" w:line="168"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22"/>
          <w:szCs w:val="22"/>
          <w:b w:val="1"/>
          <w:bCs w:val="1"/>
          <w:u w:val="single" w:color="auto"/>
          <w:color w:val="auto"/>
        </w:rPr>
        <w:t>ARTICLE 13 - DEFAULT AND REMEDY</w:t>
      </w:r>
    </w:p>
    <w:p>
      <w:pPr>
        <w:spacing w:after="0" w:line="206"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The occurrence of any of the following shall be a “</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712" w:hanging="827"/>
        <w:spacing w:after="0"/>
        <w:tabs>
          <w:tab w:leader="none" w:pos="1712"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pay any Monthly Rental Installments or Additional Rent within ten</w:t>
      </w:r>
    </w:p>
    <w:p>
      <w:pPr>
        <w:ind w:left="472" w:hanging="416"/>
        <w:spacing w:after="0" w:line="230" w:lineRule="auto"/>
        <w:tabs>
          <w:tab w:leader="none" w:pos="472"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Landlord has delivered written notice to Tenant that the same is past due; provided, however, a Default shall</w:t>
      </w:r>
    </w:p>
    <w:p>
      <w:pPr>
        <w:spacing w:after="0" w:line="1" w:lineRule="exact"/>
        <w:rPr>
          <w:sz w:val="20"/>
          <w:szCs w:val="20"/>
          <w:color w:val="auto"/>
        </w:rPr>
      </w:pPr>
    </w:p>
    <w:p>
      <w:pPr>
        <w:jc w:val="both"/>
        <w:ind w:left="52" w:right="240"/>
        <w:spacing w:after="0" w:line="235" w:lineRule="auto"/>
        <w:rPr>
          <w:sz w:val="20"/>
          <w:szCs w:val="20"/>
          <w:color w:val="auto"/>
        </w:rPr>
      </w:pPr>
      <w:r>
        <w:rPr>
          <w:rFonts w:ascii="Times New Roman" w:cs="Times New Roman" w:eastAsia="Times New Roman" w:hAnsi="Times New Roman"/>
          <w:sz w:val="22"/>
          <w:szCs w:val="22"/>
          <w:color w:val="auto"/>
        </w:rPr>
        <w:t>occur hereunder without any obligation of Landlord to give any notice if Tenant fails to pay any Monthly Rental Installments when due and, during the 12-month interval preceding such failure, Landlord has given Tenant written notice of failure to pay any Monthly Rental Installments on two or more occasions.</w:t>
      </w:r>
    </w:p>
    <w:p>
      <w:pPr>
        <w:spacing w:after="0" w:line="205" w:lineRule="exact"/>
        <w:rPr>
          <w:sz w:val="20"/>
          <w:szCs w:val="20"/>
          <w:color w:val="auto"/>
        </w:rPr>
      </w:pPr>
    </w:p>
    <w:p>
      <w:pPr>
        <w:ind w:left="752" w:right="540" w:hanging="752"/>
        <w:spacing w:after="0" w:line="236" w:lineRule="auto"/>
        <w:tabs>
          <w:tab w:leader="none" w:pos="149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perform or observe any other term, condition, covenant or obligation required under this Lease (other than those governed by subsections (c) through (e) below) for a period of thirty (30) days after written notice thereof from Landlord; provided, however, that if thenature of Tenant’s default is such that more than thirty (30) days are reasonably required to cure, then such default shall be deemed to have been cured if Tenant commences such performance within said thirty (30) day period and thereafter diligently, continuously and in good faith prosecutes such performance and completes the required action within a reasonable time.</w:t>
      </w:r>
    </w:p>
    <w:p>
      <w:pPr>
        <w:spacing w:after="0" w:line="208" w:lineRule="exact"/>
        <w:rPr>
          <w:rFonts w:ascii="Times New Roman" w:cs="Times New Roman" w:eastAsia="Times New Roman" w:hAnsi="Times New Roman"/>
          <w:sz w:val="22"/>
          <w:szCs w:val="22"/>
          <w:color w:val="auto"/>
        </w:rPr>
      </w:pPr>
    </w:p>
    <w:p>
      <w:pPr>
        <w:ind w:left="752" w:right="620" w:hanging="752"/>
        <w:spacing w:after="0" w:line="244" w:lineRule="auto"/>
        <w:tabs>
          <w:tab w:leader="none" w:pos="149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vacate or abandon the Leased Premises, or fail to occupy the Leased Premises or any substantial portion thereof for a period of thirty (30) days and fail to pay Rent or any other sums of money when due hereunder.</w:t>
      </w:r>
    </w:p>
    <w:p>
      <w:pPr>
        <w:spacing w:after="0" w:line="200" w:lineRule="exact"/>
        <w:rPr>
          <w:rFonts w:ascii="Times New Roman" w:cs="Times New Roman" w:eastAsia="Times New Roman" w:hAnsi="Times New Roman"/>
          <w:sz w:val="22"/>
          <w:szCs w:val="22"/>
          <w:color w:val="auto"/>
        </w:rPr>
      </w:pPr>
    </w:p>
    <w:p>
      <w:pPr>
        <w:ind w:left="752" w:right="660" w:hanging="752"/>
        <w:spacing w:after="0" w:line="258" w:lineRule="auto"/>
        <w:tabs>
          <w:tab w:leader="none" w:pos="149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Tenant shall assign or sublet all or a portion of the Leased Premises in violation of the provisions of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of this Lease.</w:t>
      </w:r>
    </w:p>
    <w:p>
      <w:pPr>
        <w:spacing w:after="0" w:line="171" w:lineRule="exact"/>
        <w:rPr>
          <w:rFonts w:ascii="Times New Roman" w:cs="Times New Roman" w:eastAsia="Times New Roman" w:hAnsi="Times New Roman"/>
          <w:sz w:val="22"/>
          <w:szCs w:val="22"/>
          <w:color w:val="auto"/>
        </w:rPr>
      </w:pPr>
    </w:p>
    <w:p>
      <w:pPr>
        <w:ind w:left="752" w:right="480" w:hanging="752"/>
        <w:spacing w:after="0" w:line="238" w:lineRule="auto"/>
        <w:tabs>
          <w:tab w:leader="none" w:pos="149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substantially all of Tenant’s assets in the Leased Premises or Tenant’s interestin this Lease are attached or levied under execution (and Tenant does not discharge the same within sixty (60) days thereafter); a petition in bankruptcy, insolvency or for reorganization or arrangement is filed by or against Tenant (and Tenant fails to secure a stay or discharge thereof within sixty (60) days thereafter); Tenant is insolvent and unable to pay its debts as they become</w:t>
      </w:r>
    </w:p>
    <w:p>
      <w:pPr>
        <w:spacing w:after="0" w:line="200" w:lineRule="exact"/>
        <w:rPr>
          <w:sz w:val="20"/>
          <w:szCs w:val="20"/>
          <w:color w:val="auto"/>
        </w:rPr>
      </w:pPr>
    </w:p>
    <w:p>
      <w:pPr>
        <w:spacing w:after="0" w:line="2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24" w:name="page225"/>
    <w:bookmarkEnd w:id="224"/>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52" w:right="240"/>
        <w:spacing w:after="0" w:line="239" w:lineRule="auto"/>
        <w:rPr>
          <w:sz w:val="20"/>
          <w:szCs w:val="20"/>
          <w:color w:val="auto"/>
        </w:rPr>
      </w:pPr>
      <w:r>
        <w:rPr>
          <w:rFonts w:ascii="Times New Roman" w:cs="Times New Roman" w:eastAsia="Times New Roman" w:hAnsi="Times New Roman"/>
          <w:sz w:val="22"/>
          <w:szCs w:val="22"/>
          <w:color w:val="auto"/>
        </w:rPr>
        <w:t>due; Tenant makes a general assignment for the benefit of creditors; Tenant takes the benefit of any insolvency action or law; the appointment of a receiver or trustee in bankruptcy for Tenant or its assets if such receivership has not been vacated or set aside within thirty (30) days thereafter; or, dissolution or other termination of Tenant’s corporate charter if Tenant is a corporation.</w:t>
      </w:r>
    </w:p>
    <w:p>
      <w:pPr>
        <w:spacing w:after="0" w:line="207" w:lineRule="exact"/>
        <w:rPr>
          <w:sz w:val="20"/>
          <w:szCs w:val="20"/>
          <w:color w:val="auto"/>
        </w:rPr>
      </w:pPr>
    </w:p>
    <w:p>
      <w:pPr>
        <w:jc w:val="both"/>
        <w:ind w:left="52" w:right="240" w:firstLine="810"/>
        <w:spacing w:after="0" w:line="241" w:lineRule="auto"/>
        <w:rPr>
          <w:sz w:val="20"/>
          <w:szCs w:val="20"/>
          <w:color w:val="auto"/>
        </w:rPr>
      </w:pPr>
      <w:r>
        <w:rPr>
          <w:rFonts w:ascii="Times New Roman" w:cs="Times New Roman" w:eastAsia="Times New Roman" w:hAnsi="Times New Roman"/>
          <w:sz w:val="22"/>
          <w:szCs w:val="22"/>
          <w:color w:val="auto"/>
        </w:rPr>
        <w:t>In addition to the Defaults described above, the parties agree that if Tenant receives written notice of a material violation of the performance of the same term or condition of this Lease three</w:t>
      </w:r>
    </w:p>
    <w:p>
      <w:pPr>
        <w:spacing w:after="0" w:line="2" w:lineRule="exact"/>
        <w:rPr>
          <w:sz w:val="20"/>
          <w:szCs w:val="20"/>
          <w:color w:val="auto"/>
        </w:rPr>
      </w:pPr>
    </w:p>
    <w:p>
      <w:pPr>
        <w:ind w:left="52" w:right="580" w:firstLine="4"/>
        <w:spacing w:after="0" w:line="237" w:lineRule="auto"/>
        <w:tabs>
          <w:tab w:leader="none" w:pos="69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times during any twelve (12) month period, regardless of whether such violations are ultimately cured, then such conduct shall, at Landlord’s option, represent a separate Default.</w:t>
      </w:r>
    </w:p>
    <w:p>
      <w:pPr>
        <w:spacing w:after="0" w:line="205" w:lineRule="exact"/>
        <w:rPr>
          <w:sz w:val="20"/>
          <w:szCs w:val="20"/>
          <w:color w:val="auto"/>
        </w:rPr>
      </w:pPr>
    </w:p>
    <w:p>
      <w:pPr>
        <w:jc w:val="both"/>
        <w:ind w:left="52" w:right="240" w:firstLine="810"/>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13.02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Upon the occurrence of any Default, Landlord shall have the following rights and remedies, in addition to those stated elsewhere in this Lease and those allowed by law or in equity, any one or more of which may be exercised without further notice to Tenant:</w:t>
      </w:r>
    </w:p>
    <w:p>
      <w:pPr>
        <w:spacing w:after="0" w:line="200" w:lineRule="exact"/>
        <w:rPr>
          <w:sz w:val="20"/>
          <w:szCs w:val="20"/>
          <w:color w:val="auto"/>
        </w:rPr>
      </w:pPr>
    </w:p>
    <w:p>
      <w:pPr>
        <w:ind w:left="752" w:right="460" w:hanging="752"/>
        <w:spacing w:after="0" w:line="239" w:lineRule="auto"/>
        <w:tabs>
          <w:tab w:leader="none" w:pos="149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re-enter the Leased Premises and cure any such Default of Tenant, and Tenant shall, immediately upon demand, reimburse Landlord, as Additional Rent, for any costs and expenses that Landlord thereby incurs; and Landlord shall not be liable to Tenant for any loss or damage that Tenant may sustain by reason of Landlord’s action.</w:t>
      </w:r>
    </w:p>
    <w:p>
      <w:pPr>
        <w:spacing w:after="0" w:line="207" w:lineRule="exact"/>
        <w:rPr>
          <w:rFonts w:ascii="Times New Roman" w:cs="Times New Roman" w:eastAsia="Times New Roman" w:hAnsi="Times New Roman"/>
          <w:sz w:val="22"/>
          <w:szCs w:val="22"/>
          <w:color w:val="auto"/>
        </w:rPr>
      </w:pPr>
    </w:p>
    <w:p>
      <w:pPr>
        <w:ind w:left="752" w:right="500" w:hanging="752"/>
        <w:spacing w:after="0" w:line="235" w:lineRule="auto"/>
        <w:tabs>
          <w:tab w:leader="none" w:pos="149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terminate this Lease by giving Tenant notice of termination, in which event this Lease shall expire and terminate on the date specified in such notice of termination and all rights of Tenant under this Lease and in and to the Leased Premises shall terminate, except with respect to any provisions thereunder that expressly survive such termination. Tenant shall remain liable for all obligations under this Lease arising up to the date of such termination, and Tenant shall surrender the Leased Premises to Landlord on the date specified in such notice. Furthermore,in the event that Landlord terminates this Lease, Tenant shall be liable to Landlord for the unamortized balance of any leasehold improvement allowance and brokerage fees paid in connection with this Lease and any rent abatement provided under this Lease.</w:t>
      </w:r>
    </w:p>
    <w:p>
      <w:pPr>
        <w:spacing w:after="0" w:line="205" w:lineRule="exact"/>
        <w:rPr>
          <w:rFonts w:ascii="Times New Roman" w:cs="Times New Roman" w:eastAsia="Times New Roman" w:hAnsi="Times New Roman"/>
          <w:sz w:val="22"/>
          <w:szCs w:val="22"/>
          <w:color w:val="auto"/>
        </w:rPr>
      </w:pPr>
    </w:p>
    <w:p>
      <w:pPr>
        <w:ind w:left="752" w:right="500" w:hanging="752"/>
        <w:spacing w:after="0" w:line="233" w:lineRule="auto"/>
        <w:tabs>
          <w:tab w:leader="none" w:pos="149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terminating this Lease, Landlord may terminate Tenant’s right to possession of the Leased Premises, and thereafter, neither Tenant nor any person claiming under or through Tenant shall be entitled to possession of the Leased Premises. In such event, Tenant shall immediately surrender the Leased Premises to Landlord, and Landlord may re-enter the Leased Premises and dispossess Tenant and any other occupants of the Leased Premises by any lawful means and may remove their effects, without prejudice to any other remedy that Landlord may have. Upon termination of possession, Landlord may re-let all or any part thereof as the agent of Tenant for a term different from that which would otherwise have constituted the balance of the Lease Term and for rent and on terms and conditions different from those contained herein, whereupon, at Landlord’s election, either (A) Tenant shall be immediately obligated to pay to Landlord an amount equal to (i) the difference between the rent provided for herein and that provided for in any lease covering a subsequent re-letting of the Leased Premises, for the period which would otherwise have constituted the balance of the Lease Term had this Lease not been terminated (said period being referred to herein as the “</w:t>
      </w:r>
      <w:r>
        <w:rPr>
          <w:rFonts w:ascii="Times New Roman" w:cs="Times New Roman" w:eastAsia="Times New Roman" w:hAnsi="Times New Roman"/>
          <w:sz w:val="22"/>
          <w:szCs w:val="22"/>
          <w:b w:val="1"/>
          <w:bCs w:val="1"/>
          <w:color w:val="auto"/>
        </w:rPr>
        <w:t>Remaining Term</w:t>
      </w:r>
      <w:r>
        <w:rPr>
          <w:rFonts w:ascii="Times New Roman" w:cs="Times New Roman" w:eastAsia="Times New Roman" w:hAnsi="Times New Roman"/>
          <w:sz w:val="22"/>
          <w:szCs w:val="22"/>
          <w:color w:val="auto"/>
        </w:rPr>
        <w:t>”), (ii) the costs of recovering possession of the Leased Premises and all other expenses, loss or damage incurred by Landlord by reason of Tenant’s Default (“</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Damages</w:t>
      </w:r>
      <w:r>
        <w:rPr>
          <w:rFonts w:ascii="Times New Roman" w:cs="Times New Roman" w:eastAsia="Times New Roman" w:hAnsi="Times New Roman"/>
          <w:sz w:val="22"/>
          <w:szCs w:val="22"/>
          <w:color w:val="auto"/>
        </w:rPr>
        <w:t>”), which shall include, without limitation, expenses of preparing the Leased Premises for re-letting,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demolition, repairs, tenant</w:t>
      </w:r>
    </w:p>
    <w:p>
      <w:pPr>
        <w:spacing w:after="0" w:line="200" w:lineRule="exact"/>
        <w:rPr>
          <w:sz w:val="20"/>
          <w:szCs w:val="20"/>
          <w:color w:val="auto"/>
        </w:rPr>
      </w:pPr>
    </w:p>
    <w:p>
      <w:pPr>
        <w:spacing w:after="0" w:line="22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25" w:name="page226"/>
    <w:bookmarkEnd w:id="225"/>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52" w:right="240"/>
        <w:spacing w:after="0" w:line="244" w:lineRule="auto"/>
        <w:rPr>
          <w:sz w:val="20"/>
          <w:szCs w:val="20"/>
          <w:color w:val="auto"/>
        </w:rPr>
      </w:pPr>
      <w:r>
        <w:rPr>
          <w:rFonts w:ascii="Times New Roman" w:cs="Times New Roman" w:eastAsia="Times New Roman" w:hAnsi="Times New Roman"/>
          <w:sz w:val="21"/>
          <w:szCs w:val="21"/>
          <w:color w:val="auto"/>
        </w:rPr>
        <w:t>finish improvements, brokers’ commissions and attorneys’ fees, and (iii) all unpaid Minimum Annual Rent and Additional Rent that accrued prior to the date of termination of possession, plus any interest and late fees due hereunder (the “</w:t>
      </w:r>
      <w:r>
        <w:rPr>
          <w:rFonts w:ascii="Times New Roman" w:cs="Times New Roman" w:eastAsia="Times New Roman" w:hAnsi="Times New Roman"/>
          <w:sz w:val="21"/>
          <w:szCs w:val="21"/>
          <w:b w:val="1"/>
          <w:bCs w:val="1"/>
          <w:color w:val="auto"/>
        </w:rPr>
        <w:t>Prior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Obligations</w:t>
      </w:r>
      <w:r>
        <w:rPr>
          <w:rFonts w:ascii="Times New Roman" w:cs="Times New Roman" w:eastAsia="Times New Roman" w:hAnsi="Times New Roman"/>
          <w:sz w:val="21"/>
          <w:szCs w:val="21"/>
          <w:color w:val="auto"/>
        </w:rPr>
        <w:t>”) or (B) Tenant shall be obligated to pay to Landlord an amount equal to the Minimum Annual Rent, Additional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Rent and all other sums due or which would have become due from the date of Tenant's Default through the remainder of the Lease Term, less the amount of rental, if any, which Landlord receives during such period from others to whom the Leased Premises may be rented, which amount shall be computed and payable in monthly installments, in advance, on the first day of each calendar month following Tenant's Default and continuing until the date on which the Lease Term would have expired but for Tenant's default, it being understood that separate suits may be brought from time to time to collect any such damages for any month(s) (and any such separate suit shall not in any manner prejudice the right of Landlord to collect any damages for any subsequent month(s)), or Landlord may defer initiating any such suit until after the expiration of the Lease Term (in which event such deferral shall not be construed as a waiver of Landlord's rights as set forth herein and Landlord's cause of action shall be deemed not to have accrued until the expiration of the Lease Term). Neither the filing of any dispossessory proceeding nor an eviction of personalty in the Leased Premises shall be deemed to terminate this Lease.</w:t>
      </w:r>
    </w:p>
    <w:p>
      <w:pPr>
        <w:spacing w:after="0" w:line="210" w:lineRule="exact"/>
        <w:rPr>
          <w:sz w:val="20"/>
          <w:szCs w:val="20"/>
          <w:color w:val="auto"/>
        </w:rPr>
      </w:pPr>
    </w:p>
    <w:p>
      <w:pPr>
        <w:ind w:left="752" w:right="620" w:hanging="752"/>
        <w:spacing w:after="0" w:line="245" w:lineRule="auto"/>
        <w:tabs>
          <w:tab w:leader="none" w:pos="1493"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Landlord may terminate this Lease and recover from Tenant all damages Landlordmay incur by reason of Tenant’s Default, including, without limitation, an amount which, at the date of such termination is equal to the sum of the following: (i) the present value of the excess, if any, discounted at the Prime Rate, of (A) the Minimum Annual Rent, Additional Rent and all other sums that would have been payable hereunder by Tenant for the Remaining Term,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(B) the aggregate reasonable rental value of the Leased Premises for the Remaining Term, as determined by a real estate broker licensed in the State in which the Leased Premises is located who has at least ten</w:t>
      </w:r>
    </w:p>
    <w:p>
      <w:pPr>
        <w:spacing w:after="0" w:line="2" w:lineRule="exact"/>
        <w:rPr>
          <w:rFonts w:ascii="Times New Roman" w:cs="Times New Roman" w:eastAsia="Times New Roman" w:hAnsi="Times New Roman"/>
          <w:sz w:val="21"/>
          <w:szCs w:val="21"/>
          <w:color w:val="auto"/>
        </w:rPr>
      </w:pPr>
    </w:p>
    <w:p>
      <w:pPr>
        <w:ind w:left="752" w:right="540" w:hanging="2"/>
        <w:spacing w:after="0" w:line="233" w:lineRule="auto"/>
        <w:tabs>
          <w:tab w:leader="none" w:pos="1157"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of experience, (ii) all of the Default Damages, and (iii) all Prior Obligations. Landlord and Tenant acknowledge and agree that the payment of the amount set forthin clause (i) above shall not be deemed a penalty, but shall merely constitute payment of liquidateddamages, it being understood that actual damages to Landlord are extremely difficult, if not impossible, to ascertain. It is expressly agreed and understood that all of Tenant’s liabilities and obligations set forth in this subsection (d) shall survive termination of this Lease.</w:t>
      </w:r>
    </w:p>
    <w:p>
      <w:pPr>
        <w:spacing w:after="0" w:line="206" w:lineRule="exact"/>
        <w:rPr>
          <w:rFonts w:ascii="Times New Roman" w:cs="Times New Roman" w:eastAsia="Times New Roman" w:hAnsi="Times New Roman"/>
          <w:sz w:val="22"/>
          <w:szCs w:val="22"/>
          <w:color w:val="auto"/>
        </w:rPr>
      </w:pPr>
    </w:p>
    <w:p>
      <w:pPr>
        <w:ind w:left="1492" w:hanging="1492"/>
        <w:spacing w:after="0"/>
        <w:tabs>
          <w:tab w:leader="none" w:pos="149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sue for injunctive relief or to recover damages for any loss resultingfrom the Default.</w:t>
      </w:r>
    </w:p>
    <w:p>
      <w:pPr>
        <w:spacing w:after="0" w:line="233"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22"/>
          <w:szCs w:val="22"/>
          <w:u w:val="single" w:color="auto"/>
          <w:color w:val="auto"/>
        </w:rPr>
        <w:t>Section 13.03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Landlord’s Default and Tenant’s Remedies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52" w:right="620" w:hanging="752"/>
        <w:spacing w:after="0" w:line="235" w:lineRule="auto"/>
        <w:tabs>
          <w:tab w:leader="none" w:pos="149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be in default if it fails to perform any term, condition, covenant or obligation required under this Lease for a period of thirty (30) days after written notice thereof from Tenant to Landlord; provided, however, that if the term, condition, covenant or obligation to be performed by Landlord is such that it cannot reasonably be performed within thirty (30) days, such default shall be deemed to have been cured if Landlord commences such performance withinsaid thirty-day period and thereafter diligently, continuously and in good faith undertakes to complete the same. Upon the occurrence of any such default by Landlord, Tenant may sue for injunctive relief or to recover damages for any loss directly resulting from such default, but Tenant</w:t>
      </w:r>
    </w:p>
    <w:p>
      <w:pPr>
        <w:spacing w:after="0" w:line="200" w:lineRule="exact"/>
        <w:rPr>
          <w:sz w:val="20"/>
          <w:szCs w:val="20"/>
          <w:color w:val="auto"/>
        </w:rPr>
      </w:pPr>
    </w:p>
    <w:p>
      <w:pPr>
        <w:spacing w:after="0" w:line="22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26" w:name="page227"/>
    <w:bookmarkEnd w:id="226"/>
    <w:p>
      <w:pPr>
        <w:ind w:left="996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center"/>
        <w:ind w:right="180"/>
        <w:spacing w:after="0" w:line="258" w:lineRule="auto"/>
        <w:rPr>
          <w:sz w:val="20"/>
          <w:szCs w:val="20"/>
          <w:color w:val="auto"/>
        </w:rPr>
      </w:pPr>
      <w:r>
        <w:rPr>
          <w:rFonts w:ascii="Times New Roman" w:cs="Times New Roman" w:eastAsia="Times New Roman" w:hAnsi="Times New Roman"/>
          <w:sz w:val="22"/>
          <w:szCs w:val="22"/>
          <w:color w:val="auto"/>
        </w:rPr>
        <w:t>shall not be entitled to terminate this Lease or withhold, offset or abate any sums due hereunder. In no event, however, shall Landlord be liable to Tenant for any consequential or punitive damages.</w:t>
      </w:r>
    </w:p>
    <w:p>
      <w:pPr>
        <w:spacing w:after="0" w:line="185" w:lineRule="exact"/>
        <w:rPr>
          <w:sz w:val="20"/>
          <w:szCs w:val="20"/>
          <w:color w:val="auto"/>
        </w:rPr>
      </w:pPr>
    </w:p>
    <w:p>
      <w:pPr>
        <w:ind w:left="1500" w:hanging="1492"/>
        <w:spacing w:after="0"/>
        <w:tabs>
          <w:tab w:leader="none" w:pos="15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in the event of a default by Landlord which continues for a period of thirty</w:t>
      </w:r>
    </w:p>
    <w:p>
      <w:pPr>
        <w:spacing w:after="0" w:line="14" w:lineRule="exact"/>
        <w:rPr>
          <w:rFonts w:ascii="Times New Roman" w:cs="Times New Roman" w:eastAsia="Times New Roman" w:hAnsi="Times New Roman"/>
          <w:sz w:val="22"/>
          <w:szCs w:val="22"/>
          <w:color w:val="auto"/>
        </w:rPr>
      </w:pPr>
    </w:p>
    <w:p>
      <w:pPr>
        <w:ind w:left="760" w:right="500" w:hanging="2"/>
        <w:spacing w:after="0" w:line="232" w:lineRule="auto"/>
        <w:tabs>
          <w:tab w:leader="none" w:pos="1165"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Landlord’s receipt of written notice from Tenant detailing such default by Landlord and there is no evidence that Landlord, or any person or entity on behalf of Landlord, has commenced to cure the default in question, Tenant shall, upon five (5) business days’ prior written notice to Landlord (during which time Landlord may negate Tenant’srights under this Section 13.03(b) by curing such alleged default or by providing evidence that is has commenced to cure such alleged default and is diligently, continuously, and in good faith endeavoring to complete such cure), have the ability to perform any such obligation which Landlord is required to perform under this Lease and has failed to perform; in such circumstances, Landlord shall reimburse Tenant for the commercially reasonable costs actually incurred by Tenant to cure such Landlord default within thirty (30) days after receipt of a reasonably detailed invoice from Tenant relating to the same (it being expressly understood that Tenant shall not haveany offset rights relating thereto).</w:t>
      </w:r>
    </w:p>
    <w:p>
      <w:pPr>
        <w:spacing w:after="0" w:line="204" w:lineRule="exact"/>
        <w:rPr>
          <w:sz w:val="20"/>
          <w:szCs w:val="20"/>
          <w:color w:val="auto"/>
        </w:rPr>
      </w:pPr>
    </w:p>
    <w:p>
      <w:pPr>
        <w:jc w:val="both"/>
        <w:ind w:left="60" w:right="240" w:firstLine="810"/>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Limitation of Landlord’s Liability</w:t>
      </w:r>
      <w:r>
        <w:rPr>
          <w:rFonts w:ascii="Times New Roman" w:cs="Times New Roman" w:eastAsia="Times New Roman" w:hAnsi="Times New Roman"/>
          <w:sz w:val="22"/>
          <w:szCs w:val="22"/>
          <w:color w:val="auto"/>
        </w:rPr>
        <w:t>. If Landlord shall fail to perform any term, condition, covenant or obligation required to be performed by it under this Lease, and if Tenant shall, as a consequence thereof, recover a money judgment against Landlord, Tenant agrees that it shall look solely to Landlord’s right, title and interest in and to the Building for the collection of such judgment; and Tenant further agrees that no other assets of Landlord shall be subject to levy, execution or other process for the satisfaction of Tenant’s judgment.</w:t>
      </w:r>
    </w:p>
    <w:p>
      <w:pPr>
        <w:spacing w:after="0" w:line="204" w:lineRule="exact"/>
        <w:rPr>
          <w:sz w:val="20"/>
          <w:szCs w:val="20"/>
          <w:color w:val="auto"/>
        </w:rPr>
      </w:pPr>
    </w:p>
    <w:p>
      <w:pPr>
        <w:jc w:val="both"/>
        <w:ind w:left="60" w:right="240" w:firstLine="810"/>
        <w:spacing w:after="0" w:line="234" w:lineRule="auto"/>
        <w:rPr>
          <w:sz w:val="20"/>
          <w:szCs w:val="20"/>
          <w:color w:val="auto"/>
        </w:rPr>
      </w:pPr>
      <w:r>
        <w:rPr>
          <w:rFonts w:ascii="Times New Roman" w:cs="Times New Roman" w:eastAsia="Times New Roman" w:hAnsi="Times New Roman"/>
          <w:sz w:val="22"/>
          <w:szCs w:val="22"/>
          <w:u w:val="single" w:color="auto"/>
          <w:color w:val="auto"/>
        </w:rPr>
        <w:t>Section 13.05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Nonwaiver of Defaults</w:t>
      </w:r>
      <w:r>
        <w:rPr>
          <w:rFonts w:ascii="Times New Roman" w:cs="Times New Roman" w:eastAsia="Times New Roman" w:hAnsi="Times New Roman"/>
          <w:sz w:val="22"/>
          <w:szCs w:val="22"/>
          <w:color w:val="auto"/>
        </w:rPr>
        <w:t>. Neither party’s failure or delay in exercising any of its rights or remedies or other provisions of this Lease shall constitute a waiver thereof or affect its right thereafter to exercise or enforce such right or remedy or other provision at that time or in the future. No waiver of any default shall be deemed to be a waiver of any other default. Landlord’s receipt of less than the full rent due shall not be construed to be other than a payment on account of rent then due, nor shall any statement on Tenant’s check or any letter accompanying Tenant’s check be deemed an accord and satisfaction, and Landlord may accept such payment without prejudice to Landlord’s right to recover the balance due or to pursue any other remedy available to Landlord. No act or omission by Landlord or its employees or agents during the Lease Term shall be deemed an acceptance of a surrender of the Leased Premises, and no agreement to accept such a surrender shall be valid unless in writing and signed by Landlord.</w:t>
      </w:r>
    </w:p>
    <w:p>
      <w:pPr>
        <w:spacing w:after="0" w:line="210" w:lineRule="exact"/>
        <w:rPr>
          <w:sz w:val="20"/>
          <w:szCs w:val="20"/>
          <w:color w:val="auto"/>
        </w:rPr>
      </w:pPr>
    </w:p>
    <w:p>
      <w:pPr>
        <w:jc w:val="both"/>
        <w:ind w:left="60" w:right="240" w:firstLine="810"/>
        <w:spacing w:after="0" w:line="249" w:lineRule="auto"/>
        <w:rPr>
          <w:sz w:val="20"/>
          <w:szCs w:val="20"/>
          <w:color w:val="auto"/>
        </w:rPr>
      </w:pPr>
      <w:r>
        <w:rPr>
          <w:rFonts w:ascii="Times New Roman" w:cs="Times New Roman" w:eastAsia="Times New Roman" w:hAnsi="Times New Roman"/>
          <w:sz w:val="21"/>
          <w:szCs w:val="21"/>
          <w:u w:val="single" w:color="auto"/>
          <w:color w:val="auto"/>
        </w:rPr>
        <w:t>Section 13.06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Attorneys’ Fees</w:t>
      </w:r>
      <w:r>
        <w:rPr>
          <w:rFonts w:ascii="Times New Roman" w:cs="Times New Roman" w:eastAsia="Times New Roman" w:hAnsi="Times New Roman"/>
          <w:sz w:val="21"/>
          <w:szCs w:val="21"/>
          <w:color w:val="auto"/>
        </w:rPr>
        <w:t>. If either party defaults in the performance or observance of any of the terms, conditions, covenants or obligations contained in this Lease and the non- defaulting party obtains a judgment against the defaulting party, then the defaulting party agrees to reimburse the non-defaulting party for reasonable attorneys’ fees incurred in connection therewith. In addition, if a monetary Default shall occur and Landlord engages outside counsel to exercise its remedies hereunder, and then Tenant cures such monetary Default, Tenant shall pay to Landlord, on demand, all expenses incurred by Landlord as a result thereof, including reasonable attorneys’ fees, court costs and expenses actually incurred.</w:t>
      </w:r>
    </w:p>
    <w:p>
      <w:pPr>
        <w:spacing w:after="0" w:line="1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u w:val="single" w:color="auto"/>
          <w:color w:val="auto"/>
        </w:rPr>
        <w:t>ARTICLE 14 – INTENTIONALLY OMITTED</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382" w:lineRule="exact"/>
        <w:rPr>
          <w:sz w:val="20"/>
          <w:szCs w:val="20"/>
          <w:color w:val="auto"/>
        </w:rPr>
      </w:pPr>
    </w:p>
    <w:p>
      <w:pPr>
        <w:ind w:left="1560" w:right="460" w:firstLine="15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ARTICLE 15 - TENANT’S RESPONSIBILITY REGARDING ENVIRONMENTAL LAWS AND HAZARDOUS SUBSTANCES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u w:val="single" w:color="auto"/>
          <w:color w:val="auto"/>
        </w:rPr>
        <w:t>Section 15.01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Environmental Definitions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760" w:right="520" w:hanging="752"/>
        <w:spacing w:after="0" w:line="238" w:lineRule="auto"/>
        <w:tabs>
          <w:tab w:leader="none" w:pos="150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shall mean all present or future federal, state and municipal laws, ordinances, rules and regulations applicable to the environmental and ecological condition of the Leased Premises, the Building and the Common Areas, and the rules and regulations of the Federal Environmental Protection Agency and any other federal, state or municipal agency or governmental board or entity having jurisdiction over the Leased Premises, the Building and the Common Areas.</w:t>
      </w:r>
    </w:p>
    <w:p>
      <w:pPr>
        <w:spacing w:after="0" w:line="203" w:lineRule="exact"/>
        <w:rPr>
          <w:rFonts w:ascii="Times New Roman" w:cs="Times New Roman" w:eastAsia="Times New Roman" w:hAnsi="Times New Roman"/>
          <w:sz w:val="22"/>
          <w:szCs w:val="22"/>
          <w:color w:val="auto"/>
        </w:rPr>
      </w:pPr>
    </w:p>
    <w:p>
      <w:pPr>
        <w:ind w:left="1500" w:hanging="1492"/>
        <w:spacing w:after="0"/>
        <w:tabs>
          <w:tab w:leader="none" w:pos="15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shall mean petroleum products and those substances included within the</w:t>
      </w:r>
    </w:p>
    <w:p>
      <w:pPr>
        <w:spacing w:after="0" w:line="18" w:lineRule="exact"/>
        <w:rPr>
          <w:rFonts w:ascii="Times New Roman" w:cs="Times New Roman" w:eastAsia="Times New Roman" w:hAnsi="Times New Roman"/>
          <w:sz w:val="22"/>
          <w:szCs w:val="22"/>
          <w:color w:val="auto"/>
        </w:rPr>
      </w:pPr>
    </w:p>
    <w:p>
      <w:pPr>
        <w:ind w:left="760" w:right="5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of “hazardous substances,” “hazardous materials,” “toxic substances” “solid waste” or “infectious waste” under Environmental Laws.</w:t>
      </w:r>
    </w:p>
    <w:p>
      <w:pPr>
        <w:spacing w:after="0" w:line="205" w:lineRule="exact"/>
        <w:rPr>
          <w:sz w:val="20"/>
          <w:szCs w:val="20"/>
          <w:color w:val="auto"/>
        </w:rPr>
      </w:pPr>
    </w:p>
    <w:p>
      <w:pPr>
        <w:jc w:val="both"/>
        <w:ind w:left="60" w:right="240" w:firstLine="810"/>
        <w:spacing w:after="0" w:line="251" w:lineRule="auto"/>
        <w:rPr>
          <w:sz w:val="20"/>
          <w:szCs w:val="20"/>
          <w:color w:val="auto"/>
        </w:rPr>
      </w:pPr>
      <w:r>
        <w:rPr>
          <w:rFonts w:ascii="Times New Roman" w:cs="Times New Roman" w:eastAsia="Times New Roman" w:hAnsi="Times New Roman"/>
          <w:sz w:val="21"/>
          <w:szCs w:val="21"/>
          <w:u w:val="single" w:color="auto"/>
          <w:color w:val="auto"/>
        </w:rPr>
        <w:t>Section 15.02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Restrictions on Tenant</w:t>
      </w:r>
      <w:r>
        <w:rPr>
          <w:rFonts w:ascii="Times New Roman" w:cs="Times New Roman" w:eastAsia="Times New Roman" w:hAnsi="Times New Roman"/>
          <w:sz w:val="21"/>
          <w:szCs w:val="21"/>
          <w:color w:val="auto"/>
        </w:rPr>
        <w:t>. Tenant shall not cause or permit the use, generation, release, manufacture, refining, production, processing, storage or disposal of any Hazardous Substances on, under or about the Leased Premises, the Building, the Common Areas or the Park, or the transportation to or from the Leased Premises of any Hazardous Substances, except as necessary and appropriate for its Permitted Use in which case the use, storage or off-site disposal of such Hazardous Substances shall be performed in compliance with the Environmental Laws and the highest standards prevailing in the industry.</w:t>
      </w:r>
    </w:p>
    <w:p>
      <w:pPr>
        <w:spacing w:after="0" w:line="1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u w:val="single" w:color="auto"/>
          <w:color w:val="auto"/>
        </w:rPr>
        <w:t>Section 15.03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Notices, Affidavits, Etc</w:t>
      </w:r>
      <w:r>
        <w:rPr>
          <w:rFonts w:ascii="Times New Roman" w:cs="Times New Roman" w:eastAsia="Times New Roman" w:hAnsi="Times New Roman"/>
          <w:sz w:val="22"/>
          <w:szCs w:val="22"/>
          <w:color w:val="auto"/>
        </w:rPr>
        <w:t>. Tenant shall immediately (a) notify Landlord of</w:t>
      </w:r>
    </w:p>
    <w:p>
      <w:pPr>
        <w:spacing w:after="0" w:line="14" w:lineRule="exact"/>
        <w:rPr>
          <w:sz w:val="20"/>
          <w:szCs w:val="20"/>
          <w:color w:val="auto"/>
        </w:rPr>
      </w:pPr>
    </w:p>
    <w:p>
      <w:pPr>
        <w:ind w:left="60" w:right="300" w:firstLine="4"/>
        <w:spacing w:after="0" w:line="232" w:lineRule="auto"/>
        <w:tabs>
          <w:tab w:leader="none" w:pos="60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violation by Tenant, its employees, agents, representatives, guests, customers, invitees or contractors of any Environmental Laws on, under or about the Leased Premises, the Building, the Common Areas or the Park, or (ii) the presence or suspected presence of any Hazardous Substances on, under or about the Leased Premises, and (b) deliver to Landlord any notice received by Tenant relating to (a)(i) and (a)(ii) above from any source. Tenant shall execute reasonable affidavits, representations and the like within ten (10) days of Landlord’s request therefor concerning Tenant’s best knowledge and belief regarding the presence of any Hazardous Substances on, under or about the Leased Premises.</w:t>
      </w:r>
    </w:p>
    <w:p>
      <w:pPr>
        <w:spacing w:after="0" w:line="210" w:lineRule="exact"/>
        <w:rPr>
          <w:sz w:val="20"/>
          <w:szCs w:val="20"/>
          <w:color w:val="auto"/>
        </w:rPr>
      </w:pPr>
    </w:p>
    <w:p>
      <w:pPr>
        <w:jc w:val="both"/>
        <w:ind w:left="60" w:right="240" w:firstLine="810"/>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15.04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Tenant’s Indemnification</w:t>
      </w:r>
      <w:r>
        <w:rPr>
          <w:rFonts w:ascii="Times New Roman" w:cs="Times New Roman" w:eastAsia="Times New Roman" w:hAnsi="Times New Roman"/>
          <w:sz w:val="22"/>
          <w:szCs w:val="22"/>
          <w:color w:val="auto"/>
        </w:rPr>
        <w:t xml:space="preserve">. Tenant shall indemnify, defend and hold harmless Landlord and Landlord’s managing agent from and against any and all claims, losses, liabilities, costs, expenses, penalties and damages, including attorneys’ fees, costs of testing and remediation costs, incurred by Landlord in connection with any breach by Tenant of Tenant’s obligations under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60" w:right="240" w:firstLine="810"/>
        <w:spacing w:after="0" w:line="255" w:lineRule="auto"/>
        <w:rPr>
          <w:sz w:val="20"/>
          <w:szCs w:val="20"/>
          <w:color w:val="auto"/>
        </w:rPr>
      </w:pPr>
      <w:r>
        <w:rPr>
          <w:rFonts w:ascii="Times New Roman" w:cs="Times New Roman" w:eastAsia="Times New Roman" w:hAnsi="Times New Roman"/>
          <w:sz w:val="21"/>
          <w:szCs w:val="21"/>
          <w:u w:val="single" w:color="auto"/>
          <w:color w:val="auto"/>
        </w:rPr>
        <w:t>Section 15.05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Existing Conditions</w:t>
      </w:r>
      <w:r>
        <w:rPr>
          <w:rFonts w:ascii="Times New Roman" w:cs="Times New Roman" w:eastAsia="Times New Roman" w:hAnsi="Times New Roman"/>
          <w:sz w:val="21"/>
          <w:szCs w:val="21"/>
          <w:color w:val="auto"/>
        </w:rPr>
        <w:t xml:space="preserve">. Landlord represents, to Landlord’s actual knowledge, without having investigated, that no Hazardous Substances currently exist in the Building or on the Common Areas in violation of applicable Environmental Laws. Notwithstanding anything contained in this </w:t>
      </w:r>
      <w:r>
        <w:rPr>
          <w:rFonts w:ascii="Times New Roman" w:cs="Times New Roman" w:eastAsia="Times New Roman" w:hAnsi="Times New Roman"/>
          <w:sz w:val="21"/>
          <w:szCs w:val="21"/>
          <w:u w:val="single" w:color="auto"/>
          <w:color w:val="auto"/>
        </w:rPr>
        <w:t>Article 15</w:t>
      </w:r>
      <w:r>
        <w:rPr>
          <w:rFonts w:ascii="Times New Roman" w:cs="Times New Roman" w:eastAsia="Times New Roman" w:hAnsi="Times New Roman"/>
          <w:sz w:val="21"/>
          <w:szCs w:val="21"/>
          <w:color w:val="auto"/>
        </w:rPr>
        <w:t xml:space="preserve"> to the contrary, Tenant shall not have any liability to Landlord under this </w:t>
      </w:r>
      <w:r>
        <w:rPr>
          <w:rFonts w:ascii="Times New Roman" w:cs="Times New Roman" w:eastAsia="Times New Roman" w:hAnsi="Times New Roman"/>
          <w:sz w:val="21"/>
          <w:szCs w:val="21"/>
          <w:u w:val="single" w:color="auto"/>
          <w:color w:val="auto"/>
        </w:rPr>
        <w:t>Article 15</w:t>
      </w:r>
      <w:r>
        <w:rPr>
          <w:rFonts w:ascii="Times New Roman" w:cs="Times New Roman" w:eastAsia="Times New Roman" w:hAnsi="Times New Roman"/>
          <w:sz w:val="21"/>
          <w:szCs w:val="21"/>
          <w:color w:val="auto"/>
        </w:rPr>
        <w:t xml:space="preserve"> resulting from any conditions existing, or events occurring, or any Hazardous</w:t>
      </w: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456565</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80" w:top="108" w:right="339" w:bottom="1440" w:gutter="0" w:footer="0" w:header="0"/>
        </w:sectPr>
      </w:pPr>
    </w:p>
    <w:bookmarkStart w:id="228" w:name="page229"/>
    <w:bookmarkEnd w:id="228"/>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40" w:right="240"/>
        <w:spacing w:after="0" w:line="239" w:lineRule="auto"/>
        <w:rPr>
          <w:sz w:val="20"/>
          <w:szCs w:val="20"/>
          <w:color w:val="auto"/>
        </w:rPr>
      </w:pPr>
      <w:r>
        <w:rPr>
          <w:rFonts w:ascii="Times New Roman" w:cs="Times New Roman" w:eastAsia="Times New Roman" w:hAnsi="Times New Roman"/>
          <w:sz w:val="22"/>
          <w:szCs w:val="22"/>
          <w:color w:val="auto"/>
        </w:rPr>
        <w:t>Substances existing or generated, at, in, on, under or in connection with the Leased Premises prior to the Commencement Date of this Lease (or any earlier occupancy of the Leased Premises by Tenant) except to the extent that Tenant or any assignee or subtenant of Tenant, or any of their respective employees, agents, contractors, representatives, guests, customers or invitees exacerbates the same.</w:t>
      </w:r>
    </w:p>
    <w:p>
      <w:pPr>
        <w:spacing w:after="0" w:line="207" w:lineRule="exact"/>
        <w:rPr>
          <w:sz w:val="20"/>
          <w:szCs w:val="20"/>
          <w:color w:val="auto"/>
        </w:rPr>
      </w:pPr>
    </w:p>
    <w:p>
      <w:pPr>
        <w:jc w:val="both"/>
        <w:ind w:left="40" w:right="240" w:firstLine="81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15.06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xml:space="preserve">. The obligations imposed upon Tenant under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are in addition to and are not intended to limit, but to expand upon, the obligations imposed upon Tenant under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above.</w:t>
      </w:r>
    </w:p>
    <w:p>
      <w:pPr>
        <w:spacing w:after="0" w:line="158" w:lineRule="exact"/>
        <w:rPr>
          <w:sz w:val="20"/>
          <w:szCs w:val="20"/>
          <w:color w:val="auto"/>
        </w:rPr>
      </w:pPr>
    </w:p>
    <w:p>
      <w:pPr>
        <w:ind w:left="40" w:right="500" w:firstLine="827"/>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15.07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covenants and obligations under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shall survive the expiration or earlier termination of this Lease.</w:t>
      </w:r>
    </w:p>
    <w:p>
      <w:pPr>
        <w:spacing w:after="0" w:line="1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u w:val="single" w:color="auto"/>
          <w:color w:val="auto"/>
        </w:rPr>
        <w:t>ARTICLE 16 - MISCELLANEOUS</w:t>
      </w:r>
    </w:p>
    <w:p>
      <w:pPr>
        <w:spacing w:after="0" w:line="224" w:lineRule="exact"/>
        <w:rPr>
          <w:sz w:val="20"/>
          <w:szCs w:val="20"/>
          <w:color w:val="auto"/>
        </w:rPr>
      </w:pPr>
    </w:p>
    <w:p>
      <w:pPr>
        <w:jc w:val="both"/>
        <w:ind w:left="40" w:right="240" w:firstLine="81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 of Landlord and Tenant</w:t>
      </w:r>
      <w:r>
        <w:rPr>
          <w:rFonts w:ascii="Times New Roman" w:cs="Times New Roman" w:eastAsia="Times New Roman" w:hAnsi="Times New Roman"/>
          <w:sz w:val="22"/>
          <w:szCs w:val="22"/>
          <w:color w:val="auto"/>
        </w:rPr>
        <w:t>. This Lease shall inure to the benefit of and be binding upon Landlord and Tenant and their respective successors and assigns.</w:t>
      </w:r>
    </w:p>
    <w:p>
      <w:pPr>
        <w:spacing w:after="0" w:line="185" w:lineRule="exact"/>
        <w:rPr>
          <w:sz w:val="20"/>
          <w:szCs w:val="20"/>
          <w:color w:val="auto"/>
        </w:rPr>
      </w:pPr>
    </w:p>
    <w:p>
      <w:pPr>
        <w:jc w:val="both"/>
        <w:ind w:left="40" w:right="240" w:firstLine="810"/>
        <w:spacing w:after="0" w:line="246" w:lineRule="auto"/>
        <w:rPr>
          <w:sz w:val="20"/>
          <w:szCs w:val="20"/>
          <w:color w:val="auto"/>
        </w:rPr>
      </w:pPr>
      <w:r>
        <w:rPr>
          <w:rFonts w:ascii="Times New Roman" w:cs="Times New Roman" w:eastAsia="Times New Roman" w:hAnsi="Times New Roman"/>
          <w:sz w:val="21"/>
          <w:szCs w:val="21"/>
          <w:u w:val="single" w:color="auto"/>
          <w:color w:val="auto"/>
        </w:rPr>
        <w:t>Section 16.02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Governing Law and Venue</w:t>
      </w:r>
      <w:r>
        <w:rPr>
          <w:rFonts w:ascii="Times New Roman" w:cs="Times New Roman" w:eastAsia="Times New Roman" w:hAnsi="Times New Roman"/>
          <w:sz w:val="21"/>
          <w:szCs w:val="21"/>
          <w:color w:val="auto"/>
        </w:rPr>
        <w:t>. This Lease shall be governed by and construed in accordance with the laws of the State where the Building is located and Tenant hereby agrees to the jurisdiction of the county and State in which the Building is located and any state or local court located within said county and state, and Tenant agrees that all service of process may be made by certified mail directed to Tenant at the address specified in Section 1.01(l), and service so made will be deemed to be completed five (5) business days after the same has been deposited in the United States mails, postage prepaid; provided that nothing contained herein will prevent Landlord from bringing any action or exercising any rights against any security or against Tenant individually, or against any property of Tenant within any other state to enforce any award or judgment obtained in the venue provided above, or such other venue as Landlord chooses. Tenant waives any objection to venue and any objection based on a more convenient forum in any action instituted herein.</w:t>
      </w:r>
    </w:p>
    <w:p>
      <w:pPr>
        <w:spacing w:after="0" w:line="202" w:lineRule="exact"/>
        <w:rPr>
          <w:sz w:val="20"/>
          <w:szCs w:val="20"/>
          <w:color w:val="auto"/>
        </w:rPr>
      </w:pPr>
    </w:p>
    <w:p>
      <w:pPr>
        <w:jc w:val="both"/>
        <w:ind w:left="40" w:right="240" w:firstLine="810"/>
        <w:spacing w:after="0" w:line="233" w:lineRule="auto"/>
        <w:rPr>
          <w:sz w:val="20"/>
          <w:szCs w:val="20"/>
          <w:color w:val="auto"/>
        </w:rPr>
      </w:pPr>
      <w:r>
        <w:rPr>
          <w:rFonts w:ascii="Times New Roman" w:cs="Times New Roman" w:eastAsia="Times New Roman" w:hAnsi="Times New Roman"/>
          <w:sz w:val="22"/>
          <w:szCs w:val="22"/>
          <w:u w:val="single" w:color="auto"/>
          <w:color w:val="auto"/>
        </w:rPr>
        <w:t>Section 16.03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Each of Landlord and Tenant (except with respect to the payment of any monetary obligation) shall be excused for the period of any delay in the performance of any obligation hereunder when such delay is occasioned by causes beyond its control, including, but not limited to, work stoppages, boycotts, slowdowns or strikes; shortages of materials, equipment, labor or energy; unusual weather conditions; riots; war; fires; floods; acts of God; failure of power or other utilities; restrictive governmental laws or regulations; civil disturbances; Pandemic Delay (defined herein); or acts, omissions or delays of action of governmental or political bodies (any such occurrence herein referred to as “</w:t>
      </w:r>
      <w:r>
        <w:rPr>
          <w:rFonts w:ascii="Times New Roman" w:cs="Times New Roman" w:eastAsia="Times New Roman" w:hAnsi="Times New Roman"/>
          <w:sz w:val="22"/>
          <w:szCs w:val="22"/>
          <w:b w:val="1"/>
          <w:bCs w:val="1"/>
          <w:color w:val="auto"/>
        </w:rPr>
        <w:t>Force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Majeure</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Pandemic Delay</w:t>
      </w:r>
      <w:r>
        <w:rPr>
          <w:rFonts w:ascii="Times New Roman" w:cs="Times New Roman" w:eastAsia="Times New Roman" w:hAnsi="Times New Roman"/>
          <w:sz w:val="22"/>
          <w:szCs w:val="22"/>
          <w:color w:val="auto"/>
        </w:rPr>
        <w:t>” shall mean delays resulting from any decree, order, ordinance, statute, moratorium,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governmental action or proceeding relating to the COVID-19 outbreak or other pandemic, illness, or communicable disease, which prohibits, restricts or materially delays</w:t>
      </w:r>
    </w:p>
    <w:p>
      <w:pPr>
        <w:spacing w:after="0" w:line="1" w:lineRule="exact"/>
        <w:rPr>
          <w:sz w:val="20"/>
          <w:szCs w:val="20"/>
          <w:color w:val="auto"/>
        </w:rPr>
      </w:pPr>
    </w:p>
    <w:p>
      <w:pPr>
        <w:ind w:left="40" w:right="420" w:firstLine="4"/>
        <w:spacing w:after="0" w:line="235" w:lineRule="auto"/>
        <w:tabs>
          <w:tab w:leader="none" w:pos="65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occupancy of the Leased Premises, (b) the review, processing or the issuance of permits or other approvals required for the design and construction of improvements and/or occupancy of theLeased Premises, (b) the performance of construction work on, at or for the Leased Premises, (c)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29" w:name="page230"/>
    <w:bookmarkEnd w:id="229"/>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the delivery of materials or supplies required for such construction, or (d) any other non-monetary performance under this Lease.</w:t>
      </w:r>
    </w:p>
    <w:p>
      <w:pPr>
        <w:spacing w:after="0" w:line="245" w:lineRule="exact"/>
        <w:rPr>
          <w:sz w:val="20"/>
          <w:szCs w:val="20"/>
          <w:color w:val="auto"/>
        </w:rPr>
      </w:pPr>
    </w:p>
    <w:p>
      <w:pPr>
        <w:jc w:val="both"/>
        <w:ind w:left="40" w:right="240" w:firstLine="810"/>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16.04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Examination of Lease</w:t>
      </w:r>
      <w:r>
        <w:rPr>
          <w:rFonts w:ascii="Times New Roman" w:cs="Times New Roman" w:eastAsia="Times New Roman" w:hAnsi="Times New Roman"/>
          <w:sz w:val="22"/>
          <w:szCs w:val="22"/>
          <w:color w:val="auto"/>
        </w:rPr>
        <w:t>. Submission of this instrument by Landlord to Tenant for examination or signature does not constitute an offer by Landlord to lease the Leased Premises. This Lease shall become effective, if at all, only upon the execution by and delivery to both Landlord and Tenant. Execution and delivery of this Lease by Tenant to Landlord constitutes an offer to lease the Leased Premises on the terms contained herein. The offer by Tenant will be irrevocable until 6:00 p.m. EST, fifteen (15) days after the date Landlord receives this Lease executed by Tenant.</w:t>
      </w:r>
    </w:p>
    <w:p>
      <w:pPr>
        <w:spacing w:after="0" w:line="204" w:lineRule="exact"/>
        <w:rPr>
          <w:sz w:val="20"/>
          <w:szCs w:val="20"/>
          <w:color w:val="auto"/>
        </w:rPr>
      </w:pPr>
    </w:p>
    <w:p>
      <w:pPr>
        <w:jc w:val="both"/>
        <w:ind w:left="40" w:right="240" w:firstLine="810"/>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16.05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Indemnification for Leasing Commissions</w:t>
      </w:r>
      <w:r>
        <w:rPr>
          <w:rFonts w:ascii="Times New Roman" w:cs="Times New Roman" w:eastAsia="Times New Roman" w:hAnsi="Times New Roman"/>
          <w:sz w:val="22"/>
          <w:szCs w:val="22"/>
          <w:color w:val="auto"/>
        </w:rPr>
        <w:t>. Each of Landlord and Tenant hereby represents and warrants that the only real estate brokers involved in the negotiation and execution of this Lease are the Brokers and that no other party is entitled, as a result of the actions of the respective party, to a commission or other fee resulting from the execution of this Lease. Each of Landlord and Tenant shall indemnify the other from any and all liability for the breach of this representation and warranty on its part and shall pay any compensation to any other broker or person who may be entitled thereto. Landlord shall pay any commissions due the Brokers based on this Lease pursuant to separate agreements between Landlord and Brokers.</w:t>
      </w:r>
    </w:p>
    <w:p>
      <w:pPr>
        <w:spacing w:after="0" w:line="210" w:lineRule="exact"/>
        <w:rPr>
          <w:sz w:val="20"/>
          <w:szCs w:val="20"/>
          <w:color w:val="auto"/>
        </w:rPr>
      </w:pPr>
    </w:p>
    <w:p>
      <w:pPr>
        <w:jc w:val="both"/>
        <w:ind w:left="40" w:right="240" w:firstLine="810"/>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16.06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required or permitted to be given under this Lease or by any Laws shall be deemed to have been given if it is written and delivered in person or by overnight courier or mailed by certified mail, postage prepaid, to the party who is to receive such notice at the address specified in </w:t>
      </w:r>
      <w:r>
        <w:rPr>
          <w:rFonts w:ascii="Times New Roman" w:cs="Times New Roman" w:eastAsia="Times New Roman" w:hAnsi="Times New Roman"/>
          <w:sz w:val="22"/>
          <w:szCs w:val="22"/>
          <w:u w:val="single" w:color="auto"/>
          <w:color w:val="auto"/>
        </w:rPr>
        <w:t>Section 1.01(l)</w:t>
      </w:r>
      <w:r>
        <w:rPr>
          <w:rFonts w:ascii="Times New Roman" w:cs="Times New Roman" w:eastAsia="Times New Roman" w:hAnsi="Times New Roman"/>
          <w:sz w:val="22"/>
          <w:szCs w:val="22"/>
          <w:color w:val="auto"/>
        </w:rPr>
        <w:t>. If delivered in person, the notice shall be deemed given as of the delivery date. If sent by overnight courier, the notice shall be deemed to have been given as of the date of delivery. If mailed by certified mail, the notice shall be deemed to have been given on the date that is three (3) business days following mailing. Rejection or other refusal by the addressee to accept or the inability of the carrier to deliver because of a changed address of which no notice was given shall be deemed to be the receipt of the notice sent. Either party may change its address by giving written notice thereof to the other party.</w:t>
      </w:r>
    </w:p>
    <w:p>
      <w:pPr>
        <w:spacing w:after="0" w:line="205" w:lineRule="exact"/>
        <w:rPr>
          <w:sz w:val="20"/>
          <w:szCs w:val="20"/>
          <w:color w:val="auto"/>
        </w:rPr>
      </w:pPr>
    </w:p>
    <w:p>
      <w:pPr>
        <w:jc w:val="both"/>
        <w:ind w:left="40" w:right="240" w:firstLine="810"/>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16.07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Partial Invalidity; Complete Agreement</w:t>
      </w:r>
      <w:r>
        <w:rPr>
          <w:rFonts w:ascii="Times New Roman" w:cs="Times New Roman" w:eastAsia="Times New Roman" w:hAnsi="Times New Roman"/>
          <w:sz w:val="22"/>
          <w:szCs w:val="22"/>
          <w:color w:val="auto"/>
        </w:rPr>
        <w:t>. If any provision of this Lease shall be held to be invalid, void or unenforceable, the remaining provisions shall remain in full force and effect. This Lease represents the entire agreement between Landlord and Tenant covering everything agreed upon or understood in this transaction. There are no oral promises, conditions, representations, understandings, interpretations or terms of any kind as conditions or inducements to the execution hereof or in effect between the parties. No change or addition shall be made to this Lease except by a written agreement executed by Landlord and Tenant.</w:t>
      </w:r>
    </w:p>
    <w:p>
      <w:pPr>
        <w:spacing w:after="0" w:line="208" w:lineRule="exact"/>
        <w:rPr>
          <w:sz w:val="20"/>
          <w:szCs w:val="20"/>
          <w:color w:val="auto"/>
        </w:rPr>
      </w:pPr>
    </w:p>
    <w:p>
      <w:pPr>
        <w:jc w:val="both"/>
        <w:ind w:left="40" w:right="240" w:firstLine="810"/>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16.08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During the Lease Term and any extensions thereof, Tenant shall provide to Landlord within twenty (20) days after Tenant’s receipt of written request therefor, a copy of each of Tenant’s most recent financial statements prepared as of the end of the most recent fiscal year and as of the end of the most recent fiscal quarter; provided, however, Tenant shall not be required to deliver such financial statements more than two (2) times per a calendar year. Such financial statements shall be signed by Tenant or an officer of Tenant, if applicable, who shall attest to the truth and accuracy of the information set forth in such statements,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30" w:name="page231"/>
    <w:bookmarkEnd w:id="230"/>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52" w:right="240"/>
        <w:spacing w:after="0" w:line="238" w:lineRule="auto"/>
        <w:rPr>
          <w:sz w:val="20"/>
          <w:szCs w:val="20"/>
          <w:color w:val="auto"/>
        </w:rPr>
      </w:pPr>
      <w:r>
        <w:rPr>
          <w:rFonts w:ascii="Times New Roman" w:cs="Times New Roman" w:eastAsia="Times New Roman" w:hAnsi="Times New Roman"/>
          <w:sz w:val="22"/>
          <w:szCs w:val="22"/>
          <w:color w:val="auto"/>
        </w:rPr>
        <w:t>or if the Minimum Annual Rent hereunder exceeds $100,000.00, said statements shall be certified and audited. All financial statements provided by Tenant to Landlord hereunder shall be prepared in conformity with generally accepted accounting principles, consistently applied. If Tenant is a publicly traded corporation subject to the regulations of the U. S.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Tenant may satisfy its obligations hereunder by providing to Landlord Tenant's most recent annual and quarterly reports filed with the SEC.</w:t>
      </w:r>
    </w:p>
    <w:p>
      <w:pPr>
        <w:spacing w:after="0" w:line="204"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22"/>
          <w:szCs w:val="22"/>
          <w:u w:val="single" w:color="auto"/>
          <w:color w:val="auto"/>
        </w:rPr>
        <w:t>Section 16.09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52" w:right="500" w:hanging="752"/>
        <w:spacing w:after="0" w:line="238" w:lineRule="auto"/>
        <w:tabs>
          <w:tab w:leader="none" w:pos="14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represents and warrants that (i) Tenant is duly organized, validly existing and in good standing (if applicable) in accordance with the laws of the jurisdiction under which it was organized; (ii) Tenant is authorized to do business in the State where the Building is located; and (iii) the individual(s) executing and delivering this Lease on behalf of Tenant has been properly authorized to do so, and such execution and delivery shall bind Tenant to its terms.</w:t>
      </w:r>
    </w:p>
    <w:p>
      <w:pPr>
        <w:spacing w:after="0" w:line="203" w:lineRule="exact"/>
        <w:rPr>
          <w:rFonts w:ascii="Times New Roman" w:cs="Times New Roman" w:eastAsia="Times New Roman" w:hAnsi="Times New Roman"/>
          <w:sz w:val="22"/>
          <w:szCs w:val="22"/>
          <w:color w:val="auto"/>
        </w:rPr>
      </w:pPr>
    </w:p>
    <w:p>
      <w:pPr>
        <w:ind w:left="752" w:right="460" w:hanging="752"/>
        <w:spacing w:after="0" w:line="238" w:lineRule="auto"/>
        <w:tabs>
          <w:tab w:leader="none" w:pos="14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represents and warrants that (i) Landlord is duly organized, validlyexisting and in good standing (if applicable) in accordance with the laws of the jurisdiction under which it was organized; (ii) Landlord is authorized to do business in the State where the Building is located; and (iii) the individual(s) executing and delivering this Lease on behalf of Landlord hasbeen properly authorized to do so, and such execution and delivery shall bind Landlord to its terms.</w:t>
      </w:r>
    </w:p>
    <w:p>
      <w:pPr>
        <w:spacing w:after="0" w:line="204" w:lineRule="exact"/>
        <w:rPr>
          <w:sz w:val="20"/>
          <w:szCs w:val="20"/>
          <w:color w:val="auto"/>
        </w:rPr>
      </w:pPr>
    </w:p>
    <w:p>
      <w:pPr>
        <w:jc w:val="both"/>
        <w:ind w:left="52" w:right="240" w:firstLine="810"/>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16.10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Consent or Approval</w:t>
      </w:r>
      <w:r>
        <w:rPr>
          <w:rFonts w:ascii="Times New Roman" w:cs="Times New Roman" w:eastAsia="Times New Roman" w:hAnsi="Times New Roman"/>
          <w:sz w:val="22"/>
          <w:szCs w:val="22"/>
          <w:color w:val="auto"/>
        </w:rPr>
        <w:t>. Where the consent or approval of a party is required, such consent or approval will not be unreasonably withheld, conditioned or delayed, except as to Landlord’s consent to a change of use, which consents or approvals may be withheld in Landlord’s sole and absolute discretion. Whenever Landlord’s consent or approval is required hereunder, such consent or approval shall only be valid when given expressly in writing and identified in such writing as being intended as a consent or approval required by the terms of this Lease. Consent or approval shall never be implied by any act performed or statement made by Landlord, or its agents, representatives or employees.</w:t>
      </w:r>
    </w:p>
    <w:p>
      <w:pPr>
        <w:spacing w:after="0" w:line="208"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22"/>
          <w:szCs w:val="22"/>
          <w:u w:val="single" w:color="auto"/>
          <w:color w:val="auto"/>
        </w:rPr>
        <w:t>Section 16.11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Time is of the essence of each term and provision of this Lease.</w:t>
      </w:r>
    </w:p>
    <w:p>
      <w:pPr>
        <w:spacing w:after="0" w:line="202" w:lineRule="exact"/>
        <w:rPr>
          <w:sz w:val="20"/>
          <w:szCs w:val="20"/>
          <w:color w:val="auto"/>
        </w:rPr>
      </w:pPr>
    </w:p>
    <w:p>
      <w:pPr>
        <w:jc w:val="both"/>
        <w:ind w:left="52" w:right="240" w:firstLine="810"/>
        <w:spacing w:after="0" w:line="245" w:lineRule="auto"/>
        <w:rPr>
          <w:sz w:val="20"/>
          <w:szCs w:val="20"/>
          <w:color w:val="auto"/>
        </w:rPr>
      </w:pPr>
      <w:r>
        <w:rPr>
          <w:rFonts w:ascii="Times New Roman" w:cs="Times New Roman" w:eastAsia="Times New Roman" w:hAnsi="Times New Roman"/>
          <w:sz w:val="21"/>
          <w:szCs w:val="21"/>
          <w:u w:val="single" w:color="auto"/>
          <w:color w:val="auto"/>
        </w:rPr>
        <w:t>Section 16.12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Anti-Corruption Laws and Sanctions</w:t>
      </w:r>
      <w:r>
        <w:rPr>
          <w:rFonts w:ascii="Times New Roman" w:cs="Times New Roman" w:eastAsia="Times New Roman" w:hAnsi="Times New Roman"/>
          <w:sz w:val="21"/>
          <w:szCs w:val="21"/>
          <w:color w:val="auto"/>
        </w:rPr>
        <w:t>. For purposes hereof, (a) “</w:t>
      </w:r>
      <w:r>
        <w:rPr>
          <w:rFonts w:ascii="Times New Roman" w:cs="Times New Roman" w:eastAsia="Times New Roman" w:hAnsi="Times New Roman"/>
          <w:sz w:val="21"/>
          <w:szCs w:val="21"/>
          <w:b w:val="1"/>
          <w:bCs w:val="1"/>
          <w:color w:val="auto"/>
        </w:rPr>
        <w:t>Anti- Corruption Laws</w:t>
      </w:r>
      <w:r>
        <w:rPr>
          <w:rFonts w:ascii="Times New Roman" w:cs="Times New Roman" w:eastAsia="Times New Roman" w:hAnsi="Times New Roman"/>
          <w:sz w:val="21"/>
          <w:szCs w:val="21"/>
          <w:color w:val="auto"/>
        </w:rPr>
        <w:t xml:space="preserve"> ” shall mean all Laws applicable to a pertinent party from time to time concerning or relating to bribery or anti-corruption; (b) “</w:t>
      </w:r>
      <w:r>
        <w:rPr>
          <w:rFonts w:ascii="Times New Roman" w:cs="Times New Roman" w:eastAsia="Times New Roman" w:hAnsi="Times New Roman"/>
          <w:sz w:val="21"/>
          <w:szCs w:val="21"/>
          <w:b w:val="1"/>
          <w:bCs w:val="1"/>
          <w:color w:val="auto"/>
        </w:rPr>
        <w:t>Sanctions</w:t>
      </w:r>
      <w:r>
        <w:rPr>
          <w:rFonts w:ascii="Times New Roman" w:cs="Times New Roman" w:eastAsia="Times New Roman" w:hAnsi="Times New Roman"/>
          <w:sz w:val="21"/>
          <w:szCs w:val="21"/>
          <w:color w:val="auto"/>
        </w:rPr>
        <w:t>” shall mean all applicable economic or financial sanctions or trade embargoes imposed, administered or enforced from time to time by the U.S. federal government, including those administered by the Office of Foreign Assets Control, the United States Department of Treasury (“</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 or the U.S. Department of State; and (c) “</w:t>
      </w:r>
      <w:r>
        <w:rPr>
          <w:rFonts w:ascii="Times New Roman" w:cs="Times New Roman" w:eastAsia="Times New Roman" w:hAnsi="Times New Roman"/>
          <w:sz w:val="21"/>
          <w:szCs w:val="21"/>
          <w:b w:val="1"/>
          <w:bCs w:val="1"/>
          <w:color w:val="auto"/>
        </w:rPr>
        <w:t>Sanctioned Person</w:t>
      </w:r>
      <w:r>
        <w:rPr>
          <w:rFonts w:ascii="Times New Roman" w:cs="Times New Roman" w:eastAsia="Times New Roman" w:hAnsi="Times New Roman"/>
          <w:sz w:val="21"/>
          <w:szCs w:val="21"/>
          <w:color w:val="auto"/>
        </w:rPr>
        <w:t>” shall mean, at any time, (i) any person or entity listed in any Sanctions-related list of designated persons or entities maintained by OFAC or the U.S. Department of State, (ii) unless otherwise authorized by OFAC, any person or entity operating, organized or resident in any country or territory which is itself the subject or target of any full- scope (non-list based) Sanctions, or (iii) any ownership of fifty percent (50%) or more of an entity by persons or entities described in the foregoing clauses (i) or (ii). Each of Landlord and Tenant represents and warrants that neither it nor any of its subsidiaries, nor to its knowledge, their respective directors, officers, employees or agents, is a Sanctioned Person. Each party further</w:t>
      </w:r>
    </w:p>
    <w:p>
      <w:pPr>
        <w:spacing w:after="0" w:line="200" w:lineRule="exact"/>
        <w:rPr>
          <w:sz w:val="20"/>
          <w:szCs w:val="20"/>
          <w:color w:val="auto"/>
        </w:rPr>
      </w:pPr>
    </w:p>
    <w:p>
      <w:pPr>
        <w:spacing w:after="0" w:line="21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31" w:name="page232"/>
    <w:bookmarkEnd w:id="231"/>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40" w:right="240"/>
        <w:spacing w:after="0" w:line="236" w:lineRule="auto"/>
        <w:rPr>
          <w:sz w:val="20"/>
          <w:szCs w:val="20"/>
          <w:color w:val="auto"/>
        </w:rPr>
      </w:pPr>
      <w:r>
        <w:rPr>
          <w:rFonts w:ascii="Times New Roman" w:cs="Times New Roman" w:eastAsia="Times New Roman" w:hAnsi="Times New Roman"/>
          <w:sz w:val="22"/>
          <w:szCs w:val="22"/>
          <w:color w:val="auto"/>
        </w:rPr>
        <w:t>represents that it and its subsidiaries, and to its knowledge, their respective directors, officers, employees and agents, complies and shall continue to comply in all material respects with all Sanctions and with all Anti-Corruption Laws. Each party will use reasonable efforts to notify the other in writing if any of the foregoing representations and warranties are no longer true or have been breached or if such party has a reasonable basis to believe that they may no longer be true or have been breached. In the event of any violation of this Section by Tenant, Landlord will be entitled to immediately terminate this Lease and take such other actions as are permitted or required to be taken under law or in equity.</w:t>
      </w:r>
    </w:p>
    <w:p>
      <w:pPr>
        <w:spacing w:after="0" w:line="208" w:lineRule="exact"/>
        <w:rPr>
          <w:sz w:val="20"/>
          <w:szCs w:val="20"/>
          <w:color w:val="auto"/>
        </w:rPr>
      </w:pPr>
    </w:p>
    <w:p>
      <w:pPr>
        <w:jc w:val="both"/>
        <w:ind w:left="40" w:right="240" w:firstLine="810"/>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16.13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Tenant shall use reasonable efforts to cooperate with Landlord, without cost to Tenant, in connection with the completion of any written surveys or evaluations relating to the Building, the Park or Landlord.</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u w:val="single" w:color="auto"/>
          <w:color w:val="auto"/>
        </w:rPr>
        <w:t>Section 16.14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0" w:right="240" w:firstLine="81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16.15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Air and Light</w:t>
      </w:r>
      <w:r>
        <w:rPr>
          <w:rFonts w:ascii="Times New Roman" w:cs="Times New Roman" w:eastAsia="Times New Roman" w:hAnsi="Times New Roman"/>
          <w:sz w:val="22"/>
          <w:szCs w:val="22"/>
          <w:color w:val="auto"/>
        </w:rPr>
        <w:t>. This Lease does not grant or guarantee Tenant continuance of or any right of a view, or any easement for light and air over any property adjoining the Leased Premises or the Building.</w:t>
      </w:r>
    </w:p>
    <w:p>
      <w:pPr>
        <w:spacing w:after="0" w:line="158" w:lineRule="exact"/>
        <w:rPr>
          <w:sz w:val="20"/>
          <w:szCs w:val="20"/>
          <w:color w:val="auto"/>
        </w:rPr>
      </w:pPr>
    </w:p>
    <w:p>
      <w:pPr>
        <w:jc w:val="both"/>
        <w:ind w:left="40" w:right="240" w:firstLine="810"/>
        <w:spacing w:after="0" w:line="235" w:lineRule="auto"/>
        <w:rPr>
          <w:sz w:val="20"/>
          <w:szCs w:val="20"/>
          <w:color w:val="auto"/>
        </w:rPr>
      </w:pPr>
      <w:r>
        <w:rPr>
          <w:rFonts w:ascii="Times New Roman" w:cs="Times New Roman" w:eastAsia="Times New Roman" w:hAnsi="Times New Roman"/>
          <w:sz w:val="22"/>
          <w:szCs w:val="22"/>
          <w:u w:val="single" w:color="auto"/>
          <w:color w:val="auto"/>
        </w:rPr>
        <w:t>Section 16.16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Status of Landlord</w:t>
      </w:r>
      <w:r>
        <w:rPr>
          <w:rFonts w:ascii="Times New Roman" w:cs="Times New Roman" w:eastAsia="Times New Roman" w:hAnsi="Times New Roman"/>
          <w:sz w:val="22"/>
          <w:szCs w:val="22"/>
          <w:color w:val="auto"/>
        </w:rPr>
        <w:t>. The term “Landlord” as used herein, so far as covenants or obligations on Landlord’s part are concerned, shall be limited to mean and include only the owner(s) at the time in question of Landlord’s interest in the Building and Common Areas. Notwithstanding any other provision of this Lease, Tenant agrees that no officer, director, agent, partner or employee of Landlord or of the owner or of any subsequent owners of the Building or the Land shall be responsible or liable for the performance or nonperformance of any agreement, covenant, or obligation of Landlord in this Lease in his or her individual or personal capacity, and Tenant agrees to look solely to the equity interest of Landlord in the Building as the sole asset for the payment and satisfaction of all obligations and liabilities of Landlord or any subsequent owners of the Building.</w:t>
      </w:r>
    </w:p>
    <w:p>
      <w:pPr>
        <w:spacing w:after="0" w:line="178" w:lineRule="exact"/>
        <w:rPr>
          <w:sz w:val="20"/>
          <w:szCs w:val="20"/>
          <w:color w:val="auto"/>
        </w:rPr>
      </w:pPr>
    </w:p>
    <w:p>
      <w:pPr>
        <w:jc w:val="both"/>
        <w:ind w:left="40" w:right="240" w:firstLine="810"/>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16.17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Waiver by Landlord of any term, covenant, requirement, or condition herein contained shall not be deemed to be a permanent or continuing waiver thereof, nor as a waiver of any other term, covenant, condition, or requirement of this Lease, and subsequent acceptance of rent hereunder by Landlord shall not be deemed to be a waiver of any breach by Tenant of any term, covenant, requirement, or condition or any subsequent breach of the same or any other term, requirement, covenant or condition herein contained.</w:t>
      </w:r>
    </w:p>
    <w:p>
      <w:pPr>
        <w:spacing w:after="0" w:line="177" w:lineRule="exact"/>
        <w:rPr>
          <w:sz w:val="20"/>
          <w:szCs w:val="20"/>
          <w:color w:val="auto"/>
        </w:rPr>
      </w:pPr>
    </w:p>
    <w:p>
      <w:pPr>
        <w:jc w:val="both"/>
        <w:ind w:left="40" w:right="240" w:firstLine="810"/>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16.18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Quiet Enjoyment</w:t>
      </w:r>
      <w:r>
        <w:rPr>
          <w:rFonts w:ascii="Times New Roman" w:cs="Times New Roman" w:eastAsia="Times New Roman" w:hAnsi="Times New Roman"/>
          <w:sz w:val="22"/>
          <w:szCs w:val="22"/>
          <w:color w:val="auto"/>
        </w:rPr>
        <w:t>. Upon Tenant’s paying rent and all other charges due hereunder, and observing and performing all terms, covenants, conditions and provisions on its part to be observed and performed, Tenant may peaceably and quietly enjoy the Leased Premises, subject, however, to the terms, covenants, conditions and provisions hereof and of any Mortgage Lien(s) encumbering the Building.</w:t>
      </w:r>
    </w:p>
    <w:p>
      <w:pPr>
        <w:spacing w:after="0" w:line="180" w:lineRule="exact"/>
        <w:rPr>
          <w:sz w:val="20"/>
          <w:szCs w:val="20"/>
          <w:color w:val="auto"/>
        </w:rPr>
      </w:pPr>
    </w:p>
    <w:p>
      <w:pPr>
        <w:jc w:val="both"/>
        <w:ind w:left="40" w:right="240" w:firstLine="810"/>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16.19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captions or headings to the various articles and sections hereof are inserted only as a matter of convenience and for reference, and in no way define, limit, construe or describe the scope hereof or the intent of any provision hereof. When applicable, use of the singular form of any word shall also mean and apply to the plural, and the neuter form shall</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32" w:name="page233"/>
    <w:bookmarkEnd w:id="232"/>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40" w:right="240"/>
        <w:spacing w:after="0" w:line="239" w:lineRule="auto"/>
        <w:rPr>
          <w:sz w:val="20"/>
          <w:szCs w:val="20"/>
          <w:color w:val="auto"/>
        </w:rPr>
      </w:pPr>
      <w:r>
        <w:rPr>
          <w:rFonts w:ascii="Times New Roman" w:cs="Times New Roman" w:eastAsia="Times New Roman" w:hAnsi="Times New Roman"/>
          <w:sz w:val="22"/>
          <w:szCs w:val="22"/>
          <w:color w:val="auto"/>
        </w:rPr>
        <w:t>mean and apply to the masculine or feminine. Landlord and Tenant hereby acknowledge and agree that any rule of construction to the effect that ambiguities are to be resolved against the drafting parties shall not apply in the interpretation of this Lease, or any portions hereof, or any amendments hereto. This Lease shall not be recorded. All Exhibits referenced in this Lease are attached hereto and incorporated herein by reference.</w:t>
      </w:r>
    </w:p>
    <w:p>
      <w:pPr>
        <w:spacing w:after="0" w:line="180" w:lineRule="exact"/>
        <w:rPr>
          <w:sz w:val="20"/>
          <w:szCs w:val="20"/>
          <w:color w:val="auto"/>
        </w:rPr>
      </w:pPr>
    </w:p>
    <w:p>
      <w:pPr>
        <w:jc w:val="both"/>
        <w:ind w:left="40" w:right="240" w:firstLine="810"/>
        <w:spacing w:after="0" w:line="236" w:lineRule="auto"/>
        <w:rPr>
          <w:sz w:val="20"/>
          <w:szCs w:val="20"/>
          <w:color w:val="auto"/>
        </w:rPr>
      </w:pPr>
      <w:r>
        <w:rPr>
          <w:rFonts w:ascii="Times New Roman" w:cs="Times New Roman" w:eastAsia="Times New Roman" w:hAnsi="Times New Roman"/>
          <w:sz w:val="22"/>
          <w:szCs w:val="22"/>
          <w:u w:val="single" w:color="auto"/>
          <w:color w:val="auto"/>
        </w:rPr>
        <w:t>Section 16.20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Counterparts; Electronic Signatures</w:t>
      </w:r>
      <w:r>
        <w:rPr>
          <w:rFonts w:ascii="Times New Roman" w:cs="Times New Roman" w:eastAsia="Times New Roman" w:hAnsi="Times New Roman"/>
          <w:sz w:val="22"/>
          <w:szCs w:val="22"/>
          <w:color w:val="auto"/>
        </w:rPr>
        <w:t>. This Lease may be executed in separate counterparts, each of which when so executed shall be an original, but all of which together shall constitute but one and the same instrument. The parties acknowledge and agree that this Lease may be executed by electronic signature, which shall be considered as an original signature for all purposes and shall have the same force and effect as an original signature. Without limitation, “electronic signature” shall include signatures via DocuSign, faxed versions of an original signature or electronically scanned and transmitted versions (e.g., via pdf) of an original signature.</w:t>
      </w:r>
    </w:p>
    <w:p>
      <w:pPr>
        <w:spacing w:after="0" w:line="181" w:lineRule="exact"/>
        <w:rPr>
          <w:sz w:val="20"/>
          <w:szCs w:val="20"/>
          <w:color w:val="auto"/>
        </w:rPr>
      </w:pPr>
    </w:p>
    <w:p>
      <w:pPr>
        <w:jc w:val="both"/>
        <w:ind w:left="40" w:right="240" w:firstLine="810"/>
        <w:spacing w:after="0" w:line="232" w:lineRule="auto"/>
        <w:rPr>
          <w:sz w:val="20"/>
          <w:szCs w:val="20"/>
          <w:color w:val="auto"/>
        </w:rPr>
      </w:pPr>
      <w:r>
        <w:rPr>
          <w:rFonts w:ascii="Times New Roman" w:cs="Times New Roman" w:eastAsia="Times New Roman" w:hAnsi="Times New Roman"/>
          <w:sz w:val="22"/>
          <w:szCs w:val="22"/>
          <w:u w:val="single" w:color="auto"/>
          <w:color w:val="auto"/>
        </w:rPr>
        <w:t>Section 16.21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Access to Roof</w:t>
      </w:r>
      <w:r>
        <w:rPr>
          <w:rFonts w:ascii="Times New Roman" w:cs="Times New Roman" w:eastAsia="Times New Roman" w:hAnsi="Times New Roman"/>
          <w:sz w:val="22"/>
          <w:szCs w:val="22"/>
          <w:color w:val="auto"/>
        </w:rPr>
        <w:t>. Tenant shall have the right to access the roof of the Building upon prior notice to Landlord (except in the case of an emergency where no prior notice shall be required). Tenant may install and maintain supplemental HVAC and a satellite dish or similar antenna device on the roof of the Building solely for use by Tenant, its successors, subtenants and assigns in connection with the Permitted Use (“</w:t>
      </w:r>
      <w:r>
        <w:rPr>
          <w:rFonts w:ascii="Times New Roman" w:cs="Times New Roman" w:eastAsia="Times New Roman" w:hAnsi="Times New Roman"/>
          <w:sz w:val="22"/>
          <w:szCs w:val="22"/>
          <w:b w:val="1"/>
          <w:bCs w:val="1"/>
          <w:color w:val="auto"/>
        </w:rPr>
        <w:t>Roof Equipment</w:t>
      </w:r>
      <w:r>
        <w:rPr>
          <w:rFonts w:ascii="Times New Roman" w:cs="Times New Roman" w:eastAsia="Times New Roman" w:hAnsi="Times New Roman"/>
          <w:sz w:val="22"/>
          <w:szCs w:val="22"/>
          <w:color w:val="auto"/>
        </w:rPr>
        <w:t xml:space="preserve">”), subject to the following: (a) compliance with applicable governmental laws and regulations; (b) the right of Landlord to supervise any work or entry upon the roof of the Building (except in the case of an emergency where no such right shall be required); (c) compliance with the terms and conditions of the roof warranty for the Building, including, if required by Landlord, performance of all work relating to the Roof Equipment by Landlord’s roof contractor; and (d) screening the Roof Equipment so as not to be visible at street level. This right shall be personal to the tenant named herein (e.g., Taysha Gene Therapies, Inc.) or any Permitted Transferee who assumed the Lease or subleased the entire Leased Premises pursuant to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Tenant shall protect, defend, indemnify and hold harmless Landlord from and against any and all claims, damages, liabilities, costs or expenses of every kind and nature (including, without limitation, reasonable attorney’s fees) imposed upon or incurred by or asserted against Landlord arising out of Tenant’s installation, maintenance, use or removal of the Roof Equipment. Tenant will pay the cost of repairing any damage done to the Building, the roof of the Building, or the Common Areas by Tenant, its agents or employees. Upon expiration or earlier termination of this Lease, Tenant shall, at Tenant’s sole cost and expense, (i) promptly remove the Roof Equipment and repair any damage caused by such removal and restore the roof substantially to the condition it was in prior to the installation of the Roof Equipment (ordinary wear and tear excepted), and (ii) if requested by Landlord, remove all cabling related to the Roof Equipment, repair any damage caused by such removal, and restore those portions of the Building utilized to the condition they were in prior to the installation of the Roof Equipment (ordinary wear and tear excepted).</w:t>
      </w:r>
    </w:p>
    <w:p>
      <w:pPr>
        <w:spacing w:after="0" w:line="185" w:lineRule="exact"/>
        <w:rPr>
          <w:sz w:val="20"/>
          <w:szCs w:val="20"/>
          <w:color w:val="auto"/>
        </w:rPr>
      </w:pPr>
    </w:p>
    <w:p>
      <w:pPr>
        <w:jc w:val="both"/>
        <w:ind w:left="40" w:right="240" w:firstLine="810"/>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16.22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Waiver of Right to Jury Trial and Permissive Counterclaims</w:t>
      </w:r>
      <w:r>
        <w:rPr>
          <w:rFonts w:ascii="Times New Roman" w:cs="Times New Roman" w:eastAsia="Times New Roman" w:hAnsi="Times New Roman"/>
          <w:sz w:val="22"/>
          <w:szCs w:val="22"/>
          <w:color w:val="auto"/>
        </w:rPr>
        <w:t>. Landlord and Tenant hereby waive their respective right to a trial by jury in any action, proceeding or counterclaim involving any matter whatsoever arising out of or in connection with (i) the Lease,</w:t>
      </w:r>
    </w:p>
    <w:p>
      <w:pPr>
        <w:ind w:left="40" w:right="400" w:firstLine="4"/>
        <w:spacing w:after="0" w:line="235" w:lineRule="auto"/>
        <w:tabs>
          <w:tab w:leader="none" w:pos="69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Leased Premises, (iii) Tenant’s use or occupancy of the Leased Premises, or (iv) the right to any statutory relief or remedy. Tenant hereby waives the right to interpose any permissive counterclaim of any nature in any action or proceeding commenced by Landlord to obtain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33" w:name="page234"/>
    <w:bookmarkEnd w:id="233"/>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52" w:right="240"/>
        <w:spacing w:after="0" w:line="246" w:lineRule="auto"/>
        <w:rPr>
          <w:sz w:val="20"/>
          <w:szCs w:val="20"/>
          <w:color w:val="auto"/>
        </w:rPr>
      </w:pPr>
      <w:r>
        <w:rPr>
          <w:rFonts w:ascii="Times New Roman" w:cs="Times New Roman" w:eastAsia="Times New Roman" w:hAnsi="Times New Roman"/>
          <w:sz w:val="21"/>
          <w:szCs w:val="21"/>
          <w:color w:val="auto"/>
        </w:rPr>
        <w:t>possession of the Leased Premises; provided, however, that the parties agree that “permissive counterclaim” as used herein excludes counterclaims that are required to be brought by applicable statute or will be deemed forever waived if not then asserted. If Tenant violates this provision by filing a permissive counterclaim, without prejudice to Landlord’s right to have such counterclaim dismissed, the parties stipulate that should the court permit Tenant to maintain the counterclaim, the counterclaim shall be severed and tried separately from the action for possession. This shall not, however, be construed as a waiver of Tenant’s right to assert such claims in a separate action brought by Tenant. The waivers set forth in this Section are made knowingly, intentionally, and voluntarily by Tenant. Tenant further acknowledges that it has been represented in the making of these waivers by independent counsel, selected of its own free will, and that it has had the opportunity to discuss these waivers with counsel. This provision is a material inducement to Landlord in agreeing to enter into this Lease.</w:t>
      </w:r>
    </w:p>
    <w:p>
      <w:pPr>
        <w:spacing w:after="0" w:line="175" w:lineRule="exact"/>
        <w:rPr>
          <w:sz w:val="20"/>
          <w:szCs w:val="20"/>
          <w:color w:val="auto"/>
        </w:rPr>
      </w:pPr>
    </w:p>
    <w:p>
      <w:pPr>
        <w:jc w:val="both"/>
        <w:ind w:left="52" w:right="240" w:firstLine="810"/>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16.23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Relationship of the Parties</w:t>
      </w:r>
      <w:r>
        <w:rPr>
          <w:rFonts w:ascii="Times New Roman" w:cs="Times New Roman" w:eastAsia="Times New Roman" w:hAnsi="Times New Roman"/>
          <w:sz w:val="21"/>
          <w:szCs w:val="21"/>
          <w:color w:val="auto"/>
        </w:rPr>
        <w:t>. Landlord and Tenant agree that the relationship between them is that of landlord and tenant and that Landlord is leasing space to Tenant. It is not the intention of the parties, nor shall anything herein be constructed to constitute Landlord as a partner or joint venturer with Tenant, or as a “warehouseman” or a “bailee.”</w:t>
      </w:r>
    </w:p>
    <w:p>
      <w:pPr>
        <w:spacing w:after="0" w:line="157" w:lineRule="exact"/>
        <w:rPr>
          <w:sz w:val="20"/>
          <w:szCs w:val="20"/>
          <w:color w:val="auto"/>
        </w:rPr>
      </w:pPr>
    </w:p>
    <w:p>
      <w:pPr>
        <w:jc w:val="both"/>
        <w:ind w:left="52" w:right="240" w:firstLine="810"/>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16.24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Incentives</w:t>
      </w:r>
      <w:r>
        <w:rPr>
          <w:rFonts w:ascii="Times New Roman" w:cs="Times New Roman" w:eastAsia="Times New Roman" w:hAnsi="Times New Roman"/>
          <w:sz w:val="22"/>
          <w:szCs w:val="22"/>
          <w:color w:val="auto"/>
        </w:rPr>
        <w:t>. Landlord shall use reasonable efforts to cooperate with Tenant, without cost to Landlord, in connection with Tenant’s procurement of financial assistance from the North Carolina Department of Commerce and the Local Economic Development Authorities (the “</w:t>
      </w:r>
      <w:r>
        <w:rPr>
          <w:rFonts w:ascii="Times New Roman" w:cs="Times New Roman" w:eastAsia="Times New Roman" w:hAnsi="Times New Roman"/>
          <w:sz w:val="22"/>
          <w:szCs w:val="22"/>
          <w:b w:val="1"/>
          <w:bCs w:val="1"/>
          <w:color w:val="auto"/>
        </w:rPr>
        <w:t>Incentives</w:t>
      </w:r>
      <w:r>
        <w:rPr>
          <w:rFonts w:ascii="Times New Roman" w:cs="Times New Roman" w:eastAsia="Times New Roman" w:hAnsi="Times New Roman"/>
          <w:sz w:val="22"/>
          <w:szCs w:val="22"/>
          <w:color w:val="auto"/>
        </w:rPr>
        <w:t>”). Tenant shall reimburse Landlord for reasonable costs and expenses incurred by Landlord related to the Incentives within thirty (30) days after Tenant’s receipt of written demand therefor from Landlord.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92" w:right="3800" w:firstLine="2721"/>
        <w:spacing w:after="0" w:line="437"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ARTICLE 17 - SPECIAL PROVISIONS </w:t>
      </w:r>
      <w:r>
        <w:rPr>
          <w:rFonts w:ascii="Times New Roman" w:cs="Times New Roman" w:eastAsia="Times New Roman" w:hAnsi="Times New Roman"/>
          <w:sz w:val="22"/>
          <w:szCs w:val="22"/>
          <w:u w:val="single" w:color="auto"/>
          <w:color w:val="auto"/>
        </w:rPr>
        <w:t>Section 17.01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Option to Extend Term.</w:t>
      </w:r>
    </w:p>
    <w:p>
      <w:pPr>
        <w:spacing w:after="0" w:line="1" w:lineRule="exact"/>
        <w:rPr>
          <w:sz w:val="20"/>
          <w:szCs w:val="20"/>
          <w:color w:val="auto"/>
        </w:rPr>
      </w:pPr>
    </w:p>
    <w:p>
      <w:pPr>
        <w:ind w:left="1492" w:hanging="1492"/>
        <w:spacing w:after="0"/>
        <w:tabs>
          <w:tab w:leader="none" w:pos="1492"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grants to Tenant two (2) consecutive options to extend the Lease Term for a period of five</w:t>
      </w:r>
    </w:p>
    <w:p>
      <w:pPr>
        <w:spacing w:after="0" w:line="14" w:lineRule="exact"/>
        <w:rPr>
          <w:rFonts w:ascii="Times New Roman" w:cs="Times New Roman" w:eastAsia="Times New Roman" w:hAnsi="Times New Roman"/>
          <w:sz w:val="22"/>
          <w:szCs w:val="22"/>
          <w:color w:val="auto"/>
        </w:rPr>
      </w:pPr>
    </w:p>
    <w:p>
      <w:pPr>
        <w:ind w:left="752" w:right="56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years each time, each such option to be exercised by Tenant giving written notice of its exercise to Landlord in the manner provided in this Lease at least twelve (12)months prior to the expiration of the Lease Term, as it may have been previously extended. No extension option may be exercised by Tenant if a Default has occurred and is then continuing either at the time of exercise of the option or at the time the applicable Lease Term would otherwise have expired if the applicable option had not been exercised.</w:t>
      </w:r>
    </w:p>
    <w:p>
      <w:pPr>
        <w:spacing w:after="0" w:line="206" w:lineRule="exact"/>
        <w:rPr>
          <w:rFonts w:ascii="Times New Roman" w:cs="Times New Roman" w:eastAsia="Times New Roman" w:hAnsi="Times New Roman"/>
          <w:sz w:val="22"/>
          <w:szCs w:val="22"/>
          <w:color w:val="auto"/>
        </w:rPr>
      </w:pPr>
    </w:p>
    <w:p>
      <w:pPr>
        <w:ind w:left="752" w:right="560" w:hanging="752"/>
        <w:spacing w:after="0" w:line="248" w:lineRule="auto"/>
        <w:tabs>
          <w:tab w:leader="none" w:pos="149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exercises its option(s) to extend the Lease Term, Minimum Annual Rent for the Leased Premises for the applicable five (5) year option period shall be at the Fair Market Value Rental Rate (as reasonably determined in accordance with this Section). The “</w:t>
      </w:r>
      <w:r>
        <w:rPr>
          <w:rFonts w:ascii="Times New Roman" w:cs="Times New Roman" w:eastAsia="Times New Roman" w:hAnsi="Times New Roman"/>
          <w:sz w:val="21"/>
          <w:szCs w:val="21"/>
          <w:b w:val="1"/>
          <w:bCs w:val="1"/>
          <w:color w:val="auto"/>
        </w:rPr>
        <w:t>Fair Market Value Rental Rate</w:t>
      </w:r>
      <w:r>
        <w:rPr>
          <w:rFonts w:ascii="Times New Roman" w:cs="Times New Roman" w:eastAsia="Times New Roman" w:hAnsi="Times New Roman"/>
          <w:sz w:val="21"/>
          <w:szCs w:val="21"/>
          <w:color w:val="auto"/>
        </w:rPr>
        <w:t>” shall be an amount equal to the fair market rental rate being charged to similarly situated tenants for the Building and comparable buildings in the RTP/I-40 submarket (e.g., buildings of comparable age, physical condition, total size, comparable location, ESFR sprinkler, office percentage, percentage of HVAC and similar clear height). Landlord shall provideTenant with a good faith calculation of the Fair Market Value Rental Rate upon Tenant's exercise</w:t>
      </w:r>
    </w:p>
    <w:p>
      <w:pPr>
        <w:spacing w:after="0" w:line="200" w:lineRule="exact"/>
        <w:rPr>
          <w:sz w:val="20"/>
          <w:szCs w:val="20"/>
          <w:color w:val="auto"/>
        </w:rPr>
      </w:pPr>
    </w:p>
    <w:p>
      <w:pPr>
        <w:spacing w:after="0" w:line="213"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34" w:name="page235"/>
    <w:bookmarkEnd w:id="234"/>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left="52" w:right="240"/>
        <w:spacing w:after="0" w:line="249" w:lineRule="auto"/>
        <w:rPr>
          <w:sz w:val="20"/>
          <w:szCs w:val="20"/>
          <w:color w:val="auto"/>
        </w:rPr>
      </w:pPr>
      <w:r>
        <w:rPr>
          <w:rFonts w:ascii="Times New Roman" w:cs="Times New Roman" w:eastAsia="Times New Roman" w:hAnsi="Times New Roman"/>
          <w:sz w:val="21"/>
          <w:szCs w:val="21"/>
          <w:color w:val="auto"/>
        </w:rPr>
        <w:t>of the option to extend the Lease Term. Without limiting the foregoing, if Tenant delivers to Landlord a written objection to Landlord’s calculation of the Fair Market Value Rental Rate within ten (10) business days after Tenant’s receipt of Landlord’s calculation of the Fair Market Value Rental Rate, and the parties cannot agree on a Fair Market Value Rental Rate within ten</w:t>
      </w:r>
    </w:p>
    <w:p>
      <w:pPr>
        <w:spacing w:after="0" w:line="1" w:lineRule="exact"/>
        <w:rPr>
          <w:sz w:val="20"/>
          <w:szCs w:val="20"/>
          <w:color w:val="auto"/>
        </w:rPr>
      </w:pPr>
    </w:p>
    <w:p>
      <w:pPr>
        <w:jc w:val="both"/>
        <w:ind w:left="52" w:right="240" w:firstLine="4"/>
        <w:spacing w:after="0" w:line="230" w:lineRule="auto"/>
        <w:tabs>
          <w:tab w:leader="none" w:pos="475"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Tenant’s written objection then Tenant may retract its exercise of its option to extend, or Tenant may choose arbitration to determine the Fair Market Value Rental Rate. If Tenant chooses arbitration, Tenant shall give Landlord written notice of its desire to seek arbitration within five</w:t>
      </w:r>
    </w:p>
    <w:p>
      <w:pPr>
        <w:spacing w:after="0" w:line="1" w:lineRule="exact"/>
        <w:rPr>
          <w:rFonts w:ascii="Times New Roman" w:cs="Times New Roman" w:eastAsia="Times New Roman" w:hAnsi="Times New Roman"/>
          <w:sz w:val="22"/>
          <w:szCs w:val="22"/>
          <w:color w:val="auto"/>
        </w:rPr>
      </w:pPr>
    </w:p>
    <w:p>
      <w:pPr>
        <w:jc w:val="both"/>
        <w:ind w:left="52" w:right="240" w:firstLine="4"/>
        <w:spacing w:after="0" w:line="241" w:lineRule="auto"/>
        <w:tabs>
          <w:tab w:leader="none" w:pos="376"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expiration of such ten (10) day period (“</w:t>
      </w:r>
      <w:r>
        <w:rPr>
          <w:rFonts w:ascii="Times New Roman" w:cs="Times New Roman" w:eastAsia="Times New Roman" w:hAnsi="Times New Roman"/>
          <w:sz w:val="21"/>
          <w:szCs w:val="21"/>
          <w:b w:val="1"/>
          <w:bCs w:val="1"/>
          <w:color w:val="auto"/>
        </w:rPr>
        <w:t>Arbitration Notice</w:t>
      </w:r>
      <w:r>
        <w:rPr>
          <w:rFonts w:ascii="Times New Roman" w:cs="Times New Roman" w:eastAsia="Times New Roman" w:hAnsi="Times New Roman"/>
          <w:sz w:val="21"/>
          <w:szCs w:val="21"/>
          <w:color w:val="auto"/>
        </w:rPr>
        <w:t>”). Within ten (10) days after Tenant provides Landlord with its Arbitration Notice, the parties shall each appoint an appraiser unaffiliated with either party to determine the Fair Market Value Rental Rate for the Leased Premises. Each appraiser so selected shall be either a MAI appraiser or a licensed real estate broker, each having at least ten (10) years prior experience in the appraisal or leasing of comparable space in the metropolitan area in which the Leased Premises are located and with a working knowledge of current rental rates and practices. If the two appraisers cannot agree upon the Fair Market Value Rental Rate for the Leased Premises within twenty</w:t>
      </w:r>
    </w:p>
    <w:p>
      <w:pPr>
        <w:spacing w:after="0" w:line="3" w:lineRule="exact"/>
        <w:rPr>
          <w:rFonts w:ascii="Times New Roman" w:cs="Times New Roman" w:eastAsia="Times New Roman" w:hAnsi="Times New Roman"/>
          <w:sz w:val="21"/>
          <w:szCs w:val="21"/>
          <w:color w:val="auto"/>
        </w:rPr>
      </w:pPr>
    </w:p>
    <w:p>
      <w:pPr>
        <w:jc w:val="both"/>
        <w:ind w:left="52" w:right="240" w:firstLine="4"/>
        <w:spacing w:after="0" w:line="231" w:lineRule="auto"/>
        <w:tabs>
          <w:tab w:leader="none" w:pos="493"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their appointment, then, within ten (10) days after the expiration of such twenty (20) day period, the two appraisers shall select a third appraiser meeting the above criteria. Once the third appraiser has been selected as provided for above, then such third appraiser shall within ten (10) days after appointment make its determination of the Fair Market Value Rental Rate. The average of the two closest determinations of the Fair Market Value Rental Rate shall be used as the Minimum Annual Rent for the applicable five (5) year option period and shall be binding on both Landlord and Tenant. Landlord and Tenant shall each bear the cost of its appraiser and shall share the cost of the third. If Tenant fails to provide the Arbitration Notice as provided above, then Tenant’s exercise of its option to extend shall be deemed retracted. Notwithstanding the foregoing, in no event shall the Minimum Annual Rent for any five (5) year option period be less than the Minimum Annual Rent for the Lease Year immediately prior to the commencement of such five (5) year option period. The Monthly Rental Installments shall be an amount equal to one-twelfth (1/12) of the Minimum Annual Rent for the applicable five (5) year option period and shall be paid at the same time and in the same manner as provided in the Lease.</w:t>
      </w:r>
    </w:p>
    <w:p>
      <w:pPr>
        <w:spacing w:after="0" w:line="213" w:lineRule="exact"/>
        <w:rPr>
          <w:rFonts w:ascii="Times New Roman" w:cs="Times New Roman" w:eastAsia="Times New Roman" w:hAnsi="Times New Roman"/>
          <w:sz w:val="22"/>
          <w:szCs w:val="22"/>
          <w:color w:val="auto"/>
        </w:rPr>
      </w:pPr>
    </w:p>
    <w:p>
      <w:pPr>
        <w:ind w:left="752" w:right="560" w:hanging="752"/>
        <w:spacing w:after="0" w:line="235" w:lineRule="auto"/>
        <w:tabs>
          <w:tab w:leader="none" w:pos="149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Minimum Annual Rent, which shall be determined as set forth in subparagraph (b) above, leasing of the Leased Premises by Tenant for the applicable extended term shall be subject to all of the same terms and conditions set forth in this Lease, including Tenant’s obligation to pay Tenant’s Proportionate Share of Operating Expenses as provided in thisLease; provided, however, that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shall not be applicable during any such extended term, nor shall Tenant have any additional extension options unless expressly provided for in this Lease. Landlord and Tenant shall enter into an amendment to this Lease to evidence Tenant’s exercise of its renewal option.</w:t>
      </w:r>
    </w:p>
    <w:p>
      <w:pPr>
        <w:spacing w:after="0" w:line="210" w:lineRule="exact"/>
        <w:rPr>
          <w:sz w:val="20"/>
          <w:szCs w:val="20"/>
          <w:color w:val="auto"/>
        </w:rPr>
      </w:pPr>
    </w:p>
    <w:p>
      <w:pPr>
        <w:ind w:left="892"/>
        <w:spacing w:after="0"/>
        <w:rPr>
          <w:sz w:val="20"/>
          <w:szCs w:val="20"/>
          <w:color w:val="auto"/>
        </w:rPr>
      </w:pPr>
      <w:r>
        <w:rPr>
          <w:rFonts w:ascii="Times New Roman" w:cs="Times New Roman" w:eastAsia="Times New Roman" w:hAnsi="Times New Roman"/>
          <w:sz w:val="22"/>
          <w:szCs w:val="22"/>
          <w:u w:val="single" w:color="auto"/>
          <w:color w:val="auto"/>
        </w:rPr>
        <w:t>Section 17.02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 of First Offer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52" w:right="480" w:hanging="752"/>
        <w:spacing w:after="0" w:line="238" w:lineRule="auto"/>
        <w:tabs>
          <w:tab w:leader="none" w:pos="14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Landlord (it being the agreement and intent of the parties that this right of first offer shall not be applicable to any successor Landlord hereunder that is not Patriot Park Partners II, LLC, other than an entity related to Patriot Park Partners II, LLC or any affiliated parties to the Patriot Park Partners II, LLC) hereby grants to Tenant a one-time right of first offer (the “</w:t>
      </w:r>
      <w:r>
        <w:rPr>
          <w:rFonts w:ascii="Times New Roman" w:cs="Times New Roman" w:eastAsia="Times New Roman" w:hAnsi="Times New Roman"/>
          <w:sz w:val="22"/>
          <w:szCs w:val="22"/>
          <w:b w:val="1"/>
          <w:bCs w:val="1"/>
          <w:color w:val="auto"/>
        </w:rPr>
        <w:t>Right of First Offer</w:t>
      </w:r>
      <w:r>
        <w:rPr>
          <w:rFonts w:ascii="Times New Roman" w:cs="Times New Roman" w:eastAsia="Times New Roman" w:hAnsi="Times New Roman"/>
          <w:sz w:val="22"/>
          <w:szCs w:val="22"/>
          <w:color w:val="auto"/>
        </w:rPr>
        <w:t>”) to purchase the Leased Premises. For the avoidance of doubt, upon any sale of</w:t>
      </w:r>
    </w:p>
    <w:p>
      <w:pPr>
        <w:spacing w:after="0" w:line="200" w:lineRule="exact"/>
        <w:rPr>
          <w:sz w:val="20"/>
          <w:szCs w:val="20"/>
          <w:color w:val="auto"/>
        </w:rPr>
      </w:pPr>
    </w:p>
    <w:p>
      <w:pPr>
        <w:spacing w:after="0" w:line="220"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35" w:name="page236"/>
    <w:bookmarkEnd w:id="235"/>
    <w:p>
      <w:pPr>
        <w:ind w:left="9952"/>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ind w:left="52"/>
        <w:spacing w:after="0"/>
        <w:rPr>
          <w:sz w:val="20"/>
          <w:szCs w:val="20"/>
          <w:color w:val="auto"/>
        </w:rPr>
      </w:pPr>
      <w:r>
        <w:rPr>
          <w:rFonts w:ascii="Times New Roman" w:cs="Times New Roman" w:eastAsia="Times New Roman" w:hAnsi="Times New Roman"/>
          <w:sz w:val="22"/>
          <w:szCs w:val="22"/>
          <w:color w:val="auto"/>
        </w:rPr>
        <w:t>the Leased Premises to a third-party purchaser, the Right of First Offer shall be void and of no further force and effect.</w:t>
      </w:r>
    </w:p>
    <w:p>
      <w:pPr>
        <w:spacing w:after="0" w:line="206" w:lineRule="exact"/>
        <w:rPr>
          <w:sz w:val="20"/>
          <w:szCs w:val="20"/>
          <w:color w:val="auto"/>
        </w:rPr>
      </w:pPr>
    </w:p>
    <w:p>
      <w:pPr>
        <w:ind w:left="752" w:right="500" w:hanging="752"/>
        <w:spacing w:after="0" w:line="243" w:lineRule="auto"/>
        <w:tabs>
          <w:tab w:leader="none" w:pos="1493"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Prior to listing the Leased Premises for sale, and prior to any public announcement or advertisement of the availability of the Leased Premises for sale Landlord shall deliver notice of Landlord’s intent to market the Leased Premises to Tenant, including the purchase price and other material business terms that Landlord intends to offer the Leased Premises to other prospective purchaser (a “</w:t>
      </w:r>
      <w:r>
        <w:rPr>
          <w:rFonts w:ascii="Times New Roman" w:cs="Times New Roman" w:eastAsia="Times New Roman" w:hAnsi="Times New Roman"/>
          <w:sz w:val="21"/>
          <w:szCs w:val="21"/>
          <w:b w:val="1"/>
          <w:bCs w:val="1"/>
          <w:color w:val="auto"/>
        </w:rPr>
        <w:t>ROFO Notice</w:t>
      </w:r>
      <w:r>
        <w:rPr>
          <w:rFonts w:ascii="Times New Roman" w:cs="Times New Roman" w:eastAsia="Times New Roman" w:hAnsi="Times New Roman"/>
          <w:sz w:val="21"/>
          <w:szCs w:val="21"/>
          <w:color w:val="auto"/>
        </w:rPr>
        <w:t>”). Tenant shall have fifteen (15) business days following receipt of the ROFO Notice to notify Landlord in writing of its intention to accept Landlord’s terms for the purchase of the Leased Premises (“</w:t>
      </w:r>
      <w:r>
        <w:rPr>
          <w:rFonts w:ascii="Times New Roman" w:cs="Times New Roman" w:eastAsia="Times New Roman" w:hAnsi="Times New Roman"/>
          <w:sz w:val="21"/>
          <w:szCs w:val="21"/>
          <w:b w:val="1"/>
          <w:bCs w:val="1"/>
          <w:color w:val="auto"/>
        </w:rPr>
        <w:t>ROFO Acceptance Notice</w:t>
      </w:r>
      <w:r>
        <w:rPr>
          <w:rFonts w:ascii="Times New Roman" w:cs="Times New Roman" w:eastAsia="Times New Roman" w:hAnsi="Times New Roman"/>
          <w:sz w:val="21"/>
          <w:szCs w:val="21"/>
          <w:color w:val="auto"/>
        </w:rPr>
        <w:t>”) and, upon delivery of such ROFO Acceptance Notice, the parties shall negotiate in good faith and enter into a market standard purchase and sale agreement for the Leased Premises (the “</w:t>
      </w:r>
      <w:r>
        <w:rPr>
          <w:rFonts w:ascii="Times New Roman" w:cs="Times New Roman" w:eastAsia="Times New Roman" w:hAnsi="Times New Roman"/>
          <w:sz w:val="21"/>
          <w:szCs w:val="21"/>
          <w:b w:val="1"/>
          <w:bCs w:val="1"/>
          <w:color w:val="auto"/>
        </w:rPr>
        <w:t>Purchase and Sale Agreement</w:t>
      </w:r>
      <w:r>
        <w:rPr>
          <w:rFonts w:ascii="Times New Roman" w:cs="Times New Roman" w:eastAsia="Times New Roman" w:hAnsi="Times New Roman"/>
          <w:sz w:val="21"/>
          <w:szCs w:val="21"/>
          <w:color w:val="auto"/>
        </w:rPr>
        <w:t>”). If Tenant counteroffers any of the material business terms set forth in the ROFO Notice, the parties shall negotiate in good faith to agree upon the material business terms and enter into a market standard Purchase and Sale Agreement based on the agreed upon terms. If Tenant fails to timely deliver the ROFO Acceptance Notice or if, despite good faith efforts by both parties, the parties have not entered into a binding Purchase and Sale Agreement for the purchase of the Leased Premises within forty-five (45) days after Tenant’s delivery of the ROFO Acceptance Notice, then Landlord shall be entitled to sell the Leased Premises to any third party free and clear of the rights of Tenant under this Right of First Offer and the Right of First Offer shall be void and of no further force and effect. Furthermore, if (a) the deposits required under such Purchase and Sale Agreement are not timely made (including applicable notice and cure periods expressly provided by the Purchase and Sale Agreement), time being of the essence or (b) after a definitive Purchase and Sale Agreement is entered into between Landlord and Tenant, Tenant fails to close upon the Leased Premises for any reason other than a default by Landlord, then Landlord shall be entitled to sell the Leased Premises to any third party free and clear of the rights of Tenant under this Right of First Offer and the Right of First Offer shall be void and of no further force and effect. To the extent Landlord delivers a ROFO Notice to Tenant and Tenant elects not to purchase the Leased Premises, Tenant shall upon written request of Landlord execute and deliver to Landlord such documentation as may be reasonably requested by Landlord to evidence that Tenant’s Right of First Offer is void and of no further force and effect.</w:t>
      </w:r>
    </w:p>
    <w:p>
      <w:pPr>
        <w:spacing w:after="0" w:line="200" w:lineRule="exact"/>
        <w:rPr>
          <w:sz w:val="20"/>
          <w:szCs w:val="20"/>
          <w:color w:val="auto"/>
        </w:rPr>
      </w:pPr>
    </w:p>
    <w:p>
      <w:pPr>
        <w:spacing w:after="0" w:line="224" w:lineRule="exact"/>
        <w:rPr>
          <w:sz w:val="20"/>
          <w:szCs w:val="20"/>
          <w:color w:val="auto"/>
        </w:rPr>
      </w:pPr>
    </w:p>
    <w:p>
      <w:pPr>
        <w:jc w:val="both"/>
        <w:ind w:left="52" w:right="240" w:firstLine="810"/>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17.03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Purchase Option</w:t>
      </w:r>
      <w:r>
        <w:rPr>
          <w:rFonts w:ascii="Times New Roman" w:cs="Times New Roman" w:eastAsia="Times New Roman" w:hAnsi="Times New Roman"/>
          <w:sz w:val="22"/>
          <w:szCs w:val="22"/>
          <w:color w:val="auto"/>
        </w:rPr>
        <w:t>. Provided Tenant is not in Default under this Lease, Landlord hereby grants to Tenant an option to purchase the Leased Premises from the Landlord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upon the terms and conditions set forth below in this Section 17.03. Tenant’s option to purchase the Leased Premises shall terminate and be null and void if Tenant fails to exercise the Option in writing on or before January 15, 2021. All rights granted to Tenant under this Section 17.03 are personal to Taysha Gene Therapies, Inc. only. The terms and provisions of the Option are set forth below</w:t>
      </w:r>
      <w:r>
        <w:rPr>
          <w:rFonts w:ascii="Times New Roman" w:cs="Times New Roman" w:eastAsia="Times New Roman" w:hAnsi="Times New Roman"/>
          <w:sz w:val="22"/>
          <w:szCs w:val="22"/>
          <w:b w:val="1"/>
          <w:bCs w:val="1"/>
          <w:color w:val="auto"/>
        </w:rPr>
        <w:t>:</w:t>
      </w:r>
    </w:p>
    <w:p>
      <w:pPr>
        <w:spacing w:after="0" w:line="204" w:lineRule="exact"/>
        <w:rPr>
          <w:sz w:val="20"/>
          <w:szCs w:val="20"/>
          <w:color w:val="auto"/>
        </w:rPr>
      </w:pPr>
    </w:p>
    <w:p>
      <w:pPr>
        <w:ind w:left="52" w:right="840" w:firstLine="1619"/>
        <w:spacing w:after="0" w:line="258" w:lineRule="auto"/>
        <w:rPr>
          <w:sz w:val="20"/>
          <w:szCs w:val="20"/>
          <w:color w:val="auto"/>
        </w:rPr>
      </w:pPr>
      <w:r>
        <w:rPr>
          <w:rFonts w:ascii="Times New Roman" w:cs="Times New Roman" w:eastAsia="Times New Roman" w:hAnsi="Times New Roman"/>
          <w:sz w:val="22"/>
          <w:szCs w:val="22"/>
          <w:color w:val="auto"/>
        </w:rPr>
        <w:t>(i) The purchase price for the Leased Premises pursuant to the Option shall be TWENTY-SIX MILLION TWO HUNDRED FIFTY THOUSAND AND 00/100 DOLLARS ($26,250,000.00).</w:t>
      </w:r>
    </w:p>
    <w:p>
      <w:pPr>
        <w:spacing w:after="0" w:line="158" w:lineRule="exact"/>
        <w:rPr>
          <w:sz w:val="20"/>
          <w:szCs w:val="20"/>
          <w:color w:val="auto"/>
        </w:rPr>
      </w:pPr>
    </w:p>
    <w:p>
      <w:pPr>
        <w:ind w:left="1672"/>
        <w:spacing w:after="0"/>
        <w:tabs>
          <w:tab w:leader="none" w:pos="3951"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In the event Tenant desires access to the Leased Premises beyond Tenant’s rights</w:t>
      </w:r>
    </w:p>
    <w:p>
      <w:pPr>
        <w:spacing w:after="0" w:line="14" w:lineRule="exact"/>
        <w:rPr>
          <w:sz w:val="20"/>
          <w:szCs w:val="20"/>
          <w:color w:val="auto"/>
        </w:rPr>
      </w:pPr>
    </w:p>
    <w:p>
      <w:pPr>
        <w:ind w:left="52" w:right="680"/>
        <w:spacing w:after="0" w:line="237" w:lineRule="auto"/>
        <w:rPr>
          <w:sz w:val="20"/>
          <w:szCs w:val="20"/>
          <w:color w:val="auto"/>
        </w:rPr>
      </w:pPr>
      <w:r>
        <w:rPr>
          <w:rFonts w:ascii="Times New Roman" w:cs="Times New Roman" w:eastAsia="Times New Roman" w:hAnsi="Times New Roman"/>
          <w:sz w:val="22"/>
          <w:szCs w:val="22"/>
          <w:color w:val="auto"/>
        </w:rPr>
        <w:t>under the Lease for the purpose of conducting due diligence in connection with the purchase of the Leased Premises, Tenant shall have the right to access such portions of the Leased Premises</w:t>
      </w:r>
    </w:p>
    <w:p>
      <w:pPr>
        <w:spacing w:after="0" w:line="200" w:lineRule="exact"/>
        <w:rPr>
          <w:sz w:val="20"/>
          <w:szCs w:val="20"/>
          <w:color w:val="auto"/>
        </w:rPr>
      </w:pPr>
    </w:p>
    <w:p>
      <w:pPr>
        <w:spacing w:after="0" w:line="22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456565</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88" w:top="108" w:right="339" w:bottom="1440" w:gutter="0" w:footer="0" w:header="0"/>
        </w:sectPr>
      </w:pPr>
    </w:p>
    <w:bookmarkStart w:id="236" w:name="page237"/>
    <w:bookmarkEnd w:id="236"/>
    <w:p>
      <w:pPr>
        <w:ind w:left="994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22"/>
          <w:szCs w:val="22"/>
          <w:color w:val="auto"/>
        </w:rPr>
        <w:t>for the purpose of conducting such due diligence through March 1, 2021 upon the execution, and subject to the terms, of a commercially reasonable Access Agreement between Landlord and Tenant mutually acceptable to both parties.</w:t>
      </w:r>
    </w:p>
    <w:p>
      <w:pPr>
        <w:spacing w:after="0" w:line="158" w:lineRule="exact"/>
        <w:rPr>
          <w:sz w:val="20"/>
          <w:szCs w:val="20"/>
          <w:color w:val="auto"/>
        </w:rPr>
      </w:pPr>
    </w:p>
    <w:p>
      <w:pPr>
        <w:ind w:left="40" w:right="300" w:firstLine="1619"/>
        <w:spacing w:after="0" w:line="245" w:lineRule="auto"/>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1"/>
          <w:szCs w:val="21"/>
          <w:color w:val="auto"/>
        </w:rPr>
        <w:t>The parties will use commercially reasonable efforts to negotiate a Purchase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Sale Agreement in a form reasonably acceptable to Landlord and Tenant and execute such Purchase and Sale Agreement on or before March 1, 2021. Closing shall occur on November 1, 2021. The Leased Premises shall be conveyed and sold to Tenant in its “As-Is” condition and without any representation or warranty, express or implied, except as otherwise agreed in the Purchase and Sale Agreement. Landlord shall convey the Leased Premises by appropriate documents containing a special warranty of title and subject only to encumbrances of record (except for monetary liens expressly granted by Landlord) and other encumbrances consented to by Tenant or caused by Tenant. As the Lease provides that Tenant shall pay for ad valorem taxes and insurance, there will be no proration of taxes or insurance and no sales commission shall be due by any party hereunder, Landlord’s proceeds at the closing shall not be diminished by any commission in connection with the conveyance of the Leased Premises pursuant to this Option. Each party shall pay all legal fees incurred by such party in connection with the Option, the exercise thereof and any transfer of the Leased Premises pursuant to the Option.</w:t>
      </w:r>
    </w:p>
    <w:p>
      <w:pPr>
        <w:spacing w:after="0" w:line="173" w:lineRule="exact"/>
        <w:rPr>
          <w:sz w:val="20"/>
          <w:szCs w:val="20"/>
          <w:color w:val="auto"/>
        </w:rPr>
      </w:pPr>
    </w:p>
    <w:p>
      <w:pPr>
        <w:ind w:left="40" w:right="320" w:firstLine="1619"/>
        <w:spacing w:after="0" w:line="271" w:lineRule="auto"/>
        <w:rPr>
          <w:sz w:val="20"/>
          <w:szCs w:val="20"/>
          <w:color w:val="auto"/>
        </w:rPr>
      </w:pPr>
      <w:r>
        <w:rPr>
          <w:rFonts w:ascii="Times New Roman" w:cs="Times New Roman" w:eastAsia="Times New Roman" w:hAnsi="Times New Roman"/>
          <w:sz w:val="20"/>
          <w:szCs w:val="20"/>
          <w:color w:val="auto"/>
        </w:rPr>
        <w:t xml:space="preserve">(iv) </w:t>
      </w:r>
      <w:r>
        <w:rPr>
          <w:rFonts w:ascii="Times New Roman" w:cs="Times New Roman" w:eastAsia="Times New Roman" w:hAnsi="Times New Roman"/>
          <w:sz w:val="21"/>
          <w:szCs w:val="21"/>
          <w:color w:val="auto"/>
        </w:rPr>
        <w:t>Any unused portion of the Tenant Allowance (as defined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credited against the portion of the purchase price due from Tenant at the closing of the sale of the Leased Premises pursuant to the Option.</w:t>
      </w:r>
    </w:p>
    <w:p>
      <w:pPr>
        <w:spacing w:after="0" w:line="200" w:lineRule="exact"/>
        <w:rPr>
          <w:sz w:val="20"/>
          <w:szCs w:val="20"/>
          <w:color w:val="auto"/>
        </w:rPr>
      </w:pPr>
    </w:p>
    <w:p>
      <w:pPr>
        <w:spacing w:after="0" w:line="204" w:lineRule="exact"/>
        <w:rPr>
          <w:sz w:val="20"/>
          <w:szCs w:val="20"/>
          <w:color w:val="auto"/>
        </w:rPr>
      </w:pPr>
    </w:p>
    <w:p>
      <w:pPr>
        <w:jc w:val="both"/>
        <w:ind w:left="40" w:right="560" w:firstLine="1619"/>
        <w:spacing w:after="0" w:line="261" w:lineRule="auto"/>
        <w:rPr>
          <w:sz w:val="20"/>
          <w:szCs w:val="20"/>
          <w:color w:val="auto"/>
        </w:rPr>
      </w:pPr>
      <w:r>
        <w:rPr>
          <w:rFonts w:ascii="Times New Roman" w:cs="Times New Roman" w:eastAsia="Times New Roman" w:hAnsi="Times New Roman"/>
          <w:sz w:val="20"/>
          <w:szCs w:val="20"/>
          <w:color w:val="auto"/>
        </w:rPr>
        <w:t xml:space="preserve">(v) </w:t>
      </w:r>
      <w:r>
        <w:rPr>
          <w:rFonts w:ascii="Times New Roman" w:cs="Times New Roman" w:eastAsia="Times New Roman" w:hAnsi="Times New Roman"/>
          <w:sz w:val="21"/>
          <w:szCs w:val="21"/>
          <w:color w:val="auto"/>
        </w:rPr>
        <w:t>Upon the closing of the sale of the Leased Premises pursuant to the Option,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parties shall execute an agreement terminating this Lease. For the avoidance of doubt, the Lease shall continue in full force and effect until the sale of the Leased Premises pursuant to the Option.</w:t>
      </w:r>
    </w:p>
    <w:p>
      <w:pPr>
        <w:spacing w:after="0" w:line="144" w:lineRule="exact"/>
        <w:rPr>
          <w:sz w:val="20"/>
          <w:szCs w:val="20"/>
          <w:color w:val="auto"/>
        </w:rPr>
      </w:pPr>
    </w:p>
    <w:p>
      <w:pPr>
        <w:ind w:left="40" w:right="240" w:firstLine="1619"/>
        <w:spacing w:after="0" w:line="248" w:lineRule="auto"/>
        <w:rPr>
          <w:sz w:val="20"/>
          <w:szCs w:val="20"/>
          <w:color w:val="auto"/>
        </w:rPr>
      </w:pPr>
      <w:r>
        <w:rPr>
          <w:rFonts w:ascii="Times New Roman" w:cs="Times New Roman" w:eastAsia="Times New Roman" w:hAnsi="Times New Roman"/>
          <w:sz w:val="21"/>
          <w:szCs w:val="21"/>
          <w:color w:val="auto"/>
        </w:rPr>
        <w:t>(v) The earnest money deposit for the purchase of the Property shall be an amount equal to five percent (5%) of the purchase price and shall be paid to Landlord on or before March 1, 2021 (the “</w:t>
      </w:r>
      <w:r>
        <w:rPr>
          <w:rFonts w:ascii="Times New Roman" w:cs="Times New Roman" w:eastAsia="Times New Roman" w:hAnsi="Times New Roman"/>
          <w:sz w:val="21"/>
          <w:szCs w:val="21"/>
          <w:b w:val="1"/>
          <w:bCs w:val="1"/>
          <w:color w:val="auto"/>
        </w:rPr>
        <w:t>Earnest Money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Deposit Date</w:t>
      </w:r>
      <w:r>
        <w:rPr>
          <w:rFonts w:ascii="Times New Roman" w:cs="Times New Roman" w:eastAsia="Times New Roman" w:hAnsi="Times New Roman"/>
          <w:sz w:val="21"/>
          <w:szCs w:val="21"/>
          <w:color w:val="auto"/>
        </w:rPr>
        <w:t>”); provided that a failure to deliver the earnest money deposit by the Earnest Money Deposit Date shall not be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breach or default of this Lease by Tenant. If on or before the Earnest Money Deposit Date, the Purchase and Sale Agreement is not executed and delivered by all parties or if the earnest money deposit is not paid to Landlord, then the Purchase Option shall be null and void and of no further force and effect. Upon a default by Tenant under the Purchase and Sale Agreement for the Leased Premises (including a failure to close), the earnest money shall be retained by Landlord as liquidated damages.</w:t>
      </w:r>
    </w:p>
    <w:p>
      <w:pPr>
        <w:spacing w:after="0" w:line="170" w:lineRule="exact"/>
        <w:rPr>
          <w:sz w:val="20"/>
          <w:szCs w:val="20"/>
          <w:color w:val="auto"/>
        </w:rPr>
      </w:pPr>
    </w:p>
    <w:p>
      <w:pPr>
        <w:ind w:left="2540" w:hanging="830"/>
        <w:spacing w:after="0"/>
        <w:tabs>
          <w:tab w:leader="none" w:pos="25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is of the essence with respect to all of the dates and time periods in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(SIGNATURES CONTAINED ON THE FOLLOWING PAGES)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456565</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400" w:top="108"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Lease as of the day and year first above written.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212121"/>
              </w:rPr>
              <w:t>LANDLORD:</w:t>
            </w:r>
          </w:p>
        </w:tc>
      </w:tr>
      <w:tr>
        <w:trPr>
          <w:trHeight w:val="444"/>
        </w:trPr>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212121"/>
                <w:w w:val="97"/>
              </w:rPr>
              <w:t>PATRIOT PARK PARTNERS II, LLC,</w:t>
            </w:r>
          </w:p>
        </w:tc>
      </w:tr>
      <w:tr>
        <w:trPr>
          <w:trHeight w:val="258"/>
        </w:trPr>
        <w:tc>
          <w:tcPr>
            <w:tcW w:w="1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212121"/>
              </w:rPr>
              <w:t>a Delaware limited liability company</w:t>
            </w:r>
          </w:p>
        </w:tc>
      </w:tr>
      <w:tr>
        <w:trPr>
          <w:trHeight w:val="413"/>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212121"/>
              </w:rPr>
              <w:t>Dated:</w:t>
            </w: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212121"/>
                <w:w w:val="97"/>
              </w:rPr>
              <w:t>17 December 2020</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0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212121"/>
              </w:rPr>
              <w:t>By: /s/ Richard W. Horn</w:t>
            </w:r>
          </w:p>
        </w:tc>
      </w:tr>
      <w:tr>
        <w:trPr>
          <w:trHeight w:val="20"/>
        </w:trPr>
        <w:tc>
          <w:tcPr>
            <w:tcW w:w="1240" w:type="dxa"/>
            <w:vAlign w:val="bottom"/>
          </w:tcPr>
          <w:p>
            <w:pPr>
              <w:spacing w:after="0" w:line="20" w:lineRule="exact"/>
              <w:rPr>
                <w:sz w:val="1"/>
                <w:szCs w:val="1"/>
                <w:color w:val="auto"/>
              </w:rPr>
            </w:pPr>
          </w:p>
        </w:tc>
        <w:tc>
          <w:tcPr>
            <w:tcW w:w="1500" w:type="dxa"/>
            <w:vAlign w:val="bottom"/>
            <w:shd w:val="clear" w:color="auto" w:fill="21212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212121"/>
          </w:tcPr>
          <w:p>
            <w:pPr>
              <w:spacing w:after="0" w:line="20" w:lineRule="exact"/>
              <w:rPr>
                <w:sz w:val="1"/>
                <w:szCs w:val="1"/>
                <w:color w:val="auto"/>
              </w:rPr>
            </w:pPr>
          </w:p>
        </w:tc>
        <w:tc>
          <w:tcPr>
            <w:tcW w:w="880" w:type="dxa"/>
            <w:vAlign w:val="bottom"/>
            <w:shd w:val="clear" w:color="auto" w:fill="212121"/>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7"/>
        </w:trPr>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gridSpan w:val="3"/>
          </w:tcPr>
          <w:p>
            <w:pPr>
              <w:ind w:left="700"/>
              <w:spacing w:after="0" w:line="228" w:lineRule="exact"/>
              <w:rPr>
                <w:sz w:val="20"/>
                <w:szCs w:val="20"/>
                <w:color w:val="auto"/>
              </w:rPr>
            </w:pPr>
            <w:r>
              <w:rPr>
                <w:rFonts w:ascii="Times New Roman" w:cs="Times New Roman" w:eastAsia="Times New Roman" w:hAnsi="Times New Roman"/>
                <w:sz w:val="20"/>
                <w:szCs w:val="20"/>
                <w:color w:val="212121"/>
              </w:rPr>
              <w:t>Name: Richard W. Horn</w:t>
            </w:r>
          </w:p>
        </w:tc>
      </w:tr>
      <w:tr>
        <w:trPr>
          <w:trHeight w:val="258"/>
        </w:trPr>
        <w:tc>
          <w:tcPr>
            <w:tcW w:w="1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212121"/>
              </w:rPr>
              <w:t>Title:  CEO, Strategic Capital</w:t>
            </w:r>
          </w:p>
        </w:tc>
      </w:tr>
      <w:tr>
        <w:trPr>
          <w:trHeight w:val="689"/>
        </w:trPr>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212121"/>
              </w:rPr>
              <w:t>TENANT:</w:t>
            </w:r>
          </w:p>
        </w:tc>
      </w:tr>
      <w:tr>
        <w:trPr>
          <w:trHeight w:val="430"/>
        </w:trPr>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212121"/>
              </w:rPr>
              <w:t>TAYSHA GENE THERAPIES, INC.,</w:t>
            </w:r>
          </w:p>
        </w:tc>
      </w:tr>
      <w:tr>
        <w:trPr>
          <w:trHeight w:val="258"/>
        </w:trPr>
        <w:tc>
          <w:tcPr>
            <w:tcW w:w="1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212121"/>
              </w:rPr>
              <w:t>A Delaware corporation</w:t>
            </w:r>
          </w:p>
        </w:tc>
      </w:tr>
      <w:tr>
        <w:trPr>
          <w:trHeight w:val="413"/>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212121"/>
              </w:rPr>
              <w:t>Dated:</w:t>
            </w:r>
          </w:p>
        </w:tc>
        <w:tc>
          <w:tcPr>
            <w:tcW w:w="1500" w:type="dxa"/>
            <w:vAlign w:val="bottom"/>
          </w:tcPr>
          <w:p>
            <w:pPr>
              <w:spacing w:after="0"/>
              <w:rPr>
                <w:sz w:val="20"/>
                <w:szCs w:val="20"/>
                <w:color w:val="auto"/>
              </w:rPr>
            </w:pPr>
            <w:r>
              <w:rPr>
                <w:rFonts w:ascii="Times New Roman" w:cs="Times New Roman" w:eastAsia="Times New Roman" w:hAnsi="Times New Roman"/>
                <w:sz w:val="20"/>
                <w:szCs w:val="20"/>
                <w:color w:val="212121"/>
                <w:w w:val="97"/>
              </w:rPr>
              <w:t>16 December 2020</w:t>
            </w:r>
          </w:p>
        </w:tc>
        <w:tc>
          <w:tcPr>
            <w:tcW w:w="320" w:type="dxa"/>
            <w:vAlign w:val="bottom"/>
          </w:tcPr>
          <w:p>
            <w:pPr>
              <w:spacing w:after="0"/>
              <w:rPr>
                <w:sz w:val="24"/>
                <w:szCs w:val="24"/>
                <w:color w:val="auto"/>
              </w:rPr>
            </w:pPr>
          </w:p>
        </w:tc>
        <w:tc>
          <w:tcPr>
            <w:tcW w:w="5120" w:type="dxa"/>
            <w:vAlign w:val="bottom"/>
            <w:gridSpan w:val="5"/>
          </w:tcPr>
          <w:p>
            <w:pPr>
              <w:ind w:left="320"/>
              <w:spacing w:after="0"/>
              <w:rPr>
                <w:sz w:val="20"/>
                <w:szCs w:val="20"/>
                <w:color w:val="auto"/>
              </w:rPr>
            </w:pPr>
            <w:r>
              <w:rPr>
                <w:rFonts w:ascii="Times New Roman" w:cs="Times New Roman" w:eastAsia="Times New Roman" w:hAnsi="Times New Roman"/>
                <w:sz w:val="20"/>
                <w:szCs w:val="20"/>
                <w:color w:val="212121"/>
              </w:rPr>
              <w:t>By: /s/ Karman Alam</w:t>
            </w:r>
          </w:p>
        </w:tc>
      </w:tr>
      <w:tr>
        <w:trPr>
          <w:trHeight w:val="20"/>
        </w:trPr>
        <w:tc>
          <w:tcPr>
            <w:tcW w:w="1240" w:type="dxa"/>
            <w:vAlign w:val="bottom"/>
          </w:tcPr>
          <w:p>
            <w:pPr>
              <w:spacing w:after="0" w:line="20" w:lineRule="exact"/>
              <w:rPr>
                <w:sz w:val="1"/>
                <w:szCs w:val="1"/>
                <w:color w:val="auto"/>
              </w:rPr>
            </w:pPr>
          </w:p>
        </w:tc>
        <w:tc>
          <w:tcPr>
            <w:tcW w:w="1500" w:type="dxa"/>
            <w:vAlign w:val="bottom"/>
            <w:shd w:val="clear" w:color="auto" w:fill="21212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212121"/>
          </w:tcPr>
          <w:p>
            <w:pPr>
              <w:spacing w:after="0" w:line="20" w:lineRule="exact"/>
              <w:rPr>
                <w:sz w:val="1"/>
                <w:szCs w:val="1"/>
                <w:color w:val="auto"/>
              </w:rPr>
            </w:pPr>
          </w:p>
        </w:tc>
        <w:tc>
          <w:tcPr>
            <w:tcW w:w="760" w:type="dxa"/>
            <w:vAlign w:val="bottom"/>
            <w:shd w:val="clear" w:color="auto" w:fill="212121"/>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r>
      <w:tr>
        <w:trPr>
          <w:trHeight w:val="227"/>
        </w:trPr>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gridSpan w:val="3"/>
          </w:tcPr>
          <w:p>
            <w:pPr>
              <w:ind w:left="700"/>
              <w:spacing w:after="0" w:line="228" w:lineRule="exact"/>
              <w:rPr>
                <w:sz w:val="20"/>
                <w:szCs w:val="20"/>
                <w:color w:val="auto"/>
              </w:rPr>
            </w:pPr>
            <w:r>
              <w:rPr>
                <w:rFonts w:ascii="Times New Roman" w:cs="Times New Roman" w:eastAsia="Times New Roman" w:hAnsi="Times New Roman"/>
                <w:sz w:val="20"/>
                <w:szCs w:val="20"/>
                <w:color w:val="auto"/>
              </w:rPr>
              <w:t>Name: Kamran Alam</w:t>
            </w:r>
          </w:p>
        </w:tc>
      </w:tr>
      <w:tr>
        <w:trPr>
          <w:trHeight w:val="258"/>
        </w:trPr>
        <w:tc>
          <w:tcPr>
            <w:tcW w:w="1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3"/>
          </w:tcPr>
          <w:p>
            <w:pPr>
              <w:ind w:left="700"/>
              <w:spacing w:after="0"/>
              <w:rPr>
                <w:sz w:val="20"/>
                <w:szCs w:val="20"/>
                <w:color w:val="auto"/>
              </w:rPr>
            </w:pPr>
            <w:r>
              <w:rPr>
                <w:rFonts w:ascii="Times New Roman" w:cs="Times New Roman" w:eastAsia="Times New Roman" w:hAnsi="Times New Roman"/>
                <w:sz w:val="20"/>
                <w:szCs w:val="20"/>
                <w:color w:val="auto"/>
              </w:rPr>
              <w:t>Title: Chief Financial Officer</w:t>
            </w:r>
          </w:p>
        </w:tc>
      </w:tr>
    </w:tbl>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Courier New" w:cs="Courier New" w:eastAsia="Courier New" w:hAnsi="Courier New"/>
          <w:sz w:val="22"/>
          <w:szCs w:val="22"/>
          <w:color w:val="212121"/>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8" w:name="page239"/>
    <w:bookmarkEnd w:id="238"/>
    <w:p>
      <w:pPr>
        <w:ind w:left="990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8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TENANT IMPROVEMENTS</w:t>
      </w:r>
    </w:p>
    <w:p>
      <w:pPr>
        <w:spacing w:after="0" w:line="242" w:lineRule="exact"/>
        <w:rPr>
          <w:sz w:val="20"/>
          <w:szCs w:val="20"/>
          <w:color w:val="auto"/>
        </w:rPr>
      </w:pPr>
    </w:p>
    <w:p>
      <w:pPr>
        <w:ind w:left="840"/>
        <w:spacing w:after="0"/>
        <w:tabs>
          <w:tab w:leader="none" w:pos="868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u w:val="single" w:color="auto"/>
          <w:color w:val="auto"/>
        </w:rPr>
        <w:t>Condition of Leased Premises</w:t>
      </w:r>
      <w:r>
        <w:rPr>
          <w:rFonts w:ascii="Times New Roman" w:cs="Times New Roman" w:eastAsia="Times New Roman" w:hAnsi="Times New Roman"/>
          <w:sz w:val="19"/>
          <w:szCs w:val="19"/>
          <w:color w:val="auto"/>
        </w:rPr>
        <w:t>.</w:t>
      </w:r>
    </w:p>
    <w:p>
      <w:pPr>
        <w:spacing w:after="0" w:line="236" w:lineRule="exact"/>
        <w:rPr>
          <w:sz w:val="20"/>
          <w:szCs w:val="20"/>
          <w:color w:val="auto"/>
        </w:rPr>
      </w:pPr>
    </w:p>
    <w:p>
      <w:pPr>
        <w:jc w:val="both"/>
        <w:ind w:right="120" w:firstLine="1653"/>
        <w:spacing w:after="0" w:line="233" w:lineRule="auto"/>
        <w:rPr>
          <w:sz w:val="20"/>
          <w:szCs w:val="20"/>
          <w:color w:val="auto"/>
        </w:rPr>
      </w:pPr>
      <w:r>
        <w:rPr>
          <w:rFonts w:ascii="Times New Roman" w:cs="Times New Roman" w:eastAsia="Times New Roman" w:hAnsi="Times New Roman"/>
          <w:sz w:val="22"/>
          <w:szCs w:val="22"/>
          <w:color w:val="auto"/>
        </w:rPr>
        <w:t>Tenant shall be responsible for constructing the interior improvements within the Leased Premises (the "</w:t>
      </w:r>
      <w:r>
        <w:rPr>
          <w:rFonts w:ascii="Times New Roman" w:cs="Times New Roman" w:eastAsia="Times New Roman" w:hAnsi="Times New Roman"/>
          <w:sz w:val="22"/>
          <w:szCs w:val="22"/>
          <w:b w:val="1"/>
          <w:bCs w:val="1"/>
          <w:color w:val="auto"/>
        </w:rPr>
        <w:t>Tenant Improvements</w:t>
      </w:r>
      <w:r>
        <w:rPr>
          <w:rFonts w:ascii="Times New Roman" w:cs="Times New Roman" w:eastAsia="Times New Roman" w:hAnsi="Times New Roman"/>
          <w:sz w:val="22"/>
          <w:szCs w:val="22"/>
          <w:color w:val="auto"/>
        </w:rPr>
        <w:t>"). Tenant's proposed architect/engineer, construction contractor, and mechanical, electric and plumbing subcontractors are subject to Landlord's prior approval, which approval shall not be unreasonably withheld or delayed. Promptly following the selection and approval of the architect/engineer, Tenant shall forward to said architect/engineer (and copy Landlord on the transmittal) Landlord's building standards heretofore delivered to Tenant, and Tenant shall cause said architect/engineer to comply with said building standards. Promptly following the selection and approval of the contractor, Tenant shall forward to said contractor (and copy Landlord on the transmittal) Landlord's mechanical, electrical and plumbing specifications and Landlord's rules of conduct, all of which have been delivered to Tenant prior to the date of this Lease, and Tenant shall cause said contractor to comply with said specifications and rules of conduct. At Landlord's request, Tenant shall coordinate a meeting among Landlord, Tenant and Tenant's contractor to discuss the Building systems and other matters related to the construction of the Tenant Improvements.</w:t>
      </w:r>
    </w:p>
    <w:p>
      <w:pPr>
        <w:spacing w:after="0" w:line="214" w:lineRule="exact"/>
        <w:rPr>
          <w:sz w:val="20"/>
          <w:szCs w:val="20"/>
          <w:color w:val="auto"/>
        </w:rPr>
      </w:pPr>
    </w:p>
    <w:p>
      <w:pPr>
        <w:jc w:val="both"/>
        <w:ind w:right="120" w:firstLine="1658"/>
        <w:spacing w:after="0" w:line="234" w:lineRule="auto"/>
        <w:tabs>
          <w:tab w:leader="none" w:pos="1973"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Tenant access, to the extent permitted by applicable laws, rules and ordinances, for the commencement of the Tenant Improvements on or before January 1, 2021, provided that such access does not interfere with the construction of the Base terms and conditions of this Lease other than the obligation to pay Rent, (b) Tenant shall use best efforts to minimize any interference with Landlord’s activities, including, without limitation, construction of the Base Building, (c) Tenant shall cause its personnel and contractors to comply with the terms and conditions of Landlord’s general contactor’s reasonable rules of conduct, and</w:t>
      </w:r>
    </w:p>
    <w:p>
      <w:pPr>
        <w:spacing w:after="0" w:line="2" w:lineRule="exact"/>
        <w:rPr>
          <w:rFonts w:ascii="Times New Roman" w:cs="Times New Roman" w:eastAsia="Times New Roman" w:hAnsi="Times New Roman"/>
          <w:sz w:val="22"/>
          <w:szCs w:val="22"/>
          <w:color w:val="auto"/>
        </w:rPr>
      </w:pPr>
    </w:p>
    <w:p>
      <w:pPr>
        <w:ind w:right="440" w:firstLine="5"/>
        <w:spacing w:after="0" w:line="249" w:lineRule="auto"/>
        <w:tabs>
          <w:tab w:leader="none" w:pos="642"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begin operation of its business. Tenant acknowledges that Tenant shall be responsible for obtaining all applicable permits and inspections relating to any such early access by Tenant. Landlord and Tenant agree to cooperate reasonably with each other in the performance of their respective work for the Base Building and Tenant Improvements.</w:t>
      </w:r>
    </w:p>
    <w:p>
      <w:pPr>
        <w:spacing w:after="0" w:line="196" w:lineRule="exact"/>
        <w:rPr>
          <w:rFonts w:ascii="Times New Roman" w:cs="Times New Roman" w:eastAsia="Times New Roman" w:hAnsi="Times New Roman"/>
          <w:sz w:val="21"/>
          <w:szCs w:val="21"/>
          <w:color w:val="auto"/>
        </w:rPr>
      </w:pPr>
    </w:p>
    <w:p>
      <w:pPr>
        <w:jc w:val="right"/>
        <w:ind w:left="1240" w:right="220" w:hanging="691"/>
        <w:spacing w:after="0" w:line="249" w:lineRule="auto"/>
        <w:tabs>
          <w:tab w:leader="none" w:pos="1960"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Preparation of CD's</w:t>
      </w:r>
      <w:r>
        <w:rPr>
          <w:rFonts w:ascii="Times New Roman" w:cs="Times New Roman" w:eastAsia="Times New Roman" w:hAnsi="Times New Roman"/>
          <w:sz w:val="21"/>
          <w:szCs w:val="21"/>
          <w:color w:val="auto"/>
        </w:rPr>
        <w:t>. Within one hundred twenty (120) days after execution of the Lease by both parties, Tenant shall, at Tenant's sole cost and expense, prepare and submit to Landlord a set of permittable construction drawings (the "</w:t>
      </w:r>
      <w:r>
        <w:rPr>
          <w:rFonts w:ascii="Times New Roman" w:cs="Times New Roman" w:eastAsia="Times New Roman" w:hAnsi="Times New Roman"/>
          <w:sz w:val="21"/>
          <w:szCs w:val="21"/>
          <w:b w:val="1"/>
          <w:bCs w:val="1"/>
          <w:color w:val="auto"/>
        </w:rPr>
        <w:t>CD's</w:t>
      </w:r>
      <w:r>
        <w:rPr>
          <w:rFonts w:ascii="Times New Roman" w:cs="Times New Roman" w:eastAsia="Times New Roman" w:hAnsi="Times New Roman"/>
          <w:sz w:val="21"/>
          <w:szCs w:val="21"/>
          <w:color w:val="auto"/>
        </w:rPr>
        <w:t xml:space="preserve">"), based on the preliminary plans attached hereto as </w:t>
      </w:r>
      <w:r>
        <w:rPr>
          <w:rFonts w:ascii="Times New Roman" w:cs="Times New Roman" w:eastAsia="Times New Roman" w:hAnsi="Times New Roman"/>
          <w:sz w:val="21"/>
          <w:szCs w:val="21"/>
          <w:b w:val="1"/>
          <w:bCs w:val="1"/>
          <w:u w:val="single" w:color="auto"/>
          <w:color w:val="auto"/>
        </w:rPr>
        <w:t>Exhibit B-2</w:t>
      </w:r>
      <w:r>
        <w:rPr>
          <w:rFonts w:ascii="Times New Roman" w:cs="Times New Roman" w:eastAsia="Times New Roman" w:hAnsi="Times New Roman"/>
          <w:sz w:val="21"/>
          <w:szCs w:val="21"/>
          <w:color w:val="auto"/>
        </w:rPr>
        <w:t xml:space="preserve"> and made a part hereof,</w:t>
      </w:r>
    </w:p>
    <w:p>
      <w:pPr>
        <w:spacing w:after="0" w:line="1" w:lineRule="exact"/>
        <w:rPr>
          <w:sz w:val="20"/>
          <w:szCs w:val="20"/>
          <w:color w:val="auto"/>
        </w:rPr>
      </w:pPr>
    </w:p>
    <w:p>
      <w:pPr>
        <w:jc w:val="right"/>
        <w:ind w:left="880" w:right="220"/>
        <w:spacing w:after="0" w:line="230" w:lineRule="auto"/>
        <w:rPr>
          <w:sz w:val="20"/>
          <w:szCs w:val="20"/>
          <w:color w:val="auto"/>
        </w:rPr>
      </w:pPr>
      <w:r>
        <w:rPr>
          <w:rFonts w:ascii="Times New Roman" w:cs="Times New Roman" w:eastAsia="Times New Roman" w:hAnsi="Times New Roman"/>
          <w:sz w:val="22"/>
          <w:szCs w:val="22"/>
          <w:color w:val="auto"/>
        </w:rPr>
        <w:t>covering all work to be performed by Tenant in constructing the Tenant Improvements. Tenant shall have no right to request any Tenant Improvements that would materially alter the exterior appearance or basic nature of the Building or the Building systems. Provided a Landlord representative or construction manager has been involved with the process of preparing the CDs with Tenant (as is currently anticipated), Landlord shall have fourteen (14) days after receipt of the CD's in which to review the CD's and in which to give Tenant written notice of its approval of the CD's or its requested changes to the CD's. If Landlord requests any changes to the CD's, Tenant shall make such changes and shall, within ten</w:t>
      </w:r>
    </w:p>
    <w:p>
      <w:pPr>
        <w:spacing w:after="0" w:line="4" w:lineRule="exact"/>
        <w:rPr>
          <w:sz w:val="20"/>
          <w:szCs w:val="20"/>
          <w:color w:val="auto"/>
        </w:rPr>
      </w:pPr>
    </w:p>
    <w:p>
      <w:pPr>
        <w:ind w:right="2720" w:firstLine="5"/>
        <w:spacing w:after="0" w:line="658" w:lineRule="auto"/>
        <w:tabs>
          <w:tab w:leader="none" w:pos="44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its receipt of Landlord's requested changes (if any), submit the revised Exhibit B 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158750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108" w:right="339" w:bottom="1440" w:gutter="0" w:footer="0" w:header="0"/>
        </w:sectPr>
      </w:pPr>
    </w:p>
    <w:bookmarkStart w:id="239" w:name="page240"/>
    <w:bookmarkEnd w:id="239"/>
    <w:p>
      <w:pPr>
        <w:ind w:left="990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21"/>
          <w:szCs w:val="21"/>
          <w:color w:val="auto"/>
        </w:rPr>
        <w:t>portion of the CD's to Landlord. Landlord shall have ten (10) business days after receipt of the revised CD's in which to review said revised CD's and in which to give to Tenant written notice of its approval of the revised CD's or its requested changes thereto. This process shall continue until such time, if at all, that Landlord approves the CD's in accordance with this paragraph. Tenant shall at all times in its preparation of the CD's, and of any revisions thereto, act reasonably and in good faith. Landlord shall at all times in its review of the CD's, and any revisions thereto, act reasonably and in good faith. Landlord’s construction manager, the architect/engineer, contractor and any other representatives of Landlord and Tenant shall endeavor to hold regular meetings to discuss the CD’s, permitting, approvals, the construction of the Tenant Improvements and any other related issues.</w:t>
      </w:r>
    </w:p>
    <w:p>
      <w:pPr>
        <w:spacing w:after="0" w:line="197" w:lineRule="exact"/>
        <w:rPr>
          <w:sz w:val="20"/>
          <w:szCs w:val="20"/>
          <w:color w:val="auto"/>
        </w:rPr>
      </w:pPr>
    </w:p>
    <w:p>
      <w:pPr>
        <w:ind w:left="1680" w:hanging="1131"/>
        <w:spacing w:after="0"/>
        <w:tabs>
          <w:tab w:leader="none" w:pos="16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of Tenant Improvements</w:t>
      </w:r>
      <w:r>
        <w:rPr>
          <w:rFonts w:ascii="Times New Roman" w:cs="Times New Roman" w:eastAsia="Times New Roman" w:hAnsi="Times New Roman"/>
          <w:sz w:val="22"/>
          <w:szCs w:val="22"/>
          <w:color w:val="auto"/>
        </w:rPr>
        <w:t>. Prior to commencing the construction of the Tenant Improvements,</w:t>
      </w:r>
    </w:p>
    <w:p>
      <w:pPr>
        <w:spacing w:after="0" w:line="14" w:lineRule="exact"/>
        <w:rPr>
          <w:sz w:val="20"/>
          <w:szCs w:val="20"/>
          <w:color w:val="auto"/>
        </w:rPr>
      </w:pPr>
    </w:p>
    <w:p>
      <w:pPr>
        <w:jc w:val="right"/>
        <w:ind w:left="800" w:right="220"/>
        <w:spacing w:after="0" w:line="242" w:lineRule="auto"/>
        <w:rPr>
          <w:sz w:val="20"/>
          <w:szCs w:val="20"/>
          <w:color w:val="auto"/>
        </w:rPr>
      </w:pPr>
      <w:r>
        <w:rPr>
          <w:rFonts w:ascii="Times New Roman" w:cs="Times New Roman" w:eastAsia="Times New Roman" w:hAnsi="Times New Roman"/>
          <w:sz w:val="21"/>
          <w:szCs w:val="21"/>
          <w:color w:val="auto"/>
        </w:rPr>
        <w:t xml:space="preserve">Tenant shall deliver to Landlord (a) evidence of Tenant's insurance reasonably satisfactory to Landlord, which insurance shall be maintained throughout the construction of the Tenant Improvements, and (b) a project schedule in detail reasonably satisfactory to Landlord. In addition, Tenant shall require its contractor to carry appropriate insurance, as reasonably determined by Landlord, but which shall include, without limitation, Commercial General Liability, Commercial Auto Liability and Worker's Compensation, in amounts necessary to insure the project and the work related thereto against claims for bodily injury or death or property damage. Tenant's contractors of all tiers shall name Landlord, Landlord's managing agent, and any mortgagee requested by Landlord as additional insured on all liability policies required pursuant to this paragraph. Throughout the construction of the Tenant Improvements, Tenant shall notify Landlord promptly of any material deviations from such project schedule. Tenant or its contractor shall construct the Tenant Improvements in a good and workmanlike manner and in accordance with the CDs and all applicable governmental regulations. Notwithstanding anything contained in this Lease to the contrary, Tenant's obligation to pay Minimum Annual Rent and Additional Rent hereunder shall nevertheless begin on the Commencement Date (subject to the Abatement set forth in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of the Lease). Landlord shall have the right, from time to time throughout the construction process, to enter upon the Leased Premises to perform periodic inspections of the Tenant Improvements. Tenant agrees to respond to and address promptly any reasonable concerns raised by Landlord during or as a result of such inspections.</w:t>
      </w:r>
    </w:p>
    <w:p>
      <w:pPr>
        <w:spacing w:after="0" w:line="211" w:lineRule="exact"/>
        <w:rPr>
          <w:sz w:val="20"/>
          <w:szCs w:val="20"/>
          <w:color w:val="auto"/>
        </w:rPr>
      </w:pPr>
    </w:p>
    <w:p>
      <w:pPr>
        <w:jc w:val="both"/>
        <w:ind w:left="1660" w:right="220" w:hanging="1111"/>
        <w:spacing w:after="0" w:line="253" w:lineRule="auto"/>
        <w:tabs>
          <w:tab w:leader="none" w:pos="198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Punchlist</w:t>
      </w:r>
      <w:r>
        <w:rPr>
          <w:rFonts w:ascii="Times New Roman" w:cs="Times New Roman" w:eastAsia="Times New Roman" w:hAnsi="Times New Roman"/>
          <w:sz w:val="21"/>
          <w:szCs w:val="21"/>
          <w:color w:val="auto"/>
        </w:rPr>
        <w:t>. Upon substantial completion of the Tenant Improvements, a representative of Landlord and a representative of Tenant together shall inspect the Leased Premises and generate a punchlist of defective or</w:t>
      </w:r>
    </w:p>
    <w:p>
      <w:pPr>
        <w:spacing w:after="0" w:line="1" w:lineRule="exact"/>
        <w:rPr>
          <w:sz w:val="20"/>
          <w:szCs w:val="20"/>
          <w:color w:val="auto"/>
        </w:rPr>
      </w:pPr>
    </w:p>
    <w:p>
      <w:pPr>
        <w:jc w:val="right"/>
        <w:ind w:left="820" w:right="220"/>
        <w:spacing w:after="0" w:line="235" w:lineRule="auto"/>
        <w:rPr>
          <w:sz w:val="20"/>
          <w:szCs w:val="20"/>
          <w:color w:val="auto"/>
        </w:rPr>
      </w:pPr>
      <w:r>
        <w:rPr>
          <w:rFonts w:ascii="Times New Roman" w:cs="Times New Roman" w:eastAsia="Times New Roman" w:hAnsi="Times New Roman"/>
          <w:sz w:val="22"/>
          <w:szCs w:val="22"/>
          <w:color w:val="auto"/>
        </w:rPr>
        <w:t>uncompleted items relating to the completion of construction of the Tenant Improvements. Tenant shall, within a reasonable time after such punchlist is prepared and agreed upon by Landlord and Tenant, complete such incomplete work and remedy such defective work as are set forth on the punchlist.</w:t>
      </w:r>
    </w:p>
    <w:p>
      <w:pPr>
        <w:spacing w:after="0" w:line="205" w:lineRule="exact"/>
        <w:rPr>
          <w:sz w:val="20"/>
          <w:szCs w:val="20"/>
          <w:color w:val="auto"/>
        </w:rPr>
      </w:pPr>
    </w:p>
    <w:p>
      <w:pPr>
        <w:jc w:val="right"/>
        <w:ind w:left="720" w:right="220" w:hanging="171"/>
        <w:spacing w:after="0" w:line="247" w:lineRule="auto"/>
        <w:tabs>
          <w:tab w:leader="none" w:pos="1838"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Improvement Costs</w:t>
      </w:r>
      <w:r>
        <w:rPr>
          <w:rFonts w:ascii="Times New Roman" w:cs="Times New Roman" w:eastAsia="Times New Roman" w:hAnsi="Times New Roman"/>
          <w:sz w:val="21"/>
          <w:szCs w:val="21"/>
          <w:color w:val="auto"/>
        </w:rPr>
        <w:t>. Landlord shall reimburse Tenant for the Improvement Costs (as hereinafter defined) incurred in constructing the Tenant Improvements, up to an amount equal to Thirteen and No/100 Dollars ($13.00) per rentable square foot of the Leased Premises (the “</w:t>
      </w:r>
      <w:r>
        <w:rPr>
          <w:rFonts w:ascii="Times New Roman" w:cs="Times New Roman" w:eastAsia="Times New Roman" w:hAnsi="Times New Roman"/>
          <w:sz w:val="21"/>
          <w:szCs w:val="21"/>
          <w:b w:val="1"/>
          <w:bCs w:val="1"/>
          <w:color w:val="auto"/>
        </w:rPr>
        <w:t>Tenant Allowance</w:t>
      </w:r>
      <w:r>
        <w:rPr>
          <w:rFonts w:ascii="Times New Roman" w:cs="Times New Roman" w:eastAsia="Times New Roman" w:hAnsi="Times New Roman"/>
          <w:sz w:val="21"/>
          <w:szCs w:val="21"/>
          <w:color w:val="auto"/>
        </w:rPr>
        <w:t>”) (By way of example, the Tenant Allowance would equal Two Million Four Hundred Thirty-Seven Thousand Five Hundred and No/100 Dollars ($2,437,500.00), if</w:t>
      </w:r>
    </w:p>
    <w:p>
      <w:pPr>
        <w:spacing w:after="0" w:line="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the final Rentable Area of the Leased Premises is 187,500 square feet), as follows: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108" w:right="339" w:bottom="1440" w:gutter="0" w:footer="0" w:header="0"/>
        </w:sectPr>
      </w:pPr>
    </w:p>
    <w:bookmarkStart w:id="240" w:name="page241"/>
    <w:bookmarkEnd w:id="240"/>
    <w:p>
      <w:pPr>
        <w:ind w:left="9900"/>
        <w:spacing w:after="0"/>
        <w:rPr>
          <w:sz w:val="20"/>
          <w:szCs w:val="20"/>
          <w:color w:val="auto"/>
        </w:rPr>
      </w:pPr>
      <w:r>
        <w:rPr>
          <w:rFonts w:ascii="Times New Roman" w:cs="Times New Roman" w:eastAsia="Times New Roman" w:hAnsi="Times New Roman"/>
          <w:sz w:val="21"/>
          <w:szCs w:val="21"/>
          <w:b w:val="1"/>
          <w:bCs w:val="1"/>
          <w:color w:val="auto"/>
        </w:rPr>
        <w:t>Exhibit 10.15</w:t>
      </w:r>
    </w:p>
    <w:p>
      <w:pPr>
        <w:sectPr>
          <w:pgSz w:w="11900" w:h="16838" w:orient="portrait"/>
          <w:cols w:equalWidth="0" w:num="1">
            <w:col w:w="11120"/>
          </w:cols>
          <w:pgMar w:left="440" w:top="108" w:right="339" w:bottom="1440" w:gutter="0" w:footer="0" w:header="0"/>
        </w:sectPr>
      </w:pPr>
    </w:p>
    <w:p>
      <w:pPr>
        <w:spacing w:after="0" w:line="3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right"/>
        <w:ind w:right="120"/>
        <w:spacing w:after="0" w:line="286" w:lineRule="auto"/>
        <w:rPr>
          <w:sz w:val="20"/>
          <w:szCs w:val="20"/>
          <w:color w:val="auto"/>
        </w:rPr>
      </w:pPr>
      <w:r>
        <w:rPr>
          <w:rFonts w:ascii="Times New Roman" w:cs="Times New Roman" w:eastAsia="Times New Roman" w:hAnsi="Times New Roman"/>
          <w:sz w:val="21"/>
          <w:szCs w:val="21"/>
          <w:color w:val="auto"/>
        </w:rPr>
        <w:t>Landlord shall pay the Tenant Allowance, less a holdback (the "</w:t>
      </w:r>
      <w:r>
        <w:rPr>
          <w:rFonts w:ascii="Times New Roman" w:cs="Times New Roman" w:eastAsia="Times New Roman" w:hAnsi="Times New Roman"/>
          <w:sz w:val="21"/>
          <w:szCs w:val="21"/>
          <w:b w:val="1"/>
          <w:bCs w:val="1"/>
          <w:color w:val="auto"/>
        </w:rPr>
        <w:t>Holdback</w:t>
      </w:r>
      <w:r>
        <w:rPr>
          <w:rFonts w:ascii="Times New Roman" w:cs="Times New Roman" w:eastAsia="Times New Roman" w:hAnsi="Times New Roman"/>
          <w:sz w:val="21"/>
          <w:szCs w:val="21"/>
          <w:color w:val="auto"/>
        </w:rPr>
        <w:t>")equal to ten percent (10%), to Tenant at such time as Tenant’s contractor has:</w:t>
      </w:r>
    </w:p>
    <w:p>
      <w:pPr>
        <w:spacing w:after="0" w:line="157" w:lineRule="exact"/>
        <w:rPr>
          <w:sz w:val="20"/>
          <w:szCs w:val="20"/>
          <w:color w:val="auto"/>
        </w:rPr>
      </w:pPr>
    </w:p>
    <w:p>
      <w:pPr>
        <w:sectPr>
          <w:pgSz w:w="11900" w:h="16838" w:orient="portrait"/>
          <w:cols w:equalWidth="0" w:num="2">
            <w:col w:w="3260" w:space="720"/>
            <w:col w:w="7140"/>
          </w:cols>
          <w:pgMar w:left="440" w:top="108" w:right="339" w:bottom="1440" w:gutter="0" w:footer="0" w:header="0"/>
          <w:type w:val="continuous"/>
        </w:sectPr>
      </w:pPr>
    </w:p>
    <w:p>
      <w:pPr>
        <w:jc w:val="center"/>
        <w:ind w:left="60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jc w:val="both"/>
        <w:ind w:right="140" w:firstLine="17"/>
        <w:spacing w:after="0" w:line="282" w:lineRule="auto"/>
        <w:rPr>
          <w:sz w:val="20"/>
          <w:szCs w:val="20"/>
          <w:color w:val="auto"/>
        </w:rPr>
      </w:pPr>
      <w:r>
        <w:rPr>
          <w:rFonts w:ascii="Times New Roman" w:cs="Times New Roman" w:eastAsia="Times New Roman" w:hAnsi="Times New Roman"/>
          <w:sz w:val="21"/>
          <w:szCs w:val="21"/>
          <w:color w:val="auto"/>
        </w:rPr>
        <w:t>substantially completed the Tenant Improvements and received a certificate of occupancy from the applicable governing authority;</w:t>
      </w:r>
    </w:p>
    <w:p>
      <w:pPr>
        <w:spacing w:after="0" w:line="162" w:lineRule="exact"/>
        <w:rPr>
          <w:sz w:val="20"/>
          <w:szCs w:val="20"/>
          <w:color w:val="auto"/>
        </w:rPr>
      </w:pPr>
    </w:p>
    <w:p>
      <w:pPr>
        <w:sectPr>
          <w:pgSz w:w="11900" w:h="16838" w:orient="portrait"/>
          <w:cols w:equalWidth="0" w:num="2">
            <w:col w:w="4700" w:space="720"/>
            <w:col w:w="5700"/>
          </w:cols>
          <w:pgMar w:left="440" w:top="108" w:right="339" w:bottom="1440" w:gutter="0" w:footer="0" w:header="0"/>
          <w:type w:val="continuous"/>
        </w:sectPr>
      </w:pPr>
    </w:p>
    <w:p>
      <w:pPr>
        <w:ind w:left="2680"/>
        <w:spacing w:after="0"/>
        <w:tabs>
          <w:tab w:leader="none" w:pos="5600" w:val="left"/>
        </w:tabs>
        <w:rPr>
          <w:sz w:val="20"/>
          <w:szCs w:val="20"/>
          <w:color w:val="auto"/>
        </w:rPr>
      </w:pPr>
      <w:r>
        <w:rPr>
          <w:rFonts w:ascii="Times New Roman" w:cs="Times New Roman" w:eastAsia="Times New Roman" w:hAnsi="Times New Roman"/>
          <w:sz w:val="21"/>
          <w:szCs w:val="21"/>
          <w:color w:val="auto"/>
        </w:rPr>
        <w:t>(ii)</w:t>
      </w:r>
      <w:r>
        <w:rPr>
          <w:sz w:val="20"/>
          <w:szCs w:val="20"/>
          <w:color w:val="auto"/>
        </w:rPr>
        <w:tab/>
      </w:r>
      <w:r>
        <w:rPr>
          <w:rFonts w:ascii="Times New Roman" w:cs="Times New Roman" w:eastAsia="Times New Roman" w:hAnsi="Times New Roman"/>
          <w:sz w:val="21"/>
          <w:szCs w:val="21"/>
          <w:color w:val="auto"/>
        </w:rPr>
        <w:t>delivered to Landlord lien waivers and affidavits from Tenant's</w:t>
      </w:r>
    </w:p>
    <w:p>
      <w:pPr>
        <w:sectPr>
          <w:pgSz w:w="11900" w:h="16838" w:orient="portrait"/>
          <w:cols w:equalWidth="0" w:num="1">
            <w:col w:w="11120"/>
          </w:cols>
          <w:pgMar w:left="440" w:top="108" w:right="339" w:bottom="1440" w:gutter="0" w:footer="0" w:header="0"/>
          <w:type w:val="continuous"/>
        </w:sectPr>
      </w:pPr>
    </w:p>
    <w:p>
      <w:pPr>
        <w:spacing w:after="0" w:line="41" w:lineRule="exact"/>
        <w:rPr>
          <w:sz w:val="20"/>
          <w:szCs w:val="20"/>
          <w:color w:val="auto"/>
        </w:rPr>
      </w:pPr>
    </w:p>
    <w:p>
      <w:pPr>
        <w:jc w:val="right"/>
        <w:ind w:left="60" w:right="120"/>
        <w:spacing w:after="0" w:line="230" w:lineRule="auto"/>
        <w:rPr>
          <w:sz w:val="20"/>
          <w:szCs w:val="20"/>
          <w:color w:val="auto"/>
        </w:rPr>
      </w:pPr>
      <w:r>
        <w:rPr>
          <w:rFonts w:ascii="Times New Roman" w:cs="Times New Roman" w:eastAsia="Times New Roman" w:hAnsi="Times New Roman"/>
          <w:sz w:val="22"/>
          <w:szCs w:val="22"/>
          <w:color w:val="auto"/>
        </w:rPr>
        <w:t>contractor, all subcontractors, and all laborers or materials suppliers having performed any work at the Leased Premises relating to the Tenant Improvements, together with any other evidence reasonably required by Landlord to satisfy Landlord's title insurer that there are no parties entitled to file a lien against Property in connection with such work; and</w:t>
      </w:r>
    </w:p>
    <w:p>
      <w:pPr>
        <w:spacing w:after="0" w:line="205" w:lineRule="exact"/>
        <w:rPr>
          <w:sz w:val="20"/>
          <w:szCs w:val="20"/>
          <w:color w:val="auto"/>
        </w:rPr>
      </w:pPr>
    </w:p>
    <w:p>
      <w:pPr>
        <w:jc w:val="right"/>
        <w:ind w:left="2660" w:right="120"/>
        <w:spacing w:after="0" w:line="258" w:lineRule="auto"/>
        <w:rPr>
          <w:sz w:val="20"/>
          <w:szCs w:val="20"/>
          <w:color w:val="auto"/>
        </w:rPr>
      </w:pPr>
      <w:r>
        <w:rPr>
          <w:rFonts w:ascii="Times New Roman" w:cs="Times New Roman" w:eastAsia="Times New Roman" w:hAnsi="Times New Roman"/>
          <w:sz w:val="22"/>
          <w:szCs w:val="22"/>
          <w:color w:val="auto"/>
        </w:rPr>
        <w:t>(iii)                        delivered to Landlord all invoices, receipts and other evidence reasonably required by Landlord to evidence the cost of the Tenant Improvements.</w:t>
      </w:r>
    </w:p>
    <w:p>
      <w:pPr>
        <w:sectPr>
          <w:pgSz w:w="11900" w:h="16838" w:orient="portrait"/>
          <w:cols w:equalWidth="0" w:num="1">
            <w:col w:w="11120"/>
          </w:cols>
          <w:pgMar w:left="440" w:top="108" w:right="339" w:bottom="1440" w:gutter="0" w:footer="0" w:header="0"/>
          <w:type w:val="continuous"/>
        </w:sectPr>
      </w:pPr>
    </w:p>
    <w:p>
      <w:pPr>
        <w:spacing w:after="0" w:line="18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right="120" w:hanging="42"/>
        <w:spacing w:after="0" w:line="282" w:lineRule="auto"/>
        <w:rPr>
          <w:sz w:val="20"/>
          <w:szCs w:val="20"/>
          <w:color w:val="auto"/>
        </w:rPr>
      </w:pPr>
      <w:r>
        <w:rPr>
          <w:rFonts w:ascii="Times New Roman" w:cs="Times New Roman" w:eastAsia="Times New Roman" w:hAnsi="Times New Roman"/>
          <w:sz w:val="21"/>
          <w:szCs w:val="21"/>
          <w:color w:val="auto"/>
        </w:rPr>
        <w:t>Landlord shall pay the Holdback to Tenant at such time as Tenant has completed the incomplete work and remedied the defective work set forth on the punchlist.</w:t>
      </w:r>
    </w:p>
    <w:p>
      <w:pPr>
        <w:spacing w:after="0" w:line="162" w:lineRule="exact"/>
        <w:rPr>
          <w:sz w:val="20"/>
          <w:szCs w:val="20"/>
          <w:color w:val="auto"/>
        </w:rPr>
      </w:pPr>
    </w:p>
    <w:p>
      <w:pPr>
        <w:sectPr>
          <w:pgSz w:w="11900" w:h="16838" w:orient="portrait"/>
          <w:cols w:equalWidth="0" w:num="2">
            <w:col w:w="3500" w:space="720"/>
            <w:col w:w="6900"/>
          </w:cols>
          <w:pgMar w:left="440" w:top="108" w:right="339" w:bottom="1440" w:gutter="0" w:footer="0" w:header="0"/>
          <w:type w:val="continuous"/>
        </w:sectPr>
      </w:pPr>
    </w:p>
    <w:p>
      <w:pPr>
        <w:ind w:left="1780"/>
        <w:spacing w:after="0"/>
        <w:tabs>
          <w:tab w:leader="none" w:pos="402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color w:val="auto"/>
        </w:rPr>
        <w:t>Landlord shall be entitled to a construction management fee in an amount equal to</w:t>
      </w:r>
    </w:p>
    <w:p>
      <w:pPr>
        <w:sectPr>
          <w:pgSz w:w="11900" w:h="16838" w:orient="portrait"/>
          <w:cols w:equalWidth="0" w:num="1">
            <w:col w:w="11120"/>
          </w:cols>
          <w:pgMar w:left="440" w:top="108" w:right="339" w:bottom="1440" w:gutter="0" w:footer="0" w:header="0"/>
          <w:type w:val="continuous"/>
        </w:sectPr>
      </w:pPr>
    </w:p>
    <w:p>
      <w:pPr>
        <w:spacing w:after="0" w:line="41" w:lineRule="exact"/>
        <w:rPr>
          <w:sz w:val="20"/>
          <w:szCs w:val="20"/>
          <w:color w:val="auto"/>
        </w:rPr>
      </w:pPr>
    </w:p>
    <w:p>
      <w:pPr>
        <w:jc w:val="right"/>
        <w:ind w:left="60" w:right="120"/>
        <w:spacing w:after="0" w:line="230" w:lineRule="auto"/>
        <w:rPr>
          <w:sz w:val="20"/>
          <w:szCs w:val="20"/>
          <w:color w:val="auto"/>
        </w:rPr>
      </w:pPr>
      <w:r>
        <w:rPr>
          <w:rFonts w:ascii="Times New Roman" w:cs="Times New Roman" w:eastAsia="Times New Roman" w:hAnsi="Times New Roman"/>
          <w:sz w:val="22"/>
          <w:szCs w:val="22"/>
          <w:color w:val="auto"/>
        </w:rPr>
        <w:t>one hundred thirty thousand and 00/100 Dollars ($130,000.00) (subject to increase if oversight of construction and closeout related to the Tenant Improvements continues beyond May 1, 2022) (the "</w:t>
      </w:r>
      <w:r>
        <w:rPr>
          <w:rFonts w:ascii="Times New Roman" w:cs="Times New Roman" w:eastAsia="Times New Roman" w:hAnsi="Times New Roman"/>
          <w:sz w:val="22"/>
          <w:szCs w:val="22"/>
          <w:b w:val="1"/>
          <w:bCs w:val="1"/>
          <w:color w:val="auto"/>
        </w:rPr>
        <w:t>Fee</w:t>
      </w:r>
      <w:r>
        <w:rPr>
          <w:rFonts w:ascii="Times New Roman" w:cs="Times New Roman" w:eastAsia="Times New Roman" w:hAnsi="Times New Roman"/>
          <w:sz w:val="22"/>
          <w:szCs w:val="22"/>
          <w:color w:val="auto"/>
        </w:rPr>
        <w:t>"), which, at Landlord’s election, may be paid to a consultant hired by Landlord.At Landlord's option, the Fee shall either be (A) applied against the Tenant Allowance, or (B) billed to Tenant (in which case Tenant shall pay the Fee to Landlord within ten (10) days followingLandlord's delivery of an invoice to Tenant).</w:t>
      </w:r>
    </w:p>
    <w:p>
      <w:pPr>
        <w:spacing w:after="0" w:line="202" w:lineRule="exact"/>
        <w:rPr>
          <w:sz w:val="20"/>
          <w:szCs w:val="20"/>
          <w:color w:val="auto"/>
        </w:rPr>
      </w:pPr>
    </w:p>
    <w:p>
      <w:pPr>
        <w:jc w:val="right"/>
        <w:ind w:left="260" w:right="120"/>
        <w:spacing w:after="0" w:line="241" w:lineRule="auto"/>
        <w:rPr>
          <w:sz w:val="20"/>
          <w:szCs w:val="20"/>
          <w:color w:val="auto"/>
        </w:rPr>
      </w:pPr>
      <w:r>
        <w:rPr>
          <w:rFonts w:ascii="Times New Roman" w:cs="Times New Roman" w:eastAsia="Times New Roman" w:hAnsi="Times New Roman"/>
          <w:sz w:val="22"/>
          <w:szCs w:val="22"/>
          <w:color w:val="auto"/>
        </w:rPr>
        <w:t>(d)                  For purposes of this Lease, the term "</w:t>
      </w:r>
      <w:r>
        <w:rPr>
          <w:rFonts w:ascii="Times New Roman" w:cs="Times New Roman" w:eastAsia="Times New Roman" w:hAnsi="Times New Roman"/>
          <w:sz w:val="22"/>
          <w:szCs w:val="22"/>
          <w:b w:val="1"/>
          <w:bCs w:val="1"/>
          <w:color w:val="auto"/>
        </w:rPr>
        <w:t>Improvement Costs</w:t>
      </w:r>
      <w:r>
        <w:rPr>
          <w:rFonts w:ascii="Times New Roman" w:cs="Times New Roman" w:eastAsia="Times New Roman" w:hAnsi="Times New Roman"/>
          <w:sz w:val="22"/>
          <w:szCs w:val="22"/>
          <w:color w:val="auto"/>
        </w:rPr>
        <w:t>" shall mean the cost of the CD's and all tenant buildout, including, without limitation, materials, labor, design andengineering fees, demising walls and utilities related to the Tenant Improvements. Tenant shall be responsible for all Improvement Costs in excess of the Tenant Allowance.</w:t>
      </w:r>
    </w:p>
    <w:p>
      <w:pPr>
        <w:spacing w:after="0" w:line="200" w:lineRule="exact"/>
        <w:rPr>
          <w:sz w:val="20"/>
          <w:szCs w:val="20"/>
          <w:color w:val="auto"/>
        </w:rPr>
      </w:pPr>
    </w:p>
    <w:p>
      <w:pPr>
        <w:spacing w:after="0" w:line="257" w:lineRule="exact"/>
        <w:rPr>
          <w:sz w:val="20"/>
          <w:szCs w:val="20"/>
          <w:color w:val="auto"/>
        </w:rPr>
      </w:pPr>
    </w:p>
    <w:p>
      <w:pPr>
        <w:jc w:val="right"/>
        <w:ind w:left="540" w:right="120"/>
        <w:spacing w:after="0" w:line="244" w:lineRule="auto"/>
        <w:rPr>
          <w:sz w:val="20"/>
          <w:szCs w:val="20"/>
          <w:color w:val="auto"/>
        </w:rPr>
      </w:pPr>
      <w:r>
        <w:rPr>
          <w:rFonts w:ascii="Times New Roman" w:cs="Times New Roman" w:eastAsia="Times New Roman" w:hAnsi="Times New Roman"/>
          <w:sz w:val="22"/>
          <w:szCs w:val="22"/>
          <w:color w:val="auto"/>
        </w:rPr>
        <w:t>(e)                  Notwithstanding the foregoing, Landlord and Tenant acknowledge and agree that the Tenant Allowance shall be used within twenty-four (24) months after the Commencement Date, and Tenant shall not be entitled to any remaining Tenant Allowance after the passage of such time.</w:t>
      </w:r>
    </w:p>
    <w:p>
      <w:pPr>
        <w:spacing w:after="0" w:line="200" w:lineRule="exact"/>
        <w:rPr>
          <w:sz w:val="20"/>
          <w:szCs w:val="20"/>
          <w:color w:val="auto"/>
        </w:rPr>
      </w:pPr>
    </w:p>
    <w:p>
      <w:pPr>
        <w:jc w:val="both"/>
        <w:ind w:left="900" w:right="220" w:hanging="351"/>
        <w:spacing w:after="0" w:line="253" w:lineRule="auto"/>
        <w:tabs>
          <w:tab w:leader="none" w:pos="168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Liens</w:t>
      </w:r>
      <w:r>
        <w:rPr>
          <w:rFonts w:ascii="Times New Roman" w:cs="Times New Roman" w:eastAsia="Times New Roman" w:hAnsi="Times New Roman"/>
          <w:sz w:val="21"/>
          <w:szCs w:val="21"/>
          <w:color w:val="auto"/>
        </w:rPr>
        <w:t>. All work performed, materials furnished, or obligations incurred by or at the request of Tenant shall be deemed authorized and ordered by Tenant only, and Tenant shall not permit any mechanic’s or construction liens</w:t>
      </w:r>
    </w:p>
    <w:p>
      <w:pPr>
        <w:spacing w:after="0" w:line="1" w:lineRule="exact"/>
        <w:rPr>
          <w:sz w:val="20"/>
          <w:szCs w:val="20"/>
          <w:color w:val="auto"/>
        </w:rPr>
      </w:pPr>
    </w:p>
    <w:p>
      <w:pPr>
        <w:jc w:val="right"/>
        <w:ind w:left="740" w:right="220"/>
        <w:spacing w:after="0" w:line="232" w:lineRule="auto"/>
        <w:rPr>
          <w:sz w:val="20"/>
          <w:szCs w:val="20"/>
          <w:color w:val="auto"/>
        </w:rPr>
      </w:pPr>
      <w:r>
        <w:rPr>
          <w:rFonts w:ascii="Times New Roman" w:cs="Times New Roman" w:eastAsia="Times New Roman" w:hAnsi="Times New Roman"/>
          <w:sz w:val="22"/>
          <w:szCs w:val="22"/>
          <w:color w:val="auto"/>
        </w:rPr>
        <w:t>to be filed against the Leased Premises or the Building in connection therewith. Tenant acknowledges that Landlord may post notice on the Leased Premises of non-responsibility for such liens and, in such event, Tenant shall so advise all contractors, materialmen, suppliers and other persons performing work or providing services and/or supplies to the Leased Premises on behalf of Tenant. Notwithstanding any term or provision herein to the contrary, for all work performed, materials furnished, or obligations incurred by or at the request of Tenant, Tenant must appoint a lien agent (as defined in NCGS 44A-7, naming the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108" w:right="339" w:bottom="1440" w:gutter="0" w:footer="0" w:header="0"/>
          <w:type w:val="continuous"/>
        </w:sectPr>
      </w:pPr>
    </w:p>
    <w:bookmarkStart w:id="241" w:name="page242"/>
    <w:bookmarkEnd w:id="241"/>
    <w:p>
      <w:pPr>
        <w:ind w:left="990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21"/>
          <w:szCs w:val="21"/>
          <w:color w:val="auto"/>
        </w:rPr>
        <w:t>Tenant in the “Owner Information” section and the Leased Premises in the “Project Property” section of the Appointment of Lien at www.LiensNC.com), and Tenant must provide to Landlord such mechanics lien agent entry number as assigned by LiensNC.com, prior to the earlier of (i) the date any work is commenced within the Leased Premises by or on behalf of Tenant,</w:t>
      </w:r>
    </w:p>
    <w:p>
      <w:pPr>
        <w:spacing w:after="0" w:line="1" w:lineRule="exact"/>
        <w:rPr>
          <w:sz w:val="20"/>
          <w:szCs w:val="20"/>
          <w:color w:val="auto"/>
        </w:rPr>
      </w:pPr>
    </w:p>
    <w:p>
      <w:pPr>
        <w:jc w:val="both"/>
        <w:ind w:right="120" w:firstLine="5"/>
        <w:spacing w:after="0" w:line="230" w:lineRule="auto"/>
        <w:tabs>
          <w:tab w:leader="none" w:pos="31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paying any allowance money to Tenant relative to the Leased Premises, (iii) Tenant entering into a contract with a contractor relative to the Leased Premises, and (iv) the date any building permit is obtained relative to the Leased Premises. If such a lien is filed, then Tenant shall, within ten</w:t>
      </w:r>
    </w:p>
    <w:p>
      <w:pPr>
        <w:spacing w:after="0" w:line="1" w:lineRule="exact"/>
        <w:rPr>
          <w:rFonts w:ascii="Times New Roman" w:cs="Times New Roman" w:eastAsia="Times New Roman" w:hAnsi="Times New Roman"/>
          <w:sz w:val="22"/>
          <w:szCs w:val="22"/>
          <w:color w:val="auto"/>
        </w:rPr>
      </w:pPr>
    </w:p>
    <w:p>
      <w:pPr>
        <w:jc w:val="both"/>
        <w:ind w:right="1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days after Landlord has delivered notice of the filing thereof to Tenant (or such earlier time period as may be necessary to prevent the forfeiture of the Leased Premises, the Building or any interest of Landlord therein or the imposition of a civil or criminal fine with respect thereto), either</w:t>
      </w:r>
    </w:p>
    <w:p>
      <w:pPr>
        <w:spacing w:after="0" w:line="1" w:lineRule="exact"/>
        <w:rPr>
          <w:rFonts w:ascii="Times New Roman" w:cs="Times New Roman" w:eastAsia="Times New Roman" w:hAnsi="Times New Roman"/>
          <w:sz w:val="22"/>
          <w:szCs w:val="22"/>
          <w:color w:val="auto"/>
        </w:rPr>
      </w:pPr>
    </w:p>
    <w:p>
      <w:pPr>
        <w:jc w:val="both"/>
        <w:ind w:right="1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w:t>
      </w:r>
    </w:p>
    <w:p>
      <w:pPr>
        <w:spacing w:after="0" w:line="2" w:lineRule="exact"/>
        <w:rPr>
          <w:rFonts w:ascii="Times New Roman" w:cs="Times New Roman" w:eastAsia="Times New Roman" w:hAnsi="Times New Roman"/>
          <w:sz w:val="22"/>
          <w:szCs w:val="22"/>
          <w:color w:val="auto"/>
        </w:rPr>
      </w:pPr>
    </w:p>
    <w:p>
      <w:pPr>
        <w:jc w:val="both"/>
        <w:ind w:right="120"/>
        <w:spacing w:after="0" w:line="2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(10) days after Landlord has invoiced Tenant therefor. Landlord and Tenant acknowledge and agree that their relationship is and shall be solely that of “landlord-tenant” (thereby excluding a relationship of “owner-contractor,” “owner-agent” or other similar relationships) and that Tenant is not authorized to act as Landlord’s common law agent or construction agent in connection with any work performed in the Leased Premises. Accordingly, all materialmen, contractors, artisans, mechanics, laborers and any other persons now or hereafter contracting with Tenant, any contractor or subcontractor of Tenant for the furnishing of any labor, services, materials, supplies or equipment with respect to any portion of the Leased Premises, at any time from the date hereof until the end of the Lease Term, are hereby charged with notice that they look exclusively to Tenant to obtain payment for same. Nothing herein shall be deemed a consent by Landlord to any liens being placed upon the Leased Premises, the Building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Tenant to pay for any work performed, materials furnished, or obligations incurred by or at the request of Tenant. This indemnity provision shall survive termination or expiration of this Lease.</w:t>
      </w:r>
    </w:p>
    <w:p>
      <w:pPr>
        <w:spacing w:after="0" w:line="212" w:lineRule="exact"/>
        <w:rPr>
          <w:rFonts w:ascii="Times New Roman" w:cs="Times New Roman" w:eastAsia="Times New Roman" w:hAnsi="Times New Roman"/>
          <w:sz w:val="22"/>
          <w:szCs w:val="22"/>
          <w:color w:val="auto"/>
        </w:rPr>
      </w:pPr>
    </w:p>
    <w:p>
      <w:pPr>
        <w:jc w:val="right"/>
        <w:ind w:left="720" w:right="220" w:hanging="171"/>
        <w:spacing w:after="0" w:line="244" w:lineRule="auto"/>
        <w:tabs>
          <w:tab w:leader="none" w:pos="1956"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 and Payment Bonds</w:t>
      </w:r>
      <w:r>
        <w:rPr>
          <w:rFonts w:ascii="Times New Roman" w:cs="Times New Roman" w:eastAsia="Times New Roman" w:hAnsi="Times New Roman"/>
          <w:sz w:val="21"/>
          <w:szCs w:val="21"/>
          <w:color w:val="auto"/>
        </w:rPr>
        <w:t xml:space="preserve">. Landlord may, in its discretion, require Tenant to obtain and record a statutory form of lien bond, or obtain performance and payment bonds, or some alternate form of security satisfactory to Landlord in an amount sufficient to ensure the lien- free completion of such Tenant Improvements and naming Landlord as a co-obligee, in each case in form and substance reasonably satisfactory to Landlord. Notwithstanding the foregoing, upon Landlord’s election to require the bond(s) described above, Tenant shall have the option to satisfy such requirement by (i) delivering to Landlord a Tenant-executed Escrow Agreement in substantially the form attached hereto as </w:t>
      </w:r>
      <w:r>
        <w:rPr>
          <w:rFonts w:ascii="Times New Roman" w:cs="Times New Roman" w:eastAsia="Times New Roman" w:hAnsi="Times New Roman"/>
          <w:sz w:val="21"/>
          <w:szCs w:val="21"/>
          <w:b w:val="1"/>
          <w:bCs w:val="1"/>
          <w:u w:val="single" w:color="auto"/>
          <w:color w:val="auto"/>
        </w:rPr>
        <w:t>Exhibit B-3</w:t>
      </w:r>
      <w:r>
        <w:rPr>
          <w:rFonts w:ascii="Times New Roman" w:cs="Times New Roman" w:eastAsia="Times New Roman" w:hAnsi="Times New Roman"/>
          <w:sz w:val="21"/>
          <w:szCs w:val="21"/>
          <w:color w:val="auto"/>
        </w:rPr>
        <w:t xml:space="preserve"> and made a part hereof (the “</w:t>
      </w:r>
      <w:r>
        <w:rPr>
          <w:rFonts w:ascii="Times New Roman" w:cs="Times New Roman" w:eastAsia="Times New Roman" w:hAnsi="Times New Roman"/>
          <w:sz w:val="21"/>
          <w:szCs w:val="21"/>
          <w:b w:val="1"/>
          <w:bCs w:val="1"/>
          <w:color w:val="auto"/>
        </w:rPr>
        <w:t>Escrow Agreement</w:t>
      </w:r>
      <w:r>
        <w:rPr>
          <w:rFonts w:ascii="Times New Roman" w:cs="Times New Roman" w:eastAsia="Times New Roman" w:hAnsi="Times New Roman"/>
          <w:sz w:val="21"/>
          <w:szCs w:val="21"/>
          <w:color w:val="auto"/>
        </w:rPr>
        <w:t>”) and (ii) depositing the sum of Two Million Six Hundred Thousand and 00/100 Dollars ($2,600,000.00) (the “</w:t>
      </w:r>
      <w:r>
        <w:rPr>
          <w:rFonts w:ascii="Times New Roman" w:cs="Times New Roman" w:eastAsia="Times New Roman" w:hAnsi="Times New Roman"/>
          <w:sz w:val="21"/>
          <w:szCs w:val="21"/>
          <w:b w:val="1"/>
          <w:bCs w:val="1"/>
          <w:color w:val="auto"/>
        </w:rPr>
        <w:t>Escrow Funds</w:t>
      </w:r>
      <w:r>
        <w:rPr>
          <w:rFonts w:ascii="Times New Roman" w:cs="Times New Roman" w:eastAsia="Times New Roman" w:hAnsi="Times New Roman"/>
          <w:sz w:val="21"/>
          <w:szCs w:val="21"/>
          <w:color w:val="auto"/>
        </w:rPr>
        <w:t>”) with the Escrow</w:t>
      </w:r>
    </w:p>
    <w:p>
      <w:pPr>
        <w:spacing w:after="0" w:line="4" w:lineRule="exact"/>
        <w:rPr>
          <w:sz w:val="20"/>
          <w:szCs w:val="20"/>
          <w:color w:val="auto"/>
        </w:rPr>
      </w:pPr>
    </w:p>
    <w:p>
      <w:pPr>
        <w:jc w:val="right"/>
        <w:ind w:left="840" w:right="220"/>
        <w:spacing w:after="0" w:line="235" w:lineRule="auto"/>
        <w:rPr>
          <w:sz w:val="20"/>
          <w:szCs w:val="20"/>
          <w:color w:val="auto"/>
        </w:rPr>
      </w:pPr>
      <w:r>
        <w:rPr>
          <w:rFonts w:ascii="Times New Roman" w:cs="Times New Roman" w:eastAsia="Times New Roman" w:hAnsi="Times New Roman"/>
          <w:sz w:val="22"/>
          <w:szCs w:val="22"/>
          <w:color w:val="auto"/>
        </w:rPr>
        <w:t>Agent (as defined in the Escrow Agreement) within five (5) days after Landlord’s election to require a bond. The Escrow Agreement shall provide (i) that if Tenant fails to pay for Tenant Improvement when due or if any lien is filed in connection with Tenant's Improvements, and such failure continues for a period of</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108" w:right="339" w:bottom="1440" w:gutter="0" w:footer="0" w:header="0"/>
        </w:sectPr>
      </w:pPr>
    </w:p>
    <w:bookmarkStart w:id="242" w:name="page243"/>
    <w:bookmarkEnd w:id="242"/>
    <w:p>
      <w:pPr>
        <w:ind w:left="9900"/>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90"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 xml:space="preserve">ten (10) days after written notice from Landlord to Tenant, Landlord may use and withdraw the funds in the escrow to address any such event and (ii) any such remaining Escrow Funds shall be released to Tenant upon the full satisfaction of all requirements for payment of the Tenant Allowance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including, without limitation, the issuance of a certificate of occupancy for the Leased Premises.</w:t>
      </w:r>
    </w:p>
    <w:p>
      <w:pPr>
        <w:spacing w:after="0" w:line="207" w:lineRule="exact"/>
        <w:rPr>
          <w:sz w:val="20"/>
          <w:szCs w:val="20"/>
          <w:color w:val="auto"/>
        </w:rPr>
      </w:pPr>
    </w:p>
    <w:p>
      <w:pPr>
        <w:jc w:val="both"/>
        <w:ind w:left="840" w:right="220" w:hanging="291"/>
        <w:spacing w:after="0" w:line="253" w:lineRule="auto"/>
        <w:tabs>
          <w:tab w:leader="none" w:pos="1974"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 of Occupancy</w:t>
      </w:r>
      <w:r>
        <w:rPr>
          <w:rFonts w:ascii="Times New Roman" w:cs="Times New Roman" w:eastAsia="Times New Roman" w:hAnsi="Times New Roman"/>
          <w:sz w:val="21"/>
          <w:szCs w:val="21"/>
          <w:color w:val="auto"/>
        </w:rPr>
        <w:t>. Tenant acknowledges and agrees that Tenant shall have no right to conduct its business at the Leased Premises unless and until Tenant delivers to Landlord a temporary certificate of occupancy or a</w:t>
      </w:r>
    </w:p>
    <w:p>
      <w:pPr>
        <w:spacing w:after="0" w:line="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certificate of occupancy, if applicable for the Leased Premises.</w:t>
      </w:r>
    </w:p>
    <w:p>
      <w:pPr>
        <w:spacing w:after="0" w:line="209" w:lineRule="exact"/>
        <w:rPr>
          <w:sz w:val="20"/>
          <w:szCs w:val="20"/>
          <w:color w:val="auto"/>
        </w:rPr>
      </w:pPr>
    </w:p>
    <w:p>
      <w:pPr>
        <w:jc w:val="both"/>
        <w:ind w:left="1440" w:right="220" w:hanging="891"/>
        <w:spacing w:after="0" w:line="253" w:lineRule="auto"/>
        <w:tabs>
          <w:tab w:leader="none" w:pos="163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Landlord Delay</w:t>
      </w:r>
      <w:r>
        <w:rPr>
          <w:rFonts w:ascii="Times New Roman" w:cs="Times New Roman" w:eastAsia="Times New Roman" w:hAnsi="Times New Roman"/>
          <w:sz w:val="21"/>
          <w:szCs w:val="21"/>
          <w:color w:val="auto"/>
        </w:rPr>
        <w:t>. "Landlord Delay" shall mean any and all actual delays in the approving or otherwise responding to the submission of the CD’s or other items requiring Landlord’s approval within the time period</w:t>
      </w:r>
    </w:p>
    <w:p>
      <w:pPr>
        <w:spacing w:after="0" w:line="1" w:lineRule="exact"/>
        <w:rPr>
          <w:sz w:val="20"/>
          <w:szCs w:val="20"/>
          <w:color w:val="auto"/>
        </w:rPr>
      </w:pPr>
    </w:p>
    <w:p>
      <w:pPr>
        <w:jc w:val="right"/>
        <w:ind w:left="720" w:right="220"/>
        <w:spacing w:after="0" w:line="237" w:lineRule="auto"/>
        <w:rPr>
          <w:sz w:val="20"/>
          <w:szCs w:val="20"/>
          <w:color w:val="auto"/>
        </w:rPr>
      </w:pPr>
      <w:r>
        <w:rPr>
          <w:rFonts w:ascii="Times New Roman" w:cs="Times New Roman" w:eastAsia="Times New Roman" w:hAnsi="Times New Roman"/>
          <w:sz w:val="22"/>
          <w:szCs w:val="22"/>
          <w:color w:val="auto"/>
        </w:rPr>
        <w:t>permitted under this Exhibit B, which delay is proximately caused by Landlord. Tenant shall promptly notify Landlord of any delay in substantial completion of Tenant Improvements caused by any Landlord Delay.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108"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B-1 DEFINITION OF BASE</w:t>
      </w:r>
    </w:p>
    <w:p>
      <w:pPr>
        <w:spacing w:after="0" w:line="1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u w:val="single" w:color="auto"/>
          <w:color w:val="auto"/>
        </w:rPr>
        <w:t>BUILDING</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B-1 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456565</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60" w:top="108"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EXHIBIT B-2</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PRELIMINARY PLANS FOR TENANT IMPROVEMENTS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B-2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456565</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60" w:top="108"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u w:val="single" w:color="auto"/>
          <w:color w:val="auto"/>
        </w:rPr>
        <w:t>EXHIBIT B-3 ESCROW</w:t>
      </w:r>
    </w:p>
    <w:p>
      <w:pPr>
        <w:spacing w:after="0" w:line="1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18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Exhibit B-3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370840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0" w:lineRule="exact"/>
        <w:rPr>
          <w:sz w:val="20"/>
          <w:szCs w:val="20"/>
          <w:color w:val="auto"/>
        </w:rPr>
      </w:pPr>
    </w:p>
    <w:p>
      <w:pPr>
        <w:spacing w:after="0" w:line="2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b w:val="1"/>
          <w:bCs w:val="1"/>
          <w:color w:val="auto"/>
        </w:rPr>
        <w:t>FORM OF LETTER OF UNDERSTANDING</w:t>
      </w:r>
    </w:p>
    <w:p>
      <w:pPr>
        <w:spacing w:after="0" w:line="21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6"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b w:val="1"/>
          <w:bCs w:val="1"/>
          <w:color w:val="auto"/>
        </w:rPr>
        <w:t>MOVE-OUT CONDITIONS CHECKLIST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456565</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60" w:top="108"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2"/>
          <w:szCs w:val="22"/>
          <w:b w:val="1"/>
          <w:bCs w:val="1"/>
          <w:color w:val="auto"/>
        </w:rPr>
        <w:t>Exhibit 10.15</w:t>
      </w:r>
    </w:p>
    <w:p>
      <w:pPr>
        <w:spacing w:after="0" w:line="27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143"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E-11</w:t>
      </w:r>
    </w:p>
    <w:p>
      <w:pPr>
        <w:sectPr>
          <w:pgSz w:w="11900" w:h="16838" w:orient="portrait"/>
          <w:cols w:equalWidth="0" w:num="1">
            <w:col w:w="11200"/>
          </w:cols>
          <w:pgMar w:left="360" w:top="108" w:right="339" w:bottom="1440" w:gutter="0" w:footer="0" w:header="0"/>
        </w:sectPr>
      </w:pPr>
    </w:p>
    <w:bookmarkStart w:id="249" w:name="page250"/>
    <w:bookmarkEnd w:id="249"/>
    <w:p>
      <w:pPr>
        <w:jc w:val="right"/>
        <w:spacing w:after="0"/>
        <w:rPr>
          <w:sz w:val="20"/>
          <w:szCs w:val="20"/>
          <w:color w:val="auto"/>
        </w:rPr>
      </w:pPr>
      <w:r>
        <w:rPr>
          <w:rFonts w:ascii="Verdana" w:cs="Verdana" w:eastAsia="Verdana" w:hAnsi="Verdana"/>
          <w:sz w:val="16"/>
          <w:szCs w:val="16"/>
          <w:b w:val="1"/>
          <w:bCs w:val="1"/>
          <w:color w:val="666666"/>
        </w:rPr>
        <w:t>Exhibit 23.1</w:t>
      </w:r>
    </w:p>
    <w:p>
      <w:pPr>
        <w:spacing w:after="0" w:line="359"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666666"/>
        </w:rPr>
        <w:t>CONSENT OF INDEPENDENT REGISTERED PUBLIC ACCOUNTING FIRM</w:t>
      </w:r>
    </w:p>
    <w:p>
      <w:pPr>
        <w:spacing w:after="0" w:line="143" w:lineRule="exact"/>
        <w:rPr>
          <w:sz w:val="20"/>
          <w:szCs w:val="20"/>
          <w:color w:val="auto"/>
        </w:rPr>
      </w:pPr>
    </w:p>
    <w:p>
      <w:pPr>
        <w:jc w:val="both"/>
        <w:spacing w:after="0" w:line="250" w:lineRule="auto"/>
        <w:rPr>
          <w:sz w:val="20"/>
          <w:szCs w:val="20"/>
          <w:color w:val="auto"/>
        </w:rPr>
      </w:pPr>
      <w:r>
        <w:rPr>
          <w:rFonts w:ascii="Verdana" w:cs="Verdana" w:eastAsia="Verdana" w:hAnsi="Verdana"/>
          <w:sz w:val="16"/>
          <w:szCs w:val="16"/>
          <w:color w:val="auto"/>
        </w:rPr>
        <w:t>We consent to the incorporation by reference in Registration Statement No. 333-249130 on Form S-8 of our report dated March 3, 2021, relating to the financial statements of Taysha Gene Therapies, Inc. appearing in this Annual Report on Form 10-K for the year ended December 31, 2020.</w:t>
      </w:r>
    </w:p>
    <w:p>
      <w:pPr>
        <w:spacing w:after="0" w:line="148"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/s/ DELOITTE &amp; TOUCHE LLP</w:t>
      </w:r>
    </w:p>
    <w:p>
      <w:pPr>
        <w:spacing w:after="0" w:line="157" w:lineRule="exact"/>
        <w:rPr>
          <w:sz w:val="20"/>
          <w:szCs w:val="20"/>
          <w:color w:val="auto"/>
        </w:rPr>
      </w:pPr>
    </w:p>
    <w:p>
      <w:pPr>
        <w:spacing w:after="0"/>
        <w:rPr>
          <w:sz w:val="20"/>
          <w:szCs w:val="20"/>
          <w:color w:val="auto"/>
        </w:rPr>
      </w:pPr>
      <w:r>
        <w:rPr>
          <w:rFonts w:ascii="Verdana" w:cs="Verdana" w:eastAsia="Verdana" w:hAnsi="Verdana"/>
          <w:sz w:val="16"/>
          <w:szCs w:val="16"/>
          <w:color w:val="auto"/>
        </w:rPr>
        <w:t>Dallas, Texas</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March 3, 2021</w:t>
      </w:r>
    </w:p>
    <w:p>
      <w:pPr>
        <w:sectPr>
          <w:pgSz w:w="11900" w:h="16838" w:orient="portrait"/>
          <w:cols w:equalWidth="0" w:num="1">
            <w:col w:w="11240"/>
          </w:cols>
          <w:pgMar w:left="320" w:top="139"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 Session II, certify that:</w:t>
      </w:r>
    </w:p>
    <w:p>
      <w:pPr>
        <w:spacing w:after="0" w:line="225" w:lineRule="exact"/>
        <w:rPr>
          <w:sz w:val="20"/>
          <w:szCs w:val="20"/>
          <w:color w:val="auto"/>
        </w:rPr>
      </w:pPr>
    </w:p>
    <w:p>
      <w:pPr>
        <w:ind w:left="580" w:hanging="572"/>
        <w:spacing w:after="0"/>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Taysha Gene Therapies,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280" w:hanging="572"/>
        <w:spacing w:after="0" w:line="282" w:lineRule="auto"/>
        <w:tabs>
          <w:tab w:leader="none" w:pos="11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720" w:val="left"/>
          <w:tab w:leader="none" w:pos="8020" w:val="left"/>
        </w:tabs>
        <w:rPr>
          <w:sz w:val="20"/>
          <w:szCs w:val="20"/>
          <w:color w:val="auto"/>
        </w:rPr>
      </w:pPr>
      <w:r>
        <w:rPr>
          <w:rFonts w:ascii="Times New Roman" w:cs="Times New Roman" w:eastAsia="Times New Roman" w:hAnsi="Times New Roman"/>
          <w:sz w:val="18"/>
          <w:szCs w:val="18"/>
          <w:color w:val="auto"/>
        </w:rPr>
        <w:t>Date: March 3,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225" w:lineRule="exact"/>
        <w:rPr>
          <w:sz w:val="20"/>
          <w:szCs w:val="20"/>
          <w:color w:val="auto"/>
        </w:rPr>
      </w:pPr>
    </w:p>
    <w:p>
      <w:pPr>
        <w:ind w:left="580" w:hanging="572"/>
        <w:spacing w:after="0"/>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Taysha Gene Therapies,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280" w:hanging="572"/>
        <w:spacing w:after="0" w:line="282" w:lineRule="auto"/>
        <w:tabs>
          <w:tab w:leader="none" w:pos="11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720" w:val="left"/>
          <w:tab w:leader="none" w:pos="8020" w:val="left"/>
        </w:tabs>
        <w:rPr>
          <w:sz w:val="20"/>
          <w:szCs w:val="20"/>
          <w:color w:val="auto"/>
        </w:rPr>
      </w:pPr>
      <w:r>
        <w:rPr>
          <w:rFonts w:ascii="Times New Roman" w:cs="Times New Roman" w:eastAsia="Times New Roman" w:hAnsi="Times New Roman"/>
          <w:sz w:val="18"/>
          <w:szCs w:val="18"/>
          <w:color w:val="auto"/>
        </w:rPr>
        <w:t>Date: March 3,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Taysha Gene Therapies,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60" w:hanging="572"/>
        <w:spacing w:after="0"/>
        <w:tabs>
          <w:tab w:leader="none" w:pos="11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740" w:val="left"/>
          <w:tab w:leader="none" w:pos="8020" w:val="left"/>
        </w:tabs>
        <w:rPr>
          <w:sz w:val="20"/>
          <w:szCs w:val="20"/>
          <w:color w:val="auto"/>
        </w:rPr>
      </w:pPr>
      <w:r>
        <w:rPr>
          <w:rFonts w:ascii="Times New Roman" w:cs="Times New Roman" w:eastAsia="Times New Roman" w:hAnsi="Times New Roman"/>
          <w:sz w:val="18"/>
          <w:szCs w:val="18"/>
          <w:color w:val="auto"/>
        </w:rPr>
        <w:t>Date: March 3,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47" w:right="3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firstLine="58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Taysha Gene Therapies,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60" w:hanging="572"/>
        <w:spacing w:after="0"/>
        <w:tabs>
          <w:tab w:leader="none" w:pos="11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160" w:right="480" w:hanging="572"/>
        <w:spacing w:after="0" w:line="282" w:lineRule="auto"/>
        <w:tabs>
          <w:tab w:leader="none" w:pos="11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spacing w:after="0"/>
        <w:tabs>
          <w:tab w:leader="none" w:pos="5740" w:val="left"/>
          <w:tab w:leader="none" w:pos="8020" w:val="left"/>
        </w:tabs>
        <w:rPr>
          <w:sz w:val="20"/>
          <w:szCs w:val="20"/>
          <w:color w:val="auto"/>
        </w:rPr>
      </w:pPr>
      <w:r>
        <w:rPr>
          <w:rFonts w:ascii="Times New Roman" w:cs="Times New Roman" w:eastAsia="Times New Roman" w:hAnsi="Times New Roman"/>
          <w:sz w:val="18"/>
          <w:szCs w:val="18"/>
          <w:color w:val="auto"/>
        </w:rPr>
        <w:t>Date: March 3,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1)"/>
      <w:numFmt w:val="decimal"/>
      <w:start w:val="2"/>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
      <w:numFmt w:val="bullet"/>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1)"/>
      <w:numFmt w:val="lowerRoman"/>
      <w:start w:val="1"/>
    </w:lvl>
  </w:abstractNum>
  <w:abstractNum w:abstractNumId="48">
    <w:nsid w:val="415E286C"/>
    <w:multiLevelType w:val="hybridMultilevel"/>
    <w:lvl w:ilvl="0">
      <w:lvlJc w:val="left"/>
      <w:lvlText w:val="(%1)"/>
      <w:numFmt w:val="decimal"/>
      <w:start w:val="1"/>
    </w:lvl>
  </w:abstractNum>
  <w:abstractNum w:abstractNumId="49">
    <w:nsid w:val="7C58FD05"/>
    <w:multiLevelType w:val="hybridMultilevel"/>
    <w:lvl w:ilvl="0">
      <w:lvlJc w:val="left"/>
      <w:lvlText w:val="(%1)"/>
      <w:numFmt w:val="decimal"/>
      <w:start w:val="1"/>
    </w:lvl>
  </w:abstractNum>
  <w:abstractNum w:abstractNumId="50">
    <w:nsid w:val="23D86AAC"/>
    <w:multiLevelType w:val="hybridMultilevel"/>
    <w:lvl w:ilvl="0">
      <w:lvlJc w:val="left"/>
      <w:lvlText w:val="(%1)"/>
      <w:numFmt w:val="decimal"/>
      <w:start w:val="1"/>
    </w:lvl>
  </w:abstractNum>
  <w:abstractNum w:abstractNumId="51">
    <w:nsid w:val="45E6D486"/>
    <w:multiLevelType w:val="hybridMultilevel"/>
    <w:lvl w:ilvl="0">
      <w:lvlJc w:val="left"/>
      <w:lvlText w:val="(%1)"/>
      <w:numFmt w:val="decimal"/>
      <w:start w:val="2"/>
    </w:lvl>
  </w:abstractNum>
  <w:abstractNum w:abstractNumId="52">
    <w:nsid w:val="5C10FE21"/>
    <w:multiLevelType w:val="hybridMultilevel"/>
    <w:lvl w:ilvl="0">
      <w:lvlJc w:val="left"/>
      <w:lvlText w:val="(%1)"/>
      <w:numFmt w:val="decimal"/>
      <w:start w:val="3"/>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1)"/>
      <w:numFmt w:val="decimal"/>
      <w:start w:val="1"/>
    </w:lvl>
  </w:abstractNum>
  <w:abstractNum w:abstractNumId="56">
    <w:nsid w:val="78DF6A55"/>
    <w:multiLevelType w:val="hybridMultilevel"/>
    <w:lvl w:ilvl="0">
      <w:lvlJc w:val="left"/>
      <w:lvlText w:val="(%1)"/>
      <w:numFmt w:val="decimal"/>
      <w:start w:val="8"/>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1)"/>
      <w:numFmt w:val="decimal"/>
      <w:start w:val="1"/>
    </w:lvl>
  </w:abstractNum>
  <w:abstractNum w:abstractNumId="59">
    <w:nsid w:val="6C80EC70"/>
    <w:multiLevelType w:val="hybridMultilevel"/>
    <w:lvl w:ilvl="0">
      <w:lvlJc w:val="left"/>
      <w:lvlText w:val="(%1)"/>
      <w:numFmt w:val="decimal"/>
      <w:start w:val="1"/>
    </w:lvl>
  </w:abstractNum>
  <w:abstractNum w:abstractNumId="60">
    <w:nsid w:val="379E21B5"/>
    <w:multiLevelType w:val="hybridMultilevel"/>
    <w:lvl w:ilvl="0">
      <w:lvlJc w:val="left"/>
      <w:lvlText w:val="(%1)"/>
      <w:numFmt w:val="decimal"/>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abstractNum>
  <w:abstractNum w:abstractNumId="63">
    <w:nsid w:val="4C9B0904"/>
    <w:multiLevelType w:val="hybridMultilevel"/>
    <w:lvl w:ilvl="0">
      <w:lvlJc w:val="left"/>
      <w:lvlText w:val="†"/>
      <w:numFmt w:val="bullet"/>
      <w:start w:val="1"/>
    </w:lvl>
  </w:abstractNum>
  <w:abstractNum w:abstractNumId="64">
    <w:nsid w:val="6AA7B75C"/>
    <w:multiLevelType w:val="hybridMultilevel"/>
    <w:lvl w:ilvl="0">
      <w:lvlJc w:val="left"/>
      <w:lvlText w:val="#"/>
      <w:numFmt w:val="bullet"/>
      <w:start w:val="1"/>
    </w:lvl>
  </w:abstractNum>
  <w:abstractNum w:abstractNumId="65">
    <w:nsid w:val="1DF029D3"/>
    <w:multiLevelType w:val="hybridMultilevel"/>
    <w:lvl w:ilvl="0">
      <w:lvlJc w:val="left"/>
      <w:lvlText w:val="+"/>
      <w:numFmt w:val="bullet"/>
      <w:start w:val="1"/>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
      <w:numFmt w:val="bullet"/>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1)"/>
      <w:numFmt w:val="lowerLetter"/>
      <w:start w:val="1"/>
    </w:lvl>
  </w:abstractNum>
  <w:abstractNum w:abstractNumId="70">
    <w:nsid w:val="5B25ACE2"/>
    <w:multiLevelType w:val="hybridMultilevel"/>
    <w:lvl w:ilvl="0">
      <w:lvlJc w:val="left"/>
      <w:lvlText w:val="[***]"/>
      <w:numFmt w:val="bullet"/>
      <w:start w:val="1"/>
    </w:lvl>
  </w:abstractNum>
  <w:abstractNum w:abstractNumId="71">
    <w:nsid w:val="175DFCF0"/>
    <w:multiLevelType w:val="hybridMultilevel"/>
    <w:lvl w:ilvl="0">
      <w:lvlJc w:val="left"/>
      <w:lvlText w:val="(%1)"/>
      <w:numFmt w:val="lowerLetter"/>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1)"/>
      <w:numFmt w:val="lowerLetter"/>
      <w:start w:val="1"/>
    </w:lvl>
  </w:abstractNum>
  <w:abstractNum w:abstractNumId="74">
    <w:nsid w:val="34FD6B4F"/>
    <w:multiLevelType w:val="hybridMultilevel"/>
    <w:lvl w:ilvl="0">
      <w:lvlJc w:val="left"/>
      <w:lvlText w:val="(%1)"/>
      <w:numFmt w:val="lowerLetter"/>
      <w:start w:val="2"/>
    </w:lvl>
  </w:abstractNum>
  <w:abstractNum w:abstractNumId="75">
    <w:nsid w:val="5915FF32"/>
    <w:multiLevelType w:val="hybridMultilevel"/>
    <w:lvl w:ilvl="0">
      <w:lvlJc w:val="left"/>
      <w:lvlText w:val="(%1)"/>
      <w:numFmt w:val="lowerLetter"/>
      <w:start w:val="1"/>
    </w:lvl>
  </w:abstractNum>
  <w:abstractNum w:abstractNumId="76">
    <w:nsid w:val="56438D15"/>
    <w:multiLevelType w:val="hybridMultilevel"/>
    <w:lvl w:ilvl="0">
      <w:lvlJc w:val="left"/>
      <w:lvlText w:val="(%1)"/>
      <w:numFmt w:val="lowerLetter"/>
      <w:start w:val="2"/>
    </w:lvl>
  </w:abstractNum>
  <w:abstractNum w:abstractNumId="77">
    <w:nsid w:val="519E3149"/>
    <w:multiLevelType w:val="hybridMultilevel"/>
    <w:lvl w:ilvl="0">
      <w:lvlJc w:val="left"/>
      <w:lvlText w:val="(%1)"/>
      <w:numFmt w:val="lowerLetter"/>
      <w:start w:val="1"/>
    </w:lvl>
    <w:lvl w:ilvl="1">
      <w:lvlJc w:val="left"/>
      <w:lvlText w:val="(%2)"/>
      <w:numFmt w:val="lowerRoman"/>
      <w:start w:val="1"/>
    </w:lvl>
  </w:abstractNum>
  <w:abstractNum w:abstractNumId="78">
    <w:nsid w:val="2C6E4AFD"/>
    <w:multiLevelType w:val="hybridMultilevel"/>
    <w:lvl w:ilvl="0">
      <w:lvlJc w:val="left"/>
      <w:lvlText w:val="(%1)"/>
      <w:numFmt w:val="lowerRoman"/>
      <w:start w:val="1"/>
    </w:lvl>
  </w:abstractNum>
  <w:abstractNum w:abstractNumId="79">
    <w:nsid w:val="17A1B582"/>
    <w:multiLevelType w:val="hybridMultilevel"/>
    <w:lvl w:ilvl="0">
      <w:lvlJc w:val="left"/>
      <w:lvlText w:val="(%1)"/>
      <w:numFmt w:val="lowerRoman"/>
      <w:start w:val="1"/>
    </w:lvl>
  </w:abstractNum>
  <w:abstractNum w:abstractNumId="80">
    <w:nsid w:val="4DF72E4E"/>
    <w:multiLevelType w:val="hybridMultilevel"/>
    <w:lvl w:ilvl="0">
      <w:lvlJc w:val="left"/>
      <w:lvlText w:val="(%1)"/>
      <w:numFmt w:val="lowerLetter"/>
      <w:start w:val="1"/>
    </w:lvl>
    <w:lvl w:ilvl="1">
      <w:lvlJc w:val="left"/>
      <w:lvlText w:val="(%2)"/>
      <w:numFmt w:val="lowerLetter"/>
      <w:start w:val="9"/>
    </w:lvl>
  </w:abstractNum>
  <w:abstractNum w:abstractNumId="81">
    <w:nsid w:val="5046B5A9"/>
    <w:multiLevelType w:val="hybridMultilevel"/>
    <w:lvl w:ilvl="0">
      <w:lvlJc w:val="left"/>
      <w:lvlText w:val="(%1)"/>
      <w:numFmt w:val="lowerRoman"/>
      <w:start w:val="1"/>
    </w:lvl>
  </w:abstractNum>
  <w:abstractNum w:abstractNumId="82">
    <w:nsid w:val="5D888A08"/>
    <w:multiLevelType w:val="hybridMultilevel"/>
    <w:lvl w:ilvl="0">
      <w:lvlJc w:val="left"/>
      <w:lvlText w:val="(%1)"/>
      <w:numFmt w:val="lowerRoman"/>
      <w:start w:val="1"/>
    </w:lvl>
  </w:abstractNum>
  <w:abstractNum w:abstractNumId="83">
    <w:nsid w:val="2A082C70"/>
    <w:multiLevelType w:val="hybridMultilevel"/>
    <w:lvl w:ilvl="0">
      <w:lvlJc w:val="left"/>
      <w:lvlText w:val="(%1)"/>
      <w:numFmt w:val="lowerRoman"/>
      <w:start w:val="2"/>
    </w:lvl>
  </w:abstractNum>
  <w:abstractNum w:abstractNumId="84">
    <w:nsid w:val="5EC6AFD4"/>
    <w:multiLevelType w:val="hybridMultilevel"/>
    <w:lvl w:ilvl="0">
      <w:lvlJc w:val="left"/>
      <w:lvlText w:val="(%1)"/>
      <w:numFmt w:val="lowerRoman"/>
      <w:start w:val="12"/>
    </w:lvl>
  </w:abstractNum>
  <w:abstractNum w:abstractNumId="85">
    <w:nsid w:val="19E21BB2"/>
    <w:multiLevelType w:val="hybridMultilevel"/>
    <w:lvl w:ilvl="0">
      <w:lvlJc w:val="left"/>
      <w:lvlText w:val="(%1)"/>
      <w:numFmt w:val="lowerRoman"/>
      <w:start w:val="1"/>
    </w:lvl>
  </w:abstractNum>
  <w:abstractNum w:abstractNumId="86">
    <w:nsid w:val="75E0858A"/>
    <w:multiLevelType w:val="hybridMultilevel"/>
    <w:lvl w:ilvl="0">
      <w:lvlJc w:val="left"/>
      <w:lvlText w:val="[***]"/>
      <w:numFmt w:val="bullet"/>
      <w:start w:val="1"/>
    </w:lvl>
  </w:abstractNum>
  <w:abstractNum w:abstractNumId="87">
    <w:nsid w:val="57A61A29"/>
    <w:multiLevelType w:val="hybridMultilevel"/>
    <w:lvl w:ilvl="0">
      <w:lvlJc w:val="left"/>
      <w:lvlText w:val="(%1)"/>
      <w:numFmt w:val="lowerRoman"/>
      <w:start w:val="1"/>
    </w:lvl>
  </w:abstractNum>
  <w:abstractNum w:abstractNumId="88">
    <w:nsid w:val="5399C654"/>
    <w:multiLevelType w:val="hybridMultilevel"/>
    <w:lvl w:ilvl="0">
      <w:lvlJc w:val="left"/>
      <w:lvlText w:val="(%1)"/>
      <w:numFmt w:val="lowerRoman"/>
      <w:start w:val="1"/>
    </w:lvl>
    <w:lvl w:ilvl="1">
      <w:lvlJc w:val="left"/>
      <w:lvlText w:val="(%2)"/>
      <w:numFmt w:val="decimal"/>
      <w:start w:val="1"/>
    </w:lvl>
  </w:abstractNum>
  <w:abstractNum w:abstractNumId="89">
    <w:nsid w:val="20EE1348"/>
    <w:multiLevelType w:val="hybridMultilevel"/>
    <w:lvl w:ilvl="0">
      <w:lvlJc w:val="left"/>
      <w:lvlText w:val="%1"/>
      <w:numFmt w:val="lowerRoman"/>
      <w:start w:val="1"/>
    </w:lvl>
    <w:lvl w:ilvl="1">
      <w:lvlJc w:val="left"/>
      <w:lvlText w:val="(%2)"/>
      <w:numFmt w:val="decimal"/>
      <w:start w:val="3"/>
    </w:lvl>
  </w:abstractNum>
  <w:abstractNum w:abstractNumId="90">
    <w:nsid w:val="4427069A"/>
    <w:multiLevelType w:val="hybridMultilevel"/>
    <w:lvl w:ilvl="0">
      <w:lvlJc w:val="left"/>
      <w:lvlText w:val="(%1)"/>
      <w:numFmt w:val="lowerRoman"/>
      <w:start w:val="3"/>
    </w:lvl>
    <w:lvl w:ilvl="1">
      <w:lvlJc w:val="left"/>
      <w:lvlText w:val="(%2)"/>
      <w:numFmt w:val="decimal"/>
      <w:start w:val="1"/>
    </w:lvl>
  </w:abstractNum>
  <w:abstractNum w:abstractNumId="91">
    <w:nsid w:val="B37E80A"/>
    <w:multiLevelType w:val="hybridMultilevel"/>
    <w:lvl w:ilvl="0">
      <w:lvlJc w:val="left"/>
      <w:lvlText w:val="%1"/>
      <w:numFmt w:val="lowerRoman"/>
      <w:start w:val="1"/>
    </w:lvl>
    <w:lvl w:ilvl="1">
      <w:lvlJc w:val="left"/>
      <w:lvlText w:val="(%2)"/>
      <w:numFmt w:val="decimal"/>
      <w:start w:val="3"/>
    </w:lvl>
  </w:abstractNum>
  <w:abstractNum w:abstractNumId="92">
    <w:nsid w:val="2157F6BC"/>
    <w:multiLevelType w:val="hybridMultilevel"/>
    <w:lvl w:ilvl="0">
      <w:lvlJc w:val="left"/>
      <w:lvlText w:val="(%1)"/>
      <w:numFmt w:val="lowerRoman"/>
      <w:start w:val="4"/>
    </w:lvl>
    <w:lvl w:ilvl="1">
      <w:lvlJc w:val="left"/>
      <w:lvlText w:val="%2"/>
      <w:numFmt w:val="decimal"/>
      <w:start w:val="1"/>
    </w:lvl>
  </w:abstractNum>
  <w:abstractNum w:abstractNumId="93">
    <w:nsid w:val="704E1DD5"/>
    <w:multiLevelType w:val="hybridMultilevel"/>
    <w:lvl w:ilvl="0">
      <w:lvlJc w:val="left"/>
      <w:lvlText w:val="[***]"/>
      <w:numFmt w:val="bullet"/>
      <w:start w:val="1"/>
    </w:lvl>
  </w:abstractNum>
  <w:abstractNum w:abstractNumId="94">
    <w:nsid w:val="57D2F10E"/>
    <w:multiLevelType w:val="hybridMultilevel"/>
    <w:lvl w:ilvl="0">
      <w:lvlJc w:val="left"/>
      <w:lvlText w:val="%1."/>
      <w:numFmt w:val="decimal"/>
      <w:start w:val="1"/>
    </w:lvl>
    <w:lvl w:ilvl="1">
      <w:lvlJc w:val="left"/>
      <w:lvlText w:val="(%2)"/>
      <w:numFmt w:val="lowerLetter"/>
      <w:start w:val="1"/>
    </w:lvl>
  </w:abstractNum>
  <w:abstractNum w:abstractNumId="95">
    <w:nsid w:val="BFFAE18"/>
    <w:multiLevelType w:val="hybridMultilevel"/>
    <w:lvl w:ilvl="0">
      <w:lvlJc w:val="left"/>
      <w:lvlText w:val="%1."/>
      <w:numFmt w:val="decimal"/>
      <w:start w:val="3"/>
    </w:lvl>
  </w:abstractNum>
  <w:abstractNum w:abstractNumId="96">
    <w:nsid w:val="E3E47A8"/>
    <w:multiLevelType w:val="hybridMultilevel"/>
    <w:lvl w:ilvl="0">
      <w:lvlJc w:val="left"/>
      <w:lvlText w:val="%1."/>
      <w:numFmt w:val="decimal"/>
      <w:start w:val="7"/>
    </w:lvl>
    <w:lvl w:ilvl="1">
      <w:lvlJc w:val="left"/>
      <w:lvlText w:val="(%2)"/>
      <w:numFmt w:val="lowerLetter"/>
      <w:start w:val="1"/>
    </w:lvl>
  </w:abstractNum>
  <w:abstractNum w:abstractNumId="97">
    <w:nsid w:val="2E48F044"/>
    <w:multiLevelType w:val="hybridMultilevel"/>
    <w:lvl w:ilvl="0">
      <w:lvlJc w:val="left"/>
      <w:lvlText w:val="(%1)"/>
      <w:numFmt w:val="lowerLetter"/>
      <w:start w:val="2"/>
    </w:lvl>
    <w:lvl w:ilvl="1">
      <w:lvlJc w:val="left"/>
      <w:lvlText w:val="(%2)"/>
      <w:numFmt w:val="lowerRoman"/>
      <w:start w:val="1"/>
    </w:lvl>
  </w:abstractNum>
  <w:abstractNum w:abstractNumId="98">
    <w:nsid w:val="49D0FEAC"/>
    <w:multiLevelType w:val="hybridMultilevel"/>
    <w:lvl w:ilvl="0">
      <w:lvlJc w:val="left"/>
      <w:lvlText w:val="(%1)"/>
      <w:numFmt w:val="lowerLetter"/>
      <w:start w:val="6"/>
    </w:lvl>
    <w:lvl w:ilvl="1">
      <w:lvlJc w:val="left"/>
      <w:lvlText w:val="(%2)"/>
      <w:numFmt w:val="lowerRoman"/>
      <w:start w:val="1"/>
    </w:lvl>
  </w:abstractNum>
  <w:abstractNum w:abstractNumId="99">
    <w:nsid w:val="4BEE5A5B"/>
    <w:multiLevelType w:val="hybridMultilevel"/>
    <w:lvl w:ilvl="0">
      <w:lvlJc w:val="left"/>
      <w:lvlText w:val="%1."/>
      <w:numFmt w:val="decimal"/>
      <w:start w:val="9"/>
    </w:lvl>
  </w:abstractNum>
  <w:abstractNum w:abstractNumId="100">
    <w:nsid w:val="5551B9F3"/>
    <w:multiLevelType w:val="hybridMultilevel"/>
    <w:lvl w:ilvl="0">
      <w:lvlJc w:val="left"/>
      <w:lvlText w:val="%1."/>
      <w:numFmt w:val="decimal"/>
      <w:start w:val="10"/>
    </w:lvl>
  </w:abstractNum>
  <w:abstractNum w:abstractNumId="101">
    <w:nsid w:val="24F6AB8E"/>
    <w:multiLevelType w:val="hybridMultilevel"/>
    <w:lvl w:ilvl="0">
      <w:lvlJc w:val="left"/>
      <w:lvlText w:val="%1."/>
      <w:numFmt w:val="decimal"/>
      <w:start w:val="1"/>
    </w:lvl>
    <w:lvl w:ilvl="1">
      <w:lvlJc w:val="left"/>
      <w:lvlText w:val="(%2)"/>
      <w:numFmt w:val="lowerLetter"/>
      <w:start w:val="1"/>
    </w:lvl>
  </w:abstractNum>
  <w:abstractNum w:abstractNumId="102">
    <w:nsid w:val="634C574C"/>
    <w:multiLevelType w:val="hybridMultilevel"/>
    <w:lvl w:ilvl="0">
      <w:lvlJc w:val="left"/>
      <w:lvlText w:val="%1."/>
      <w:numFmt w:val="decimal"/>
      <w:start w:val="3"/>
    </w:lvl>
  </w:abstractNum>
  <w:abstractNum w:abstractNumId="103">
    <w:nsid w:val="24E99DD7"/>
    <w:multiLevelType w:val="hybridMultilevel"/>
    <w:lvl w:ilvl="0">
      <w:lvlJc w:val="left"/>
      <w:lvlText w:val="%1."/>
      <w:numFmt w:val="decimal"/>
      <w:start w:val="7"/>
    </w:lvl>
  </w:abstractNum>
  <w:abstractNum w:abstractNumId="104">
    <w:nsid w:val="2A31B62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5">
    <w:nsid w:val="1849C29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06">
    <w:nsid w:val="7DFF9D0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7">
    <w:nsid w:val="754342"/>
    <w:multiLevelType w:val="hybridMultilevel"/>
    <w:lvl w:ilvl="0">
      <w:lvlJc w:val="left"/>
      <w:lvlText w:val="%1."/>
      <w:numFmt w:val="decimal"/>
      <w:start w:val="10"/>
    </w:lvl>
  </w:abstractNum>
  <w:abstractNum w:abstractNumId="108">
    <w:nsid w:val="69E7F3E5"/>
    <w:multiLevelType w:val="hybridMultilevel"/>
    <w:lvl w:ilvl="0">
      <w:lvlJc w:val="left"/>
      <w:lvlText w:val="(%1)"/>
      <w:numFmt w:val="lowerLetter"/>
      <w:start w:val="1"/>
    </w:lvl>
    <w:lvl w:ilvl="1">
      <w:lvlJc w:val="left"/>
      <w:lvlText w:val="(%2)"/>
      <w:numFmt w:val="lowerLetter"/>
      <w:start w:val="3"/>
    </w:lvl>
  </w:abstractNum>
  <w:abstractNum w:abstractNumId="109">
    <w:nsid w:val="2A6DE806"/>
    <w:multiLevelType w:val="hybridMultilevel"/>
    <w:lvl w:ilvl="0">
      <w:lvlJc w:val="left"/>
      <w:lvlText w:val="(%1)"/>
      <w:numFmt w:val="lowerLetter"/>
      <w:start w:val="4"/>
    </w:lvl>
  </w:abstractNum>
  <w:abstractNum w:abstractNumId="110">
    <w:nsid w:val="1816F8C4"/>
    <w:multiLevelType w:val="hybridMultilevel"/>
    <w:lvl w:ilvl="0">
      <w:lvlJc w:val="left"/>
      <w:lvlText w:val="(%1)"/>
      <w:numFmt w:val="lowerLetter"/>
      <w:start w:val="5"/>
    </w:lvl>
  </w:abstractNum>
  <w:abstractNum w:abstractNumId="111">
    <w:nsid w:val="37DF2233"/>
    <w:multiLevelType w:val="hybridMultilevel"/>
    <w:lvl w:ilvl="0">
      <w:lvlJc w:val="left"/>
      <w:lvlText w:val="(%1)"/>
      <w:numFmt w:val="lowerLetter"/>
      <w:start w:val="6"/>
    </w:lvl>
  </w:abstractNum>
  <w:abstractNum w:abstractNumId="112">
    <w:nsid w:val="7AB49DAF"/>
    <w:multiLevelType w:val="hybridMultilevel"/>
    <w:lvl w:ilvl="0">
      <w:lvlJc w:val="left"/>
      <w:lvlText w:val="%1"/>
      <w:numFmt w:val="lowerLetter"/>
      <w:start w:val="1"/>
    </w:lvl>
    <w:lvl w:ilvl="1">
      <w:lvlJc w:val="left"/>
      <w:lvlText w:val="(%2)"/>
      <w:numFmt w:val="lowerLetter"/>
      <w:start w:val="7"/>
    </w:lvl>
  </w:abstractNum>
  <w:abstractNum w:abstractNumId="113">
    <w:nsid w:val="759F82CD"/>
    <w:multiLevelType w:val="hybridMultilevel"/>
    <w:lvl w:ilvl="0">
      <w:lvlJc w:val="left"/>
      <w:lvlText w:val="(%1)"/>
      <w:numFmt w:val="lowerLetter"/>
      <w:start w:val="8"/>
    </w:lvl>
    <w:lvl w:ilvl="1">
      <w:lvlJc w:val="left"/>
      <w:lvlText w:val="(%2)"/>
      <w:numFmt w:val="lowerLetter"/>
      <w:start w:val="9"/>
    </w:lvl>
  </w:abstractNum>
  <w:abstractNum w:abstractNumId="114">
    <w:nsid w:val="61E74EA3"/>
    <w:multiLevelType w:val="hybridMultilevel"/>
    <w:lvl w:ilvl="0">
      <w:lvlJc w:val="left"/>
      <w:lvlText w:val="(%1)"/>
      <w:numFmt w:val="lowerLetter"/>
      <w:start w:val="10"/>
    </w:lvl>
  </w:abstractNum>
  <w:abstractNum w:abstractNumId="115">
    <w:nsid w:val="597B4D84"/>
    <w:multiLevelType w:val="hybridMultilevel"/>
    <w:lvl w:ilvl="0">
      <w:lvlJc w:val="left"/>
      <w:lvlText w:val="(%1)"/>
      <w:numFmt w:val="lowerLetter"/>
      <w:start w:val="13"/>
    </w:lvl>
  </w:abstractNum>
  <w:abstractNum w:abstractNumId="116">
    <w:nsid w:val="F819E7F"/>
    <w:multiLevelType w:val="hybridMultilevel"/>
    <w:lvl w:ilvl="0">
      <w:lvlJc w:val="left"/>
      <w:lvlText w:val="(%1)"/>
      <w:numFmt w:val="lowerRoman"/>
      <w:start w:val="1"/>
    </w:lvl>
  </w:abstractNum>
  <w:abstractNum w:abstractNumId="117">
    <w:nsid w:val="57C7D42D"/>
    <w:multiLevelType w:val="hybridMultilevel"/>
    <w:lvl w:ilvl="0">
      <w:lvlJc w:val="left"/>
      <w:lvlText w:val="(%1)"/>
      <w:numFmt w:val="lowerLetter"/>
      <w:start w:val="1"/>
    </w:lvl>
  </w:abstractNum>
  <w:abstractNum w:abstractNumId="118">
    <w:nsid w:val="312167AD"/>
    <w:multiLevelType w:val="hybridMultilevel"/>
    <w:lvl w:ilvl="0">
      <w:lvlJc w:val="left"/>
      <w:lvlText w:val="(%1)"/>
      <w:numFmt w:val="decimal"/>
      <w:start w:val="19"/>
    </w:lvl>
  </w:abstractNum>
  <w:abstractNum w:abstractNumId="119">
    <w:nsid w:val="631B64D4"/>
    <w:multiLevelType w:val="hybridMultilevel"/>
    <w:lvl w:ilvl="0">
      <w:lvlJc w:val="left"/>
      <w:lvlText w:val="(%1)"/>
      <w:numFmt w:val="decimal"/>
      <w:start w:val="24"/>
    </w:lvl>
  </w:abstractNum>
  <w:abstractNum w:abstractNumId="120">
    <w:nsid w:val="78B5E776"/>
    <w:multiLevelType w:val="hybridMultilevel"/>
    <w:lvl w:ilvl="0">
      <w:lvlJc w:val="left"/>
      <w:lvlText w:val="(%1)"/>
      <w:numFmt w:val="lowerLetter"/>
      <w:start w:val="4"/>
    </w:lvl>
  </w:abstractNum>
  <w:abstractNum w:abstractNumId="121">
    <w:nsid w:val="75486E47"/>
    <w:multiLevelType w:val="hybridMultilevel"/>
    <w:lvl w:ilvl="0">
      <w:lvlJc w:val="left"/>
      <w:lvlText w:val="(%1)"/>
      <w:numFmt w:val="lowerLetter"/>
      <w:start w:val="1"/>
    </w:lvl>
  </w:abstractNum>
  <w:abstractNum w:abstractNumId="122">
    <w:nsid w:val="6E534CDE"/>
    <w:multiLevelType w:val="hybridMultilevel"/>
    <w:lvl w:ilvl="0">
      <w:lvlJc w:val="left"/>
      <w:lvlText w:val="(%1)"/>
      <w:numFmt w:val="lowerLetter"/>
      <w:start w:val="3"/>
    </w:lvl>
  </w:abstractNum>
  <w:abstractNum w:abstractNumId="123">
    <w:nsid w:val="1A0DDE32"/>
    <w:multiLevelType w:val="hybridMultilevel"/>
    <w:lvl w:ilvl="0">
      <w:lvlJc w:val="left"/>
      <w:lvlText w:val="(%1)"/>
      <w:numFmt w:val="lowerLetter"/>
      <w:start w:val="1"/>
    </w:lvl>
    <w:lvl w:ilvl="1">
      <w:lvlJc w:val="left"/>
      <w:lvlText w:val="(%2)"/>
      <w:numFmt w:val="lowerLetter"/>
      <w:start w:val="61"/>
    </w:lvl>
  </w:abstractNum>
  <w:abstractNum w:abstractNumId="124">
    <w:nsid w:val="65968C1C"/>
    <w:multiLevelType w:val="hybridMultilevel"/>
    <w:lvl w:ilvl="0">
      <w:lvlJc w:val="left"/>
      <w:lvlText w:val="(%1)"/>
      <w:numFmt w:val="lowerLetter"/>
      <w:start w:val="1"/>
    </w:lvl>
  </w:abstractNum>
  <w:abstractNum w:abstractNumId="125">
    <w:nsid w:val="46263DEC"/>
    <w:multiLevelType w:val="hybridMultilevel"/>
    <w:lvl w:ilvl="0">
      <w:lvlJc w:val="left"/>
      <w:lvlText w:val="%1"/>
      <w:numFmt w:val="lowerLetter"/>
      <w:start w:val="1"/>
    </w:lvl>
    <w:lvl w:ilvl="1">
      <w:lvlJc w:val="left"/>
      <w:lvlText w:val="(%2)"/>
      <w:numFmt w:val="lowerLetter"/>
      <w:start w:val="1"/>
    </w:lvl>
  </w:abstractNum>
  <w:abstractNum w:abstractNumId="126">
    <w:nsid w:val="260D8C4A"/>
    <w:multiLevelType w:val="hybridMultilevel"/>
    <w:lvl w:ilvl="0">
      <w:lvlJc w:val="left"/>
      <w:lvlText w:val="(%1)"/>
      <w:numFmt w:val="lowerLetter"/>
      <w:start w:val="5"/>
    </w:lvl>
    <w:lvl w:ilvl="1">
      <w:lvlJc w:val="left"/>
      <w:lvlText w:val="%2"/>
      <w:numFmt w:val="lowerLetter"/>
      <w:start w:val="1"/>
    </w:lvl>
  </w:abstractNum>
  <w:abstractNum w:abstractNumId="127">
    <w:nsid w:val="73D4D3C4"/>
    <w:multiLevelType w:val="hybridMultilevel"/>
    <w:lvl w:ilvl="0">
      <w:lvlJc w:val="left"/>
      <w:lvlText w:val="%1"/>
      <w:numFmt w:val="lowerLetter"/>
      <w:start w:val="1"/>
    </w:lvl>
    <w:lvl w:ilvl="1">
      <w:lvlJc w:val="left"/>
      <w:lvlText w:val="(%2)"/>
      <w:numFmt w:val="lowerLetter"/>
      <w:start w:val="1"/>
    </w:lvl>
  </w:abstractNum>
  <w:abstractNum w:abstractNumId="128">
    <w:nsid w:val="746F2E30"/>
    <w:multiLevelType w:val="hybridMultilevel"/>
    <w:lvl w:ilvl="0">
      <w:lvlJc w:val="left"/>
      <w:lvlText w:val="(%1)"/>
      <w:numFmt w:val="lowerLetter"/>
      <w:start w:val="3"/>
    </w:lvl>
    <w:lvl w:ilvl="1">
      <w:lvlJc w:val="left"/>
      <w:lvlText w:val="(%2)"/>
      <w:numFmt w:val="lowerLetter"/>
      <w:start w:val="5"/>
    </w:lvl>
  </w:abstractNum>
  <w:abstractNum w:abstractNumId="129">
    <w:nsid w:val="6FDE8AF6"/>
    <w:multiLevelType w:val="hybridMultilevel"/>
    <w:lvl w:ilvl="0">
      <w:lvlJc w:val="left"/>
      <w:lvlText w:val="(%1)"/>
      <w:numFmt w:val="lowerRoman"/>
      <w:start w:val="3"/>
    </w:lvl>
  </w:abstractNum>
  <w:abstractNum w:abstractNumId="130">
    <w:nsid w:val="3FC32E20"/>
    <w:multiLevelType w:val="hybridMultilevel"/>
    <w:lvl w:ilvl="0">
      <w:lvlJc w:val="left"/>
      <w:lvlText w:val="(%1)"/>
      <w:numFmt w:val="lowerLetter"/>
      <w:start w:val="1"/>
    </w:lvl>
  </w:abstractNum>
  <w:abstractNum w:abstractNumId="131">
    <w:nsid w:val="49C0E823"/>
    <w:multiLevelType w:val="hybridMultilevel"/>
    <w:lvl w:ilvl="0">
      <w:lvlJc w:val="left"/>
      <w:lvlText w:val="(%1)"/>
      <w:numFmt w:val="lowerLetter"/>
      <w:start w:val="1"/>
    </w:lvl>
  </w:abstractNum>
  <w:abstractNum w:abstractNumId="132">
    <w:nsid w:val="14D53685"/>
    <w:multiLevelType w:val="hybridMultilevel"/>
    <w:lvl w:ilvl="0">
      <w:lvlJc w:val="left"/>
      <w:lvlText w:val="%1"/>
      <w:numFmt w:val="lowerLetter"/>
      <w:start w:val="1"/>
    </w:lvl>
    <w:lvl w:ilvl="1">
      <w:lvlJc w:val="left"/>
      <w:lvlText w:val="(%2)"/>
      <w:numFmt w:val="lowerRoman"/>
      <w:start w:val="2"/>
    </w:lvl>
  </w:abstractNum>
  <w:abstractNum w:abstractNumId="133">
    <w:nsid w:val="230F856C"/>
    <w:multiLevelType w:val="hybridMultilevel"/>
    <w:lvl w:ilvl="0">
      <w:lvlJc w:val="left"/>
      <w:lvlText w:val="(%1)"/>
      <w:numFmt w:val="lowerLetter"/>
      <w:start w:val="2"/>
    </w:lvl>
    <w:lvl w:ilvl="1">
      <w:lvlJc w:val="left"/>
      <w:lvlText w:val="%2"/>
      <w:numFmt w:val="lowerRoman"/>
      <w:start w:val="1"/>
    </w:lvl>
  </w:abstractNum>
  <w:abstractNum w:abstractNumId="134">
    <w:nsid w:val="6EAA85FB"/>
    <w:multiLevelType w:val="hybridMultilevel"/>
    <w:lvl w:ilvl="0">
      <w:lvlJc w:val="left"/>
      <w:lvlText w:val="(%1)"/>
      <w:numFmt w:val="lowerLetter"/>
      <w:start w:val="1"/>
    </w:lvl>
  </w:abstractNum>
  <w:abstractNum w:abstractNumId="135">
    <w:nsid w:val="3F06ECB2"/>
    <w:multiLevelType w:val="hybridMultilevel"/>
    <w:lvl w:ilvl="0">
      <w:lvlJc w:val="left"/>
      <w:lvlText w:val="(%1)"/>
      <w:numFmt w:val="lowerLetter"/>
      <w:start w:val="1"/>
    </w:lvl>
  </w:abstractNum>
  <w:abstractNum w:abstractNumId="136">
    <w:nsid w:val="3B594807"/>
    <w:multiLevelType w:val="hybridMultilevel"/>
    <w:lvl w:ilvl="0">
      <w:lvlJc w:val="left"/>
      <w:lvlText w:val="(%1)"/>
      <w:numFmt w:val="lowerLetter"/>
      <w:start w:val="2"/>
    </w:lvl>
    <w:lvl w:ilvl="1">
      <w:lvlJc w:val="left"/>
      <w:lvlText w:val="(%2)"/>
      <w:numFmt w:val="lowerLetter"/>
      <w:start w:val="61"/>
    </w:lvl>
  </w:abstractNum>
  <w:abstractNum w:abstractNumId="137">
    <w:nsid w:val="6CAA2304"/>
    <w:multiLevelType w:val="hybridMultilevel"/>
    <w:lvl w:ilvl="0">
      <w:lvlJc w:val="left"/>
      <w:lvlText w:val="(%1)"/>
      <w:numFmt w:val="lowerLetter"/>
      <w:start w:val="1"/>
    </w:lvl>
  </w:abstractNum>
  <w:abstractNum w:abstractNumId="138">
    <w:nsid w:val="3F7C2FF4"/>
    <w:multiLevelType w:val="hybridMultilevel"/>
    <w:lvl w:ilvl="0">
      <w:lvlJc w:val="left"/>
      <w:lvlText w:val="(%1)"/>
      <w:numFmt w:val="lowerLetter"/>
      <w:start w:val="2"/>
    </w:lvl>
  </w:abstractNum>
  <w:abstractNum w:abstractNumId="139">
    <w:nsid w:val="25413BEC"/>
    <w:multiLevelType w:val="hybridMultilevel"/>
    <w:lvl w:ilvl="0">
      <w:lvlJc w:val="left"/>
      <w:lvlText w:val="%1"/>
      <w:numFmt w:val="decimal"/>
      <w:start w:val="1"/>
    </w:lvl>
    <w:lvl w:ilvl="1">
      <w:lvlJc w:val="left"/>
      <w:lvlText w:val="(%2)"/>
      <w:numFmt w:val="lowerLetter"/>
      <w:start w:val="1"/>
    </w:lvl>
  </w:abstractNum>
  <w:abstractNum w:abstractNumId="140">
    <w:nsid w:val="17180B0B"/>
    <w:multiLevelType w:val="hybridMultilevel"/>
    <w:lvl w:ilvl="0">
      <w:lvlJc w:val="left"/>
      <w:lvlText w:val="(%1)"/>
      <w:numFmt w:val="decimal"/>
      <w:start w:val="10"/>
    </w:lvl>
    <w:lvl w:ilvl="1">
      <w:lvlJc w:val="left"/>
      <w:lvlText w:val="%2"/>
      <w:numFmt w:val="lowerLetter"/>
      <w:start w:val="1"/>
    </w:lvl>
  </w:abstractNum>
  <w:abstractNum w:abstractNumId="141">
    <w:nsid w:val="579328B9"/>
    <w:multiLevelType w:val="hybridMultilevel"/>
    <w:lvl w:ilvl="0">
      <w:lvlJc w:val="left"/>
      <w:lvlText w:val="(%1)"/>
      <w:numFmt w:val="lowerLetter"/>
      <w:start w:val="2"/>
    </w:lvl>
  </w:abstractNum>
  <w:abstractNum w:abstractNumId="142">
    <w:nsid w:val="5D205E20"/>
    <w:multiLevelType w:val="hybridMultilevel"/>
    <w:lvl w:ilvl="0">
      <w:lvlJc w:val="left"/>
      <w:lvlText w:val="(%1)"/>
      <w:numFmt w:val="decimal"/>
      <w:start w:val="3"/>
    </w:lvl>
  </w:abstractNum>
  <w:abstractNum w:abstractNumId="143">
    <w:nsid w:val="11CCA8BA"/>
    <w:multiLevelType w:val="hybridMultilevel"/>
    <w:lvl w:ilvl="0">
      <w:lvlJc w:val="left"/>
      <w:lvlText w:val="(%1)"/>
      <w:numFmt w:val="lowerLetter"/>
      <w:start w:val="1"/>
    </w:lvl>
  </w:abstractNum>
  <w:abstractNum w:abstractNumId="144">
    <w:nsid w:val="4D32AB86"/>
    <w:multiLevelType w:val="hybridMultilevel"/>
    <w:lvl w:ilvl="0">
      <w:lvlJc w:val="left"/>
      <w:lvlText w:val="(%1)"/>
      <w:numFmt w:val="lowerLetter"/>
      <w:start w:val="4"/>
    </w:lvl>
    <w:lvl w:ilvl="1">
      <w:lvlJc w:val="left"/>
      <w:lvlText w:val="(%2)"/>
      <w:numFmt w:val="decimal"/>
      <w:start w:val="10"/>
    </w:lvl>
  </w:abstractNum>
  <w:abstractNum w:abstractNumId="145">
    <w:nsid w:val="3F07ACC3"/>
    <w:multiLevelType w:val="hybridMultilevel"/>
    <w:lvl w:ilvl="0">
      <w:lvlJc w:val="left"/>
      <w:lvlText w:val="(%1)"/>
      <w:numFmt w:val="lowerLetter"/>
      <w:start w:val="1"/>
    </w:lvl>
  </w:abstractNum>
  <w:abstractNum w:abstractNumId="146">
    <w:nsid w:val="6B47F63E"/>
    <w:multiLevelType w:val="hybridMultilevel"/>
    <w:lvl w:ilvl="0">
      <w:lvlJc w:val="left"/>
      <w:lvlText w:val="(%1)"/>
      <w:numFmt w:val="lowerLetter"/>
      <w:start w:val="2"/>
    </w:lvl>
    <w:lvl w:ilvl="1">
      <w:lvlJc w:val="left"/>
      <w:lvlText w:val="(%2)"/>
      <w:numFmt w:val="decimal"/>
      <w:start w:val="30"/>
    </w:lvl>
  </w:abstractNum>
  <w:abstractNum w:abstractNumId="147">
    <w:nsid w:val="5CB44A05"/>
    <w:multiLevelType w:val="hybridMultilevel"/>
    <w:lvl w:ilvl="0">
      <w:lvlJc w:val="left"/>
      <w:lvlText w:val="(%1)"/>
      <w:numFmt w:val="lowerLetter"/>
      <w:start w:val="1"/>
    </w:lvl>
  </w:abstractNum>
  <w:abstractNum w:abstractNumId="148">
    <w:nsid w:val="16CF80F1"/>
    <w:multiLevelType w:val="hybridMultilevel"/>
    <w:lvl w:ilvl="0">
      <w:lvlJc w:val="left"/>
      <w:lvlText w:val="(%1)"/>
      <w:numFmt w:val="lowerRoman"/>
      <w:start w:val="1"/>
    </w:lvl>
  </w:abstractNum>
  <w:abstractNum w:abstractNumId="149">
    <w:nsid w:val="1C695DEC"/>
    <w:multiLevelType w:val="hybridMultilevel"/>
    <w:lvl w:ilvl="0">
      <w:lvlJc w:val="left"/>
      <w:lvlText w:val="(%1)"/>
      <w:numFmt w:val="lowerLetter"/>
      <w:start w:val="1"/>
    </w:lvl>
  </w:abstractNum>
  <w:abstractNum w:abstractNumId="150">
    <w:nsid w:val="3FCFAED9"/>
    <w:multiLevelType w:val="hybridMultilevel"/>
    <w:lvl w:ilvl="0">
      <w:lvlJc w:val="left"/>
      <w:lvlText w:val="(%1)"/>
      <w:numFmt w:val="lowerLetter"/>
      <w:start w:val="1"/>
    </w:lvl>
  </w:abstractNum>
  <w:abstractNum w:abstractNumId="151">
    <w:nsid w:val="F856867"/>
    <w:multiLevelType w:val="hybridMultilevel"/>
    <w:lvl w:ilvl="0">
      <w:lvlJc w:val="left"/>
      <w:lvlText w:val="(%1)"/>
      <w:numFmt w:val="lowerRoman"/>
      <w:start w:val="2"/>
    </w:lvl>
  </w:abstractNum>
  <w:abstractNum w:abstractNumId="152">
    <w:nsid w:val="11B1CC33"/>
    <w:multiLevelType w:val="hybridMultilevel"/>
    <w:lvl w:ilvl="0">
      <w:lvlJc w:val="left"/>
      <w:lvlText w:val="(%1)"/>
      <w:numFmt w:val="lowerLetter"/>
      <w:start w:val="1"/>
    </w:lvl>
  </w:abstractNum>
  <w:abstractNum w:abstractNumId="153">
    <w:nsid w:val="2E22FBB7"/>
    <w:multiLevelType w:val="hybridMultilevel"/>
    <w:lvl w:ilvl="0">
      <w:lvlJc w:val="left"/>
      <w:lvlText w:val="%1"/>
      <w:numFmt w:val="lowerLetter"/>
      <w:start w:val="1"/>
    </w:lvl>
    <w:lvl w:ilvl="1">
      <w:lvlJc w:val="left"/>
      <w:lvlText w:val="(%2)"/>
      <w:numFmt w:val="decimal"/>
      <w:start w:val="10"/>
    </w:lvl>
  </w:abstractNum>
  <w:abstractNum w:abstractNumId="154">
    <w:nsid w:val="29934699"/>
    <w:multiLevelType w:val="hybridMultilevel"/>
    <w:lvl w:ilvl="0">
      <w:lvlJc w:val="left"/>
      <w:lvlText w:val="%1"/>
      <w:numFmt w:val="lowerLetter"/>
      <w:start w:val="1"/>
    </w:lvl>
    <w:lvl w:ilvl="1">
      <w:lvlJc w:val="left"/>
      <w:lvlText w:val="(%2)"/>
      <w:numFmt w:val="decimal"/>
      <w:start w:val="5"/>
    </w:lvl>
  </w:abstractNum>
  <w:abstractNum w:abstractNumId="155">
    <w:nsid w:val="77485850"/>
    <w:multiLevelType w:val="hybridMultilevel"/>
    <w:lvl w:ilvl="0">
      <w:lvlJc w:val="left"/>
      <w:lvlText w:val="%1"/>
      <w:numFmt w:val="lowerLetter"/>
      <w:start w:val="1"/>
    </w:lvl>
    <w:lvl w:ilvl="1">
      <w:lvlJc w:val="left"/>
      <w:lvlText w:val="(%2)"/>
      <w:numFmt w:val="decimal"/>
      <w:start w:val="20"/>
    </w:lvl>
  </w:abstractNum>
  <w:abstractNum w:abstractNumId="156">
    <w:nsid w:val="744939A3"/>
    <w:multiLevelType w:val="hybridMultilevel"/>
    <w:lvl w:ilvl="0">
      <w:lvlJc w:val="left"/>
      <w:lvlText w:val="(%1)"/>
      <w:numFmt w:val="lowerLetter"/>
      <w:start w:val="3"/>
    </w:lvl>
    <w:lvl w:ilvl="1">
      <w:lvlJc w:val="left"/>
      <w:lvlText w:val="%2"/>
      <w:numFmt w:val="decimal"/>
      <w:start w:val="1"/>
    </w:lvl>
  </w:abstractNum>
  <w:abstractNum w:abstractNumId="157">
    <w:nsid w:val="4FA0D2E3"/>
    <w:multiLevelType w:val="hybridMultilevel"/>
    <w:lvl w:ilvl="0">
      <w:lvlJc w:val="left"/>
      <w:lvlText w:val="(%1)"/>
      <w:numFmt w:val="lowerLetter"/>
      <w:start w:val="1"/>
    </w:lvl>
  </w:abstractNum>
  <w:abstractNum w:abstractNumId="158">
    <w:nsid w:val="6B1D2C14"/>
    <w:multiLevelType w:val="hybridMultilevel"/>
    <w:lvl w:ilvl="0">
      <w:lvlJc w:val="left"/>
      <w:lvlText w:val="(%1)"/>
      <w:numFmt w:val="lowerLetter"/>
      <w:start w:val="2"/>
    </w:lvl>
  </w:abstractNum>
  <w:abstractNum w:abstractNumId="159">
    <w:nsid w:val="68B867D3"/>
    <w:multiLevelType w:val="hybridMultilevel"/>
    <w:lvl w:ilvl="0">
      <w:lvlJc w:val="left"/>
      <w:lvlText w:val="(%1)"/>
      <w:numFmt w:val="lowerRoman"/>
      <w:start w:val="6"/>
    </w:lvl>
  </w:abstractNum>
  <w:abstractNum w:abstractNumId="160">
    <w:nsid w:val="3F7F5D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61">
    <w:nsid w:val="2AE05A34"/>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1"/>
    </w:lvl>
  </w:abstractNum>
  <w:abstractNum w:abstractNumId="162">
    <w:nsid w:val="32794FF7"/>
    <w:multiLevelType w:val="hybridMultilevel"/>
    <w:lvl w:ilvl="0">
      <w:lvlJc w:val="left"/>
      <w:lvlText w:val="(%1)"/>
      <w:numFmt w:val="decimal"/>
      <w:start w:val="10"/>
    </w:lvl>
  </w:abstractNum>
  <w:abstractNum w:abstractNumId="163">
    <w:nsid w:val="5454945E"/>
    <w:multiLevelType w:val="hybridMultilevel"/>
    <w:lvl w:ilvl="0">
      <w:lvlJc w:val="left"/>
      <w:lvlText w:val="%1."/>
      <w:numFmt w:val="decimal"/>
      <w:start w:val="3"/>
    </w:lvl>
  </w:abstractNum>
  <w:abstractNum w:abstractNumId="164">
    <w:nsid w:val="4DEFDFA0"/>
    <w:multiLevelType w:val="hybridMultilevel"/>
    <w:lvl w:ilvl="0">
      <w:lvlJc w:val="left"/>
      <w:lvlText w:val="%1."/>
      <w:numFmt w:val="decimal"/>
      <w:start w:val="4"/>
    </w:lvl>
  </w:abstractNum>
  <w:abstractNum w:abstractNumId="165">
    <w:nsid w:val="2123D5F2"/>
    <w:multiLevelType w:val="hybridMultilevel"/>
    <w:lvl w:ilvl="0">
      <w:lvlJc w:val="left"/>
      <w:lvlText w:val="%1."/>
      <w:numFmt w:val="decimal"/>
      <w:start w:val="5"/>
    </w:lvl>
  </w:abstractNum>
  <w:abstractNum w:abstractNumId="166">
    <w:nsid w:val="135B8110"/>
    <w:multiLevelType w:val="hybridMultilevel"/>
    <w:lvl w:ilvl="0">
      <w:lvlJc w:val="left"/>
      <w:lvlText w:val="%1."/>
      <w:numFmt w:val="decimal"/>
      <w:start w:val="6"/>
    </w:lvl>
  </w:abstractNum>
  <w:abstractNum w:abstractNumId="167">
    <w:nsid w:val="94927A8"/>
    <w:multiLevelType w:val="hybridMultilevel"/>
    <w:lvl w:ilvl="0">
      <w:lvlJc w:val="left"/>
      <w:lvlText w:val="(%1)"/>
      <w:numFmt w:val="lowerRoman"/>
      <w:start w:val="2"/>
    </w:lvl>
    <w:lvl w:ilvl="1">
      <w:lvlJc w:val="left"/>
      <w:lvlText w:val="%2."/>
      <w:numFmt w:val="decimal"/>
      <w:start w:val="7"/>
    </w:lvl>
  </w:abstractNum>
  <w:abstractNum w:abstractNumId="168">
    <w:nsid w:val="DCDF8F6"/>
    <w:multiLevelType w:val="hybridMultilevel"/>
    <w:lvl w:ilvl="0">
      <w:lvlJc w:val="left"/>
      <w:lvlText w:val="%1."/>
      <w:numFmt w:val="decimal"/>
      <w:start w:val="8"/>
    </w:lvl>
  </w:abstractNum>
  <w:abstractNum w:abstractNumId="169">
    <w:nsid w:val="52D7B105"/>
    <w:multiLevelType w:val="hybridMultilevel"/>
    <w:lvl w:ilvl="0">
      <w:lvlJc w:val="left"/>
      <w:lvlText w:val="%1."/>
      <w:numFmt w:val="decimal"/>
      <w:start w:val="9"/>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png"/><Relationship Id="rId274" Type="http://schemas.openxmlformats.org/officeDocument/2006/relationships/image" Target="media/image253.png"/><Relationship Id="rId275" Type="http://schemas.openxmlformats.org/officeDocument/2006/relationships/image" Target="media/image254.png"/><Relationship Id="rId276" Type="http://schemas.openxmlformats.org/officeDocument/2006/relationships/image" Target="media/image255.pn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png"/><Relationship Id="rId280" Type="http://schemas.openxmlformats.org/officeDocument/2006/relationships/image" Target="media/image259.png"/><Relationship Id="rId281" Type="http://schemas.openxmlformats.org/officeDocument/2006/relationships/image" Target="media/image260.png"/><Relationship Id="rId282" Type="http://schemas.openxmlformats.org/officeDocument/2006/relationships/image" Target="media/image261.png"/><Relationship Id="rId283" Type="http://schemas.openxmlformats.org/officeDocument/2006/relationships/image" Target="media/image262.pn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87" Type="http://schemas.openxmlformats.org/officeDocument/2006/relationships/image" Target="media/image266.png"/><Relationship Id="rId288" Type="http://schemas.openxmlformats.org/officeDocument/2006/relationships/image" Target="media/image267.png"/><Relationship Id="rId289" Type="http://schemas.openxmlformats.org/officeDocument/2006/relationships/image" Target="media/image268.png"/><Relationship Id="rId290" Type="http://schemas.openxmlformats.org/officeDocument/2006/relationships/image" Target="media/image269.png"/><Relationship Id="rId291" Type="http://schemas.openxmlformats.org/officeDocument/2006/relationships/image" Target="media/image270.png"/><Relationship Id="rId292" Type="http://schemas.openxmlformats.org/officeDocument/2006/relationships/image" Target="media/image271.png"/><Relationship Id="rId293" Type="http://schemas.openxmlformats.org/officeDocument/2006/relationships/image" Target="media/image272.png"/><Relationship Id="rId294" Type="http://schemas.openxmlformats.org/officeDocument/2006/relationships/image" Target="media/image273.png"/><Relationship Id="rId295" Type="http://schemas.openxmlformats.org/officeDocument/2006/relationships/image" Target="media/image274.png"/><Relationship Id="rId296" Type="http://schemas.openxmlformats.org/officeDocument/2006/relationships/image" Target="media/image275.png"/><Relationship Id="rId297" Type="http://schemas.openxmlformats.org/officeDocument/2006/relationships/image" Target="media/image276.png"/><Relationship Id="rId298" Type="http://schemas.openxmlformats.org/officeDocument/2006/relationships/image" Target="media/image277.png"/><Relationship Id="rId299" Type="http://schemas.openxmlformats.org/officeDocument/2006/relationships/image" Target="media/image278.png"/><Relationship Id="rId300" Type="http://schemas.openxmlformats.org/officeDocument/2006/relationships/image" Target="media/image279.png"/><Relationship Id="rId301" Type="http://schemas.openxmlformats.org/officeDocument/2006/relationships/image" Target="media/image280.png"/><Relationship Id="rId302" Type="http://schemas.openxmlformats.org/officeDocument/2006/relationships/image" Target="media/image281.png"/><Relationship Id="rId303" Type="http://schemas.openxmlformats.org/officeDocument/2006/relationships/image" Target="media/image282.png"/><Relationship Id="rId304" Type="http://schemas.openxmlformats.org/officeDocument/2006/relationships/image" Target="media/image283.png"/><Relationship Id="rId305" Type="http://schemas.openxmlformats.org/officeDocument/2006/relationships/image" Target="media/image284.png"/><Relationship Id="rId306" Type="http://schemas.openxmlformats.org/officeDocument/2006/relationships/image" Target="media/image285.png"/><Relationship Id="rId307" Type="http://schemas.openxmlformats.org/officeDocument/2006/relationships/image" Target="media/image286.png"/><Relationship Id="rId308" Type="http://schemas.openxmlformats.org/officeDocument/2006/relationships/image" Target="media/image287.png"/><Relationship Id="rId309" Type="http://schemas.openxmlformats.org/officeDocument/2006/relationships/image" Target="media/image288.png"/><Relationship Id="rId310" Type="http://schemas.openxmlformats.org/officeDocument/2006/relationships/image" Target="media/image289.png"/><Relationship Id="rId311" Type="http://schemas.openxmlformats.org/officeDocument/2006/relationships/image" Target="media/image290.png"/><Relationship Id="rId312" Type="http://schemas.openxmlformats.org/officeDocument/2006/relationships/image" Target="media/image291.png"/><Relationship Id="rId313" Type="http://schemas.openxmlformats.org/officeDocument/2006/relationships/image" Target="media/image292.png"/><Relationship Id="rId314" Type="http://schemas.openxmlformats.org/officeDocument/2006/relationships/image" Target="media/image293.png"/><Relationship Id="rId315" Type="http://schemas.openxmlformats.org/officeDocument/2006/relationships/image" Target="media/image294.png"/><Relationship Id="rId316" Type="http://schemas.openxmlformats.org/officeDocument/2006/relationships/image" Target="media/image295.png"/><Relationship Id="rId317" Type="http://schemas.openxmlformats.org/officeDocument/2006/relationships/image" Target="media/image296.png"/><Relationship Id="rId318" Type="http://schemas.openxmlformats.org/officeDocument/2006/relationships/image" Target="media/image297.png"/><Relationship Id="rId319" Type="http://schemas.openxmlformats.org/officeDocument/2006/relationships/image" Target="media/image298.png"/><Relationship Id="rId320" Type="http://schemas.openxmlformats.org/officeDocument/2006/relationships/image" Target="media/image299.png"/><Relationship Id="rId321" Type="http://schemas.openxmlformats.org/officeDocument/2006/relationships/image" Target="media/image300.png"/><Relationship Id="rId322" Type="http://schemas.openxmlformats.org/officeDocument/2006/relationships/image" Target="media/image301.png"/><Relationship Id="rId323" Type="http://schemas.openxmlformats.org/officeDocument/2006/relationships/image" Target="media/image302.png"/><Relationship Id="rId324" Type="http://schemas.openxmlformats.org/officeDocument/2006/relationships/image" Target="media/image303.png"/><Relationship Id="rId325" Type="http://schemas.openxmlformats.org/officeDocument/2006/relationships/image" Target="media/image304.png"/><Relationship Id="rId326"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206" Type="http://schemas.openxmlformats.org/officeDocument/2006/relationships/hyperlink" Target="http://www.sec.gov/Archives/edgar/data/1806310/000119312520257858/d78879dex31.htm" TargetMode="External"/><Relationship Id="rId207" Type="http://schemas.openxmlformats.org/officeDocument/2006/relationships/hyperlink" Target="http://www.sec.gov/Archives/edgar/data/1806310/000119312520247565/d938924dex34.htm" TargetMode="External"/><Relationship Id="rId208" Type="http://schemas.openxmlformats.org/officeDocument/2006/relationships/hyperlink" Target="http://www.sec.gov/Archives/edgar/data/1806310/000119312520238197/d938924dex41.htm" TargetMode="External"/><Relationship Id="rId209" Type="http://schemas.openxmlformats.org/officeDocument/2006/relationships/hyperlink" Target="http://www.sec.gov/Archives/edgar/data/1806310/000119312520238197/d938924dex101.htm" TargetMode="External"/><Relationship Id="rId210" Type="http://schemas.openxmlformats.org/officeDocument/2006/relationships/hyperlink" Target="http://www.sec.gov/Archives/edgar/data/1806310/000119312520238197/d938924dex102.htm" TargetMode="External"/><Relationship Id="rId211" Type="http://schemas.openxmlformats.org/officeDocument/2006/relationships/hyperlink" Target="http://www.sec.gov/Archives/edgar/data/1806310/000119312520238197/d938924dex103.htm" TargetMode="External"/><Relationship Id="rId212" Type="http://schemas.openxmlformats.org/officeDocument/2006/relationships/hyperlink" Target="http://www.sec.gov/Archives/edgar/data/1806310/000119312520238197/d938924dex104.htm" TargetMode="External"/><Relationship Id="rId213" Type="http://schemas.openxmlformats.org/officeDocument/2006/relationships/hyperlink" Target="http://www.sec.gov/Archives/edgar/data/1806310/000119312520247565/d938924dex105.htm" TargetMode="External"/><Relationship Id="rId214" Type="http://schemas.openxmlformats.org/officeDocument/2006/relationships/hyperlink" Target="http://www.sec.gov/Archives/edgar/data/1806310/000119312520247565/d938924dex106.htm" TargetMode="External"/><Relationship Id="rId217" Type="http://schemas.openxmlformats.org/officeDocument/2006/relationships/hyperlink" Target="http://www.sec.gov/Archives/edgar/data/1806310/000119312520247565/d938924dex107.htm" TargetMode="External"/><Relationship Id="rId218" Type="http://schemas.openxmlformats.org/officeDocument/2006/relationships/hyperlink" Target="http://www.sec.gov/Archives/edgar/data/1806310/000119312520247565/d938924dex108.htm" TargetMode="External"/><Relationship Id="rId219" Type="http://schemas.openxmlformats.org/officeDocument/2006/relationships/hyperlink" Target="http://www.sec.gov/Archives/edgar/data/1806310/000119312520247565/d938924dex1010.htm" TargetMode="External"/><Relationship Id="rId220" Type="http://schemas.openxmlformats.org/officeDocument/2006/relationships/hyperlink" Target="http://www.sec.gov/Archives/edgar/data/1806310/000119312520247565/d938924dex1011.htm" TargetMode="External"/><Relationship Id="rId221" Type="http://schemas.openxmlformats.org/officeDocument/2006/relationships/hyperlink" Target="http://www.sec.gov/Archives/edgar/data/1806310/000156459020053602/tsha-ex107_18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2021-03-03T08:04:33Z</dcterms:created>
  <dcterms:modified xsi:type="dcterms:W3CDTF">2021-03-03T08:04:33Z</dcterms:modified>
</cp:coreProperties>
</file>