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52"/>
        <w:spacing w:after="0" w:line="236" w:lineRule="auto"/>
        <w:tabs>
          <w:tab w:leader="none" w:pos="472"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-352425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320" w:right="1620" w:hanging="3312"/>
        <w:spacing w:after="0" w:line="236" w:lineRule="auto"/>
        <w:tabs>
          <w:tab w:leader="none" w:pos="458"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w:t>
      </w:r>
    </w:p>
    <w:p>
      <w:pPr>
        <w:spacing w:after="0" w:line="90" w:lineRule="exact"/>
        <w:rPr>
          <w:rFonts w:ascii="MS PGothic" w:cs="MS PGothic" w:eastAsia="MS PGothic" w:hAnsi="MS PGothic"/>
          <w:sz w:val="36"/>
          <w:szCs w:val="36"/>
          <w:color w:val="auto"/>
          <w:vertAlign w:val="superscript"/>
        </w:rPr>
      </w:pPr>
    </w:p>
    <w:p>
      <w:pPr>
        <w:ind w:left="4200"/>
        <w:spacing w:after="0"/>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-541655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Taysha Gene Therapies,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84-3199512</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2280 Inwood Road</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87"/>
              </w:rPr>
              <w:t>Dallas, Texas</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75235</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TSHA</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0"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00" w:right="20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12, 2020, the registrant had 37,761,435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vMerge w:val="restart"/>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Notes to Condensed Consolidated Financial Statements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INFORMATION</w:t>
              </w:r>
            </w:hyperlink>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Signatures</w:t>
              </w:r>
            </w:hyperlink>
          </w:p>
        </w:tc>
        <w:tc>
          <w:tcPr>
            <w:tcW w:w="9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3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278,634</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Deferred offering costs</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color w:val="auto"/>
              </w:rPr>
              <w:t>15</w:t>
            </w:r>
          </w:p>
        </w:tc>
      </w:tr>
      <w:tr>
        <w:trPr>
          <w:trHeight w:val="223"/>
        </w:trPr>
        <w:tc>
          <w:tcPr>
            <w:tcW w:w="7720" w:type="dxa"/>
            <w:vAlign w:val="bottom"/>
            <w:tcBorders>
              <w:bottom w:val="single" w:sz="8" w:color="CCFFFF"/>
            </w:tcBorders>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279,238</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w:t>
            </w: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279,266</w:t>
            </w:r>
          </w:p>
        </w:tc>
        <w:tc>
          <w:tcPr>
            <w:tcW w:w="160" w:type="dxa"/>
            <w:vAlign w:val="bottom"/>
            <w:tcBorders>
              <w:bottom w:val="single" w:sz="8" w:color="CCFF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w:t>
            </w:r>
          </w:p>
        </w:tc>
      </w:tr>
      <w:tr>
        <w:trPr>
          <w:trHeight w:val="210"/>
        </w:trPr>
        <w:tc>
          <w:tcPr>
            <w:tcW w:w="77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8,837</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2,727</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150</w:t>
            </w:r>
          </w:p>
        </w:tc>
      </w:tr>
      <w:tr>
        <w:trPr>
          <w:trHeight w:val="230"/>
        </w:trPr>
        <w:tc>
          <w:tcPr>
            <w:tcW w:w="772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Due to related party</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CFF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color w:val="auto"/>
              </w:rPr>
              <w:t>11,624</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color w:val="auto"/>
              </w:rPr>
              <w:t>150</w:t>
            </w:r>
          </w:p>
        </w:tc>
      </w:tr>
      <w:tr>
        <w:trPr>
          <w:trHeight w:val="223"/>
        </w:trPr>
        <w:tc>
          <w:tcPr>
            <w:tcW w:w="7720" w:type="dxa"/>
            <w:vAlign w:val="bottom"/>
            <w:tcBorders>
              <w:bottom w:val="single" w:sz="8" w:color="CCFFFF"/>
            </w:tcBorders>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11,624</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150</w:t>
            </w:r>
          </w:p>
        </w:tc>
      </w:tr>
      <w:tr>
        <w:trPr>
          <w:trHeight w:val="223"/>
        </w:trPr>
        <w:tc>
          <w:tcPr>
            <w:tcW w:w="772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Commitments and contingencies - Note 10</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Stockholders' equity (deficit)</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w w:val="93"/>
              </w:rPr>
              <w:t>Preferred stock, $0.00001 par value per share; 10,000,000 shares authorized and no shares issued and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w w:val="91"/>
              </w:rPr>
              <w:t>outstanding as of September 30, 2020; no shares authorized, issued and outstanding as of December 31,</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w w:val="91"/>
              </w:rPr>
              <w:t>Common stock, $0.00001 par value per share; 200,000,000 shares authorized and 37,761,435 issued and</w:t>
            </w: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r>
      <w:tr>
        <w:trPr>
          <w:trHeight w:val="216"/>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w w:val="91"/>
              </w:rPr>
              <w:t>outstanding as of September 30, 2020; 10,895,000 shares authorized, 10,894,999 issued and outstanding</w:t>
            </w: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as of December 31, 2019</w:t>
            </w:r>
          </w:p>
        </w:tc>
        <w:tc>
          <w:tcPr>
            <w:tcW w:w="220" w:type="dxa"/>
            <w:vAlign w:val="bottom"/>
            <w:shd w:val="clear" w:color="auto" w:fill="CCFFFF"/>
          </w:tcPr>
          <w:p>
            <w:pPr>
              <w:spacing w:after="0"/>
              <w:rPr>
                <w:sz w:val="20"/>
                <w:szCs w:val="20"/>
                <w:color w:val="auto"/>
              </w:rPr>
            </w:pPr>
          </w:p>
        </w:tc>
        <w:tc>
          <w:tcPr>
            <w:tcW w:w="14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FF"/>
          </w:tcPr>
          <w:p>
            <w:pPr>
              <w:spacing w:after="0"/>
              <w:rPr>
                <w:sz w:val="20"/>
                <w:szCs w:val="20"/>
                <w:color w:val="auto"/>
              </w:rPr>
            </w:pPr>
          </w:p>
        </w:tc>
        <w:tc>
          <w:tcPr>
            <w:tcW w:w="220" w:type="dxa"/>
            <w:vAlign w:val="bottom"/>
            <w:shd w:val="clear" w:color="auto" w:fill="CCFFFF"/>
          </w:tcPr>
          <w:p>
            <w:pPr>
              <w:spacing w:after="0"/>
              <w:rPr>
                <w:sz w:val="20"/>
                <w:szCs w:val="20"/>
                <w:color w:val="auto"/>
              </w:rPr>
            </w:pPr>
          </w:p>
        </w:tc>
        <w:tc>
          <w:tcPr>
            <w:tcW w:w="14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310,450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980</w:t>
            </w: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(42,808)</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(1,115)</w:t>
            </w:r>
          </w:p>
        </w:tc>
      </w:tr>
      <w:tr>
        <w:trPr>
          <w:trHeight w:val="223"/>
        </w:trPr>
        <w:tc>
          <w:tcPr>
            <w:tcW w:w="772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267,642</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772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20" w:type="dxa"/>
            <w:vAlign w:val="bottom"/>
            <w:tcBorders>
              <w:bottom w:val="single" w:sz="8" w:color="auto"/>
            </w:tcBorders>
            <w:shd w:val="clear" w:color="auto" w:fill="CCFF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b w:val="1"/>
                <w:bCs w:val="1"/>
                <w:color w:val="auto"/>
              </w:rPr>
              <w:t>279,266</w:t>
            </w:r>
          </w:p>
        </w:tc>
        <w:tc>
          <w:tcPr>
            <w:tcW w:w="160" w:type="dxa"/>
            <w:vAlign w:val="bottom"/>
            <w:tcBorders>
              <w:bottom w:val="single" w:sz="8" w:color="CCFFFF"/>
            </w:tcBorders>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FFFF"/>
          </w:tcPr>
          <w:p>
            <w:pPr>
              <w:jc w:val="right"/>
              <w:ind w:right="52"/>
              <w:spacing w:after="0"/>
              <w:rPr>
                <w:sz w:val="20"/>
                <w:szCs w:val="20"/>
                <w:color w:val="auto"/>
              </w:rPr>
            </w:pPr>
            <w:r>
              <w:rPr>
                <w:rFonts w:ascii="Arial" w:cs="Arial" w:eastAsia="Arial" w:hAnsi="Arial"/>
                <w:sz w:val="18"/>
                <w:szCs w:val="18"/>
                <w:b w:val="1"/>
                <w:bCs w:val="1"/>
                <w:color w:val="auto"/>
              </w:rPr>
              <w:t>15</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2"/>
                <w:szCs w:val="12"/>
                <w:color w:val="auto"/>
              </w:rPr>
            </w:pPr>
          </w:p>
        </w:tc>
        <w:tc>
          <w:tcPr>
            <w:tcW w:w="12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September 20,</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2019 (date of</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5660" w:type="dxa"/>
            <w:vAlign w:val="bottom"/>
            <w:tcBorders>
              <w:bottom w:val="single" w:sz="8" w:color="CCFFFF"/>
            </w:tcBorders>
          </w:tcPr>
          <w:p>
            <w:pPr>
              <w:spacing w:after="0"/>
              <w:rPr>
                <w:sz w:val="14"/>
                <w:szCs w:val="14"/>
                <w:color w:val="auto"/>
              </w:rPr>
            </w:pPr>
          </w:p>
        </w:tc>
        <w:tc>
          <w:tcPr>
            <w:tcW w:w="1000" w:type="dxa"/>
            <w:vAlign w:val="bottom"/>
            <w:tcBorders>
              <w:bottom w:val="single" w:sz="8" w:color="CC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566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1260" w:type="dxa"/>
            <w:vAlign w:val="bottom"/>
            <w:shd w:val="clear" w:color="auto" w:fill="CCFFFF"/>
          </w:tcPr>
          <w:p>
            <w:pPr>
              <w:spacing w:after="0"/>
              <w:rPr>
                <w:sz w:val="19"/>
                <w:szCs w:val="19"/>
                <w:color w:val="auto"/>
              </w:rPr>
            </w:pPr>
          </w:p>
        </w:tc>
        <w:tc>
          <w:tcPr>
            <w:tcW w:w="14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1280" w:type="dxa"/>
            <w:vAlign w:val="bottom"/>
            <w:shd w:val="clear" w:color="auto" w:fill="CCFFFF"/>
          </w:tcPr>
          <w:p>
            <w:pPr>
              <w:spacing w:after="0"/>
              <w:rPr>
                <w:sz w:val="19"/>
                <w:szCs w:val="19"/>
                <w:color w:val="auto"/>
              </w:rPr>
            </w:pPr>
          </w:p>
        </w:tc>
        <w:tc>
          <w:tcPr>
            <w:tcW w:w="14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128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11,057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19,633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FFFF"/>
          </w:tcPr>
          <w:p>
            <w:pPr>
              <w:ind w:left="26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60" w:type="dxa"/>
            <w:vAlign w:val="bottom"/>
            <w:tcBorders>
              <w:bottom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color w:val="auto"/>
              </w:rPr>
              <w:t>3,984</w:t>
            </w:r>
          </w:p>
        </w:tc>
        <w:tc>
          <w:tcPr>
            <w:tcW w:w="14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80" w:type="dxa"/>
            <w:vAlign w:val="bottom"/>
            <w:tcBorders>
              <w:bottom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color w:val="auto"/>
              </w:rPr>
              <w:t>5,002</w:t>
            </w:r>
          </w:p>
        </w:tc>
        <w:tc>
          <w:tcPr>
            <w:tcW w:w="14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80" w:type="dxa"/>
            <w:vAlign w:val="bottom"/>
            <w:tcBorders>
              <w:bottom w:val="single" w:sz="8" w:color="auto"/>
            </w:tcBorders>
            <w:shd w:val="clear" w:color="auto" w:fill="CCFFFF"/>
          </w:tcPr>
          <w:p>
            <w:pPr>
              <w:jc w:val="right"/>
              <w:ind w:right="3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CC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15,041</w:t>
            </w:r>
          </w:p>
        </w:tc>
        <w:tc>
          <w:tcPr>
            <w:tcW w:w="140" w:type="dxa"/>
            <w:vAlign w:val="bottom"/>
            <w:tcBorders>
              <w:bottom w:val="single" w:sz="8" w:color="CC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24,635</w:t>
            </w:r>
          </w:p>
        </w:tc>
        <w:tc>
          <w:tcPr>
            <w:tcW w:w="140" w:type="dxa"/>
            <w:vAlign w:val="bottom"/>
            <w:tcBorders>
              <w:bottom w:val="single" w:sz="8" w:color="CC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66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Loss from operations</w:t>
            </w:r>
          </w:p>
        </w:tc>
        <w:tc>
          <w:tcPr>
            <w:tcW w:w="100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(15,041)</w:t>
            </w:r>
          </w:p>
        </w:tc>
        <w:tc>
          <w:tcPr>
            <w:tcW w:w="14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(24,635)</w:t>
            </w:r>
          </w:p>
        </w:tc>
        <w:tc>
          <w:tcPr>
            <w:tcW w:w="14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FFFF"/>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100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1260" w:type="dxa"/>
            <w:vAlign w:val="bottom"/>
            <w:shd w:val="clear" w:color="auto" w:fill="CCFFFF"/>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1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(17,030)</w:t>
            </w:r>
          </w:p>
        </w:tc>
        <w:tc>
          <w:tcPr>
            <w:tcW w:w="14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1280" w:type="dxa"/>
            <w:vAlign w:val="bottom"/>
            <w:shd w:val="clear" w:color="auto" w:fill="CCFF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Interest expense</w:t>
            </w:r>
          </w:p>
        </w:tc>
        <w:tc>
          <w:tcPr>
            <w:tcW w:w="1000" w:type="dxa"/>
            <w:vAlign w:val="bottom"/>
            <w:tcBorders>
              <w:bottom w:val="single" w:sz="8" w:color="CC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shd w:val="clear" w:color="auto" w:fill="CCFFFF"/>
          </w:tcPr>
          <w:p>
            <w:pPr>
              <w:ind w:left="260"/>
              <w:spacing w:after="0"/>
              <w:rPr>
                <w:sz w:val="20"/>
                <w:szCs w:val="20"/>
                <w:color w:val="auto"/>
              </w:rPr>
            </w:pPr>
            <w:r>
              <w:rPr>
                <w:rFonts w:ascii="Arial" w:cs="Arial" w:eastAsia="Arial" w:hAnsi="Arial"/>
                <w:sz w:val="18"/>
                <w:szCs w:val="18"/>
                <w:color w:val="auto"/>
              </w:rPr>
              <w:t>Total other expense</w:t>
            </w:r>
          </w:p>
        </w:tc>
        <w:tc>
          <w:tcPr>
            <w:tcW w:w="100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(17,058)</w:t>
            </w:r>
          </w:p>
        </w:tc>
        <w:tc>
          <w:tcPr>
            <w:tcW w:w="14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1280" w:type="dxa"/>
            <w:vAlign w:val="bottom"/>
            <w:tcBorders>
              <w:bottom w:val="single" w:sz="8" w:color="auto"/>
            </w:tcBorders>
            <w:shd w:val="clear" w:color="auto" w:fill="CCFF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6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Borders>
              <w:bottom w:val="single" w:sz="8" w:color="CCFF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(15,042)</w:t>
            </w:r>
          </w:p>
        </w:tc>
        <w:tc>
          <w:tcPr>
            <w:tcW w:w="140" w:type="dxa"/>
            <w:vAlign w:val="bottom"/>
            <w:tcBorders>
              <w:bottom w:val="single" w:sz="8" w:color="CCFF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(41,693)</w:t>
            </w:r>
          </w:p>
        </w:tc>
        <w:tc>
          <w:tcPr>
            <w:tcW w:w="140" w:type="dxa"/>
            <w:vAlign w:val="bottom"/>
            <w:tcBorders>
              <w:bottom w:val="single" w:sz="8" w:color="CCFF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0"/>
        </w:trPr>
        <w:tc>
          <w:tcPr>
            <w:tcW w:w="566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12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128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128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0" w:type="dxa"/>
            <w:vAlign w:val="bottom"/>
            <w:tcBorders>
              <w:top w:val="single" w:sz="8" w:color="CCFFFF"/>
              <w:bottom w:val="single" w:sz="8" w:color="CCFFFF"/>
            </w:tcBorders>
            <w:shd w:val="clear" w:color="auto" w:fill="CCFFFF"/>
          </w:tcPr>
          <w:p>
            <w:pPr>
              <w:spacing w:after="0"/>
              <w:rPr>
                <w:sz w:val="18"/>
                <w:szCs w:val="18"/>
                <w:color w:val="auto"/>
              </w:rPr>
            </w:pPr>
          </w:p>
        </w:tc>
        <w:tc>
          <w:tcPr>
            <w:tcW w:w="160" w:type="dxa"/>
            <w:vAlign w:val="bottom"/>
            <w:tcBorders>
              <w:top w:val="single" w:sz="8" w:color="auto"/>
              <w:bottom w:val="single" w:sz="8" w:color="auto"/>
            </w:tcBorders>
            <w:shd w:val="clear" w:color="auto" w:fill="CCFFFF"/>
          </w:tcPr>
          <w:p>
            <w:pPr>
              <w:spacing w:after="0"/>
              <w:rPr>
                <w:sz w:val="18"/>
                <w:szCs w:val="18"/>
                <w:color w:val="auto"/>
              </w:rPr>
            </w:pPr>
          </w:p>
        </w:tc>
        <w:tc>
          <w:tcPr>
            <w:tcW w:w="1260" w:type="dxa"/>
            <w:vAlign w:val="bottom"/>
            <w:tcBorders>
              <w:top w:val="single" w:sz="8" w:color="auto"/>
              <w:bottom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color w:val="auto"/>
              </w:rPr>
              <w:t>11,733,170</w:t>
            </w:r>
          </w:p>
        </w:tc>
        <w:tc>
          <w:tcPr>
            <w:tcW w:w="140" w:type="dxa"/>
            <w:vAlign w:val="bottom"/>
            <w:tcBorders>
              <w:top w:val="single" w:sz="8" w:color="CCFFFF"/>
              <w:bottom w:val="single" w:sz="8" w:color="CCFFFF"/>
            </w:tcBorders>
            <w:shd w:val="clear" w:color="auto" w:fill="CCFFFF"/>
          </w:tcPr>
          <w:p>
            <w:pPr>
              <w:spacing w:after="0"/>
              <w:rPr>
                <w:sz w:val="18"/>
                <w:szCs w:val="18"/>
                <w:color w:val="auto"/>
              </w:rPr>
            </w:pPr>
          </w:p>
        </w:tc>
        <w:tc>
          <w:tcPr>
            <w:tcW w:w="160" w:type="dxa"/>
            <w:vAlign w:val="bottom"/>
            <w:tcBorders>
              <w:top w:val="single" w:sz="8" w:color="auto"/>
              <w:bottom w:val="single" w:sz="8" w:color="auto"/>
            </w:tcBorders>
            <w:shd w:val="clear" w:color="auto" w:fill="CCFFFF"/>
          </w:tcPr>
          <w:p>
            <w:pPr>
              <w:spacing w:after="0"/>
              <w:rPr>
                <w:sz w:val="18"/>
                <w:szCs w:val="18"/>
                <w:color w:val="auto"/>
              </w:rPr>
            </w:pPr>
          </w:p>
        </w:tc>
        <w:tc>
          <w:tcPr>
            <w:tcW w:w="1280" w:type="dxa"/>
            <w:vAlign w:val="bottom"/>
            <w:tcBorders>
              <w:top w:val="single" w:sz="8" w:color="auto"/>
              <w:bottom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color w:val="auto"/>
              </w:rPr>
              <w:t>11,176,429</w:t>
            </w:r>
          </w:p>
        </w:tc>
        <w:tc>
          <w:tcPr>
            <w:tcW w:w="140" w:type="dxa"/>
            <w:vAlign w:val="bottom"/>
            <w:tcBorders>
              <w:top w:val="single" w:sz="8" w:color="CCFFFF"/>
              <w:bottom w:val="single" w:sz="8" w:color="CCFFFF"/>
            </w:tcBorders>
            <w:shd w:val="clear" w:color="auto" w:fill="CCFFFF"/>
          </w:tcPr>
          <w:p>
            <w:pPr>
              <w:spacing w:after="0"/>
              <w:rPr>
                <w:sz w:val="18"/>
                <w:szCs w:val="18"/>
                <w:color w:val="auto"/>
              </w:rPr>
            </w:pPr>
          </w:p>
        </w:tc>
        <w:tc>
          <w:tcPr>
            <w:tcW w:w="160" w:type="dxa"/>
            <w:vAlign w:val="bottom"/>
            <w:tcBorders>
              <w:top w:val="single" w:sz="8" w:color="auto"/>
              <w:bottom w:val="single" w:sz="8" w:color="auto"/>
            </w:tcBorders>
            <w:shd w:val="clear" w:color="auto" w:fill="CCFFFF"/>
          </w:tcPr>
          <w:p>
            <w:pPr>
              <w:spacing w:after="0"/>
              <w:rPr>
                <w:sz w:val="18"/>
                <w:szCs w:val="18"/>
                <w:color w:val="auto"/>
              </w:rPr>
            </w:pPr>
          </w:p>
        </w:tc>
        <w:tc>
          <w:tcPr>
            <w:tcW w:w="1280" w:type="dxa"/>
            <w:vAlign w:val="bottom"/>
            <w:tcBorders>
              <w:top w:val="single" w:sz="8" w:color="auto"/>
              <w:bottom w:val="single" w:sz="8" w:color="auto"/>
            </w:tcBorders>
            <w:shd w:val="clear" w:color="auto" w:fill="CCFFFF"/>
          </w:tcPr>
          <w:p>
            <w:pPr>
              <w:jc w:val="right"/>
              <w:ind w:right="37"/>
              <w:spacing w:after="0"/>
              <w:rPr>
                <w:sz w:val="20"/>
                <w:szCs w:val="20"/>
                <w:color w:val="auto"/>
              </w:rPr>
            </w:pPr>
            <w:r>
              <w:rPr>
                <w:rFonts w:ascii="Arial" w:cs="Arial" w:eastAsia="Arial" w:hAnsi="Arial"/>
                <w:sz w:val="18"/>
                <w:szCs w:val="18"/>
                <w:color w:val="auto"/>
              </w:rPr>
              <w:t>8,715,999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89"/>
              </w:rPr>
              <w:t>Series 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89"/>
              </w:rPr>
              <w:t>Series B</w:t>
            </w:r>
          </w:p>
        </w:tc>
        <w:tc>
          <w:tcPr>
            <w:tcW w:w="7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1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20" w:type="dxa"/>
            <w:vAlign w:val="bottom"/>
            <w:tcBorders>
              <w:right w:val="single" w:sz="8" w:color="auto"/>
            </w:tcBorders>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70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Preferred Stock</w:t>
            </w:r>
          </w:p>
        </w:tc>
        <w:tc>
          <w:tcPr>
            <w:tcW w:w="202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Preferred Stock</w:t>
            </w:r>
          </w:p>
        </w:tc>
        <w:tc>
          <w:tcPr>
            <w:tcW w:w="1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20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Borders>
              <w:right w:val="single" w:sz="8" w:color="auto"/>
            </w:tcBorders>
          </w:tcPr>
          <w:p>
            <w:pPr>
              <w:spacing w:after="0"/>
              <w:rPr>
                <w:sz w:val="13"/>
                <w:szCs w:val="13"/>
                <w:color w:val="auto"/>
              </w:rPr>
            </w:pPr>
          </w:p>
        </w:tc>
        <w:tc>
          <w:tcPr>
            <w:tcW w:w="110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78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135"/>
              <w:spacing w:after="0" w:line="155"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w w:val="93"/>
              </w:rPr>
              <w:t>Balance as of June 30, 2020</w:t>
            </w:r>
          </w:p>
        </w:tc>
        <w:tc>
          <w:tcPr>
            <w:tcW w:w="1100" w:type="dxa"/>
            <w:vAlign w:val="bottom"/>
            <w:tcBorders>
              <w:top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b w:val="1"/>
                <w:bCs w:val="1"/>
                <w:color w:val="auto"/>
              </w:rPr>
              <w:t>6,200,000</w:t>
            </w:r>
          </w:p>
        </w:tc>
        <w:tc>
          <w:tcPr>
            <w:tcW w:w="100" w:type="dxa"/>
            <w:vAlign w:val="bottom"/>
            <w:tcBorders>
              <w:top w:val="single" w:sz="8" w:color="CCFFFF"/>
            </w:tcBorders>
            <w:shd w:val="clear" w:color="auto" w:fill="CCFFFF"/>
          </w:tcPr>
          <w:p>
            <w:pPr>
              <w:spacing w:after="0"/>
              <w:rPr>
                <w:sz w:val="19"/>
                <w:szCs w:val="19"/>
                <w:color w:val="auto"/>
              </w:rPr>
            </w:pPr>
          </w:p>
        </w:tc>
        <w:tc>
          <w:tcPr>
            <w:tcW w:w="1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FFFF"/>
          </w:tcPr>
          <w:p>
            <w:pPr>
              <w:jc w:val="right"/>
              <w:ind w:right="32"/>
              <w:spacing w:after="0"/>
              <w:rPr>
                <w:sz w:val="20"/>
                <w:szCs w:val="20"/>
                <w:color w:val="auto"/>
              </w:rPr>
            </w:pPr>
            <w:r>
              <w:rPr>
                <w:rFonts w:ascii="Arial" w:cs="Arial" w:eastAsia="Arial" w:hAnsi="Arial"/>
                <w:sz w:val="18"/>
                <w:szCs w:val="18"/>
                <w:b w:val="1"/>
                <w:bCs w:val="1"/>
                <w:color w:val="auto"/>
              </w:rPr>
              <w:t>18,014</w:t>
            </w:r>
          </w:p>
        </w:tc>
        <w:tc>
          <w:tcPr>
            <w:tcW w:w="100" w:type="dxa"/>
            <w:vAlign w:val="bottom"/>
            <w:tcBorders>
              <w:top w:val="single" w:sz="8" w:color="CCFFFF"/>
            </w:tcBorders>
            <w:shd w:val="clear" w:color="auto" w:fill="CCFFFF"/>
          </w:tcPr>
          <w:p>
            <w:pPr>
              <w:spacing w:after="0"/>
              <w:rPr>
                <w:sz w:val="19"/>
                <w:szCs w:val="19"/>
                <w:color w:val="auto"/>
              </w:rPr>
            </w:pPr>
          </w:p>
        </w:tc>
        <w:tc>
          <w:tcPr>
            <w:tcW w:w="1000" w:type="dxa"/>
            <w:vAlign w:val="bottom"/>
            <w:tcBorders>
              <w:top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FFFF"/>
            </w:tcBorders>
            <w:shd w:val="clear" w:color="auto" w:fill="CCFFFF"/>
          </w:tcPr>
          <w:p>
            <w:pPr>
              <w:spacing w:after="0"/>
              <w:rPr>
                <w:sz w:val="19"/>
                <w:szCs w:val="19"/>
                <w:color w:val="auto"/>
              </w:rPr>
            </w:pPr>
          </w:p>
        </w:tc>
        <w:tc>
          <w:tcPr>
            <w:tcW w:w="1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FF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FFFF"/>
              <w:right w:val="single" w:sz="8" w:color="auto"/>
            </w:tcBorders>
            <w:shd w:val="clear" w:color="auto" w:fill="CCFFFF"/>
          </w:tcPr>
          <w:p>
            <w:pPr>
              <w:spacing w:after="0"/>
              <w:rPr>
                <w:sz w:val="19"/>
                <w:szCs w:val="19"/>
                <w:color w:val="auto"/>
              </w:rPr>
            </w:pPr>
          </w:p>
        </w:tc>
        <w:tc>
          <w:tcPr>
            <w:tcW w:w="1020" w:type="dxa"/>
            <w:vAlign w:val="bottom"/>
            <w:tcBorders>
              <w:top w:val="single" w:sz="8" w:color="auto"/>
            </w:tcBorders>
            <w:shd w:val="clear" w:color="auto" w:fill="CCFFFF"/>
          </w:tcPr>
          <w:p>
            <w:pPr>
              <w:jc w:val="right"/>
              <w:ind w:right="33"/>
              <w:spacing w:after="0"/>
              <w:rPr>
                <w:sz w:val="20"/>
                <w:szCs w:val="20"/>
                <w:color w:val="auto"/>
              </w:rPr>
            </w:pPr>
            <w:r>
              <w:rPr>
                <w:rFonts w:ascii="Arial" w:cs="Arial" w:eastAsia="Arial" w:hAnsi="Arial"/>
                <w:sz w:val="18"/>
                <w:szCs w:val="18"/>
                <w:b w:val="1"/>
                <w:bCs w:val="1"/>
                <w:color w:val="auto"/>
                <w:w w:val="97"/>
              </w:rPr>
              <w:t>10,894,999</w:t>
            </w:r>
          </w:p>
        </w:tc>
        <w:tc>
          <w:tcPr>
            <w:tcW w:w="80" w:type="dxa"/>
            <w:vAlign w:val="bottom"/>
            <w:tcBorders>
              <w:top w:val="single" w:sz="8" w:color="CCFFFF"/>
            </w:tcBorders>
            <w:shd w:val="clear" w:color="auto" w:fill="CCFFFF"/>
          </w:tcPr>
          <w:p>
            <w:pPr>
              <w:spacing w:after="0"/>
              <w:rPr>
                <w:sz w:val="19"/>
                <w:szCs w:val="19"/>
                <w:color w:val="auto"/>
              </w:rPr>
            </w:pPr>
          </w:p>
        </w:tc>
        <w:tc>
          <w:tcPr>
            <w:tcW w:w="600" w:type="dxa"/>
            <w:vAlign w:val="bottom"/>
            <w:tcBorders>
              <w:top w:val="single" w:sz="8" w:color="auto"/>
            </w:tcBorders>
            <w:shd w:val="clear" w:color="auto" w:fill="CCFFFF"/>
          </w:tcPr>
          <w:p>
            <w:pPr>
              <w:jc w:val="right"/>
              <w:ind w:right="416"/>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tcBorders>
            <w:shd w:val="clear" w:color="auto" w:fill="CCFFFF"/>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FFFF"/>
            </w:tcBorders>
            <w:shd w:val="clear" w:color="auto" w:fill="CCFFFF"/>
          </w:tcPr>
          <w:p>
            <w:pPr>
              <w:spacing w:after="0"/>
              <w:rPr>
                <w:sz w:val="19"/>
                <w:szCs w:val="19"/>
                <w:color w:val="auto"/>
              </w:rPr>
            </w:pPr>
          </w:p>
        </w:tc>
        <w:tc>
          <w:tcPr>
            <w:tcW w:w="10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FFFF"/>
          </w:tcPr>
          <w:p>
            <w:pPr>
              <w:jc w:val="right"/>
              <w:ind w:right="33"/>
              <w:spacing w:after="0"/>
              <w:rPr>
                <w:sz w:val="20"/>
                <w:szCs w:val="20"/>
                <w:color w:val="auto"/>
              </w:rPr>
            </w:pPr>
            <w:r>
              <w:rPr>
                <w:rFonts w:ascii="Arial" w:cs="Arial" w:eastAsia="Arial" w:hAnsi="Arial"/>
                <w:sz w:val="18"/>
                <w:szCs w:val="18"/>
                <w:b w:val="1"/>
                <w:bCs w:val="1"/>
                <w:color w:val="auto"/>
              </w:rPr>
              <w:t>980</w:t>
            </w:r>
          </w:p>
        </w:tc>
        <w:tc>
          <w:tcPr>
            <w:tcW w:w="80" w:type="dxa"/>
            <w:vAlign w:val="bottom"/>
            <w:tcBorders>
              <w:top w:val="single" w:sz="8" w:color="CCFFFF"/>
            </w:tcBorders>
            <w:shd w:val="clear" w:color="auto" w:fill="CCFFFF"/>
          </w:tcPr>
          <w:p>
            <w:pPr>
              <w:spacing w:after="0"/>
              <w:rPr>
                <w:sz w:val="19"/>
                <w:szCs w:val="19"/>
                <w:color w:val="auto"/>
              </w:rPr>
            </w:pPr>
          </w:p>
        </w:tc>
        <w:tc>
          <w:tcPr>
            <w:tcW w:w="16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(27,766)</w:t>
            </w:r>
          </w:p>
        </w:tc>
        <w:tc>
          <w:tcPr>
            <w:tcW w:w="100" w:type="dxa"/>
            <w:vAlign w:val="bottom"/>
            <w:tcBorders>
              <w:top w:val="single" w:sz="8" w:color="CCFFFF"/>
            </w:tcBorders>
            <w:shd w:val="clear" w:color="auto" w:fill="CCFFFF"/>
          </w:tcPr>
          <w:p>
            <w:pPr>
              <w:spacing w:after="0"/>
              <w:rPr>
                <w:sz w:val="19"/>
                <w:szCs w:val="19"/>
                <w:color w:val="auto"/>
              </w:rPr>
            </w:pPr>
          </w:p>
        </w:tc>
        <w:tc>
          <w:tcPr>
            <w:tcW w:w="1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(26,786)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Issuance of Series 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w w:val="99"/>
              </w:rPr>
              <w:t>net of offering costs of $165</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3,800,000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Issuance of Series B</w:t>
            </w:r>
          </w:p>
        </w:tc>
        <w:tc>
          <w:tcPr>
            <w:tcW w:w="1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6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convertible preferred stock,</w:t>
            </w:r>
          </w:p>
        </w:tc>
        <w:tc>
          <w:tcPr>
            <w:tcW w:w="1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6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w w:val="99"/>
              </w:rPr>
              <w:t>net of offering costs of $185</w:t>
            </w:r>
          </w:p>
        </w:tc>
        <w:tc>
          <w:tcPr>
            <w:tcW w:w="1100" w:type="dxa"/>
            <w:vAlign w:val="bottom"/>
            <w:shd w:val="clear" w:color="auto" w:fill="CCFF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20"/>
                <w:szCs w:val="20"/>
                <w:color w:val="auto"/>
              </w:rPr>
            </w:pPr>
          </w:p>
        </w:tc>
        <w:tc>
          <w:tcPr>
            <w:tcW w:w="1000" w:type="dxa"/>
            <w:vAlign w:val="bottom"/>
            <w:shd w:val="clear" w:color="auto" w:fill="CCFFFF"/>
          </w:tcPr>
          <w:p>
            <w:pPr>
              <w:jc w:val="right"/>
              <w:ind w:right="36"/>
              <w:spacing w:after="0"/>
              <w:rPr>
                <w:sz w:val="20"/>
                <w:szCs w:val="20"/>
                <w:color w:val="auto"/>
              </w:rPr>
            </w:pPr>
            <w:r>
              <w:rPr>
                <w:rFonts w:ascii="Arial" w:cs="Arial" w:eastAsia="Arial" w:hAnsi="Arial"/>
                <w:sz w:val="18"/>
                <w:szCs w:val="18"/>
                <w:color w:val="auto"/>
              </w:rPr>
              <w:t>5,647,048</w:t>
            </w:r>
          </w:p>
        </w:tc>
        <w:tc>
          <w:tcPr>
            <w:tcW w:w="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4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95,815</w:t>
            </w:r>
          </w:p>
        </w:tc>
        <w:tc>
          <w:tcPr>
            <w:tcW w:w="100" w:type="dxa"/>
            <w:vAlign w:val="bottom"/>
            <w:tcBorders>
              <w:right w:val="single" w:sz="8" w:color="auto"/>
            </w:tcBorders>
            <w:shd w:val="clear" w:color="auto" w:fill="CCFFFF"/>
          </w:tcPr>
          <w:p>
            <w:pPr>
              <w:spacing w:after="0"/>
              <w:rPr>
                <w:sz w:val="20"/>
                <w:szCs w:val="20"/>
                <w:color w:val="auto"/>
              </w:rPr>
            </w:pPr>
          </w:p>
        </w:tc>
        <w:tc>
          <w:tcPr>
            <w:tcW w:w="1020" w:type="dxa"/>
            <w:vAlign w:val="bottom"/>
            <w:shd w:val="clear" w:color="auto" w:fill="CCFFFF"/>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FF"/>
          </w:tcPr>
          <w:p>
            <w:pPr>
              <w:spacing w:after="0"/>
              <w:rPr>
                <w:sz w:val="20"/>
                <w:szCs w:val="20"/>
                <w:color w:val="auto"/>
              </w:rPr>
            </w:pPr>
          </w:p>
        </w:tc>
        <w:tc>
          <w:tcPr>
            <w:tcW w:w="600" w:type="dxa"/>
            <w:vAlign w:val="bottom"/>
            <w:shd w:val="clear" w:color="auto" w:fill="CCFFFF"/>
          </w:tcPr>
          <w:p>
            <w:pPr>
              <w:spacing w:after="0"/>
              <w:rPr>
                <w:sz w:val="20"/>
                <w:szCs w:val="20"/>
                <w:color w:val="auto"/>
              </w:rPr>
            </w:pPr>
          </w:p>
        </w:tc>
        <w:tc>
          <w:tcPr>
            <w:tcW w:w="180" w:type="dxa"/>
            <w:vAlign w:val="bottom"/>
            <w:shd w:val="clear" w:color="auto" w:fill="CCFFFF"/>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c>
          <w:tcPr>
            <w:tcW w:w="78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p>
        </w:tc>
        <w:tc>
          <w:tcPr>
            <w:tcW w:w="800" w:type="dxa"/>
            <w:vAlign w:val="bottom"/>
            <w:shd w:val="clear" w:color="auto" w:fill="CCFFFF"/>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w w:val="99"/>
              </w:rPr>
              <w:t>Reclassification of preferred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stock tranche liability upon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issuance of Series 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milestone shares</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Conversion of Series A and</w:t>
            </w:r>
          </w:p>
        </w:tc>
        <w:tc>
          <w:tcPr>
            <w:tcW w:w="1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6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Series B convertible</w:t>
            </w:r>
          </w:p>
        </w:tc>
        <w:tc>
          <w:tcPr>
            <w:tcW w:w="1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6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preferred stock to common</w:t>
            </w:r>
          </w:p>
        </w:tc>
        <w:tc>
          <w:tcPr>
            <w:tcW w:w="1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6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stock</w:t>
            </w:r>
          </w:p>
        </w:tc>
        <w:tc>
          <w:tcPr>
            <w:tcW w:w="110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spacing w:after="0"/>
              <w:rPr>
                <w:sz w:val="20"/>
                <w:szCs w:val="20"/>
                <w:color w:val="auto"/>
              </w:rPr>
            </w:pPr>
            <w:r>
              <w:rPr>
                <w:rFonts w:ascii="Arial" w:cs="Arial" w:eastAsia="Arial" w:hAnsi="Arial"/>
                <w:sz w:val="18"/>
                <w:szCs w:val="18"/>
                <w:color w:val="auto"/>
                <w:w w:val="98"/>
              </w:rPr>
              <w:t>(46,425)</w:t>
            </w:r>
          </w:p>
        </w:tc>
        <w:tc>
          <w:tcPr>
            <w:tcW w:w="100" w:type="dxa"/>
            <w:vAlign w:val="bottom"/>
            <w:shd w:val="clear" w:color="auto" w:fill="CCFFFF"/>
          </w:tcPr>
          <w:p>
            <w:pPr>
              <w:spacing w:after="0"/>
              <w:rPr>
                <w:sz w:val="20"/>
                <w:szCs w:val="20"/>
                <w:color w:val="auto"/>
              </w:rPr>
            </w:pPr>
          </w:p>
        </w:tc>
        <w:tc>
          <w:tcPr>
            <w:tcW w:w="1000" w:type="dxa"/>
            <w:vAlign w:val="bottom"/>
            <w:shd w:val="clear" w:color="auto" w:fill="CCFFFF"/>
          </w:tcPr>
          <w:p>
            <w:pPr>
              <w:jc w:val="right"/>
              <w:spacing w:after="0"/>
              <w:rPr>
                <w:sz w:val="20"/>
                <w:szCs w:val="20"/>
                <w:color w:val="auto"/>
              </w:rPr>
            </w:pPr>
            <w:r>
              <w:rPr>
                <w:rFonts w:ascii="Arial" w:cs="Arial" w:eastAsia="Arial" w:hAnsi="Arial"/>
                <w:sz w:val="18"/>
                <w:szCs w:val="18"/>
                <w:color w:val="auto"/>
                <w:w w:val="99"/>
              </w:rPr>
              <w:t>(5,647,048)</w:t>
            </w:r>
          </w:p>
        </w:tc>
        <w:tc>
          <w:tcPr>
            <w:tcW w:w="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40" w:type="dxa"/>
            <w:vAlign w:val="bottom"/>
            <w:shd w:val="clear" w:color="auto" w:fill="CCFFFF"/>
          </w:tcPr>
          <w:p>
            <w:pPr>
              <w:jc w:val="right"/>
              <w:spacing w:after="0"/>
              <w:rPr>
                <w:sz w:val="20"/>
                <w:szCs w:val="20"/>
                <w:color w:val="auto"/>
              </w:rPr>
            </w:pPr>
            <w:r>
              <w:rPr>
                <w:rFonts w:ascii="Arial" w:cs="Arial" w:eastAsia="Arial" w:hAnsi="Arial"/>
                <w:sz w:val="18"/>
                <w:szCs w:val="18"/>
                <w:color w:val="auto"/>
                <w:w w:val="98"/>
              </w:rPr>
              <w:t>(95,815)</w:t>
            </w:r>
          </w:p>
        </w:tc>
        <w:tc>
          <w:tcPr>
            <w:tcW w:w="100" w:type="dxa"/>
            <w:vAlign w:val="bottom"/>
            <w:tcBorders>
              <w:right w:val="single" w:sz="8" w:color="auto"/>
            </w:tcBorders>
            <w:shd w:val="clear" w:color="auto" w:fill="CCFFFF"/>
          </w:tcPr>
          <w:p>
            <w:pPr>
              <w:spacing w:after="0"/>
              <w:rPr>
                <w:sz w:val="20"/>
                <w:szCs w:val="20"/>
                <w:color w:val="auto"/>
              </w:rPr>
            </w:pPr>
          </w:p>
        </w:tc>
        <w:tc>
          <w:tcPr>
            <w:tcW w:w="1020" w:type="dxa"/>
            <w:vAlign w:val="bottom"/>
            <w:shd w:val="clear" w:color="auto" w:fill="CCFFFF"/>
          </w:tcPr>
          <w:p>
            <w:pPr>
              <w:jc w:val="right"/>
              <w:ind w:right="33"/>
              <w:spacing w:after="0"/>
              <w:rPr>
                <w:sz w:val="20"/>
                <w:szCs w:val="20"/>
                <w:color w:val="auto"/>
              </w:rPr>
            </w:pPr>
            <w:r>
              <w:rPr>
                <w:rFonts w:ascii="Arial" w:cs="Arial" w:eastAsia="Arial" w:hAnsi="Arial"/>
                <w:sz w:val="18"/>
                <w:szCs w:val="18"/>
                <w:color w:val="auto"/>
                <w:w w:val="97"/>
              </w:rPr>
              <w:t>17,047,378</w:t>
            </w:r>
          </w:p>
        </w:tc>
        <w:tc>
          <w:tcPr>
            <w:tcW w:w="80" w:type="dxa"/>
            <w:vAlign w:val="bottom"/>
            <w:shd w:val="clear" w:color="auto" w:fill="CCFFFF"/>
          </w:tcPr>
          <w:p>
            <w:pPr>
              <w:spacing w:after="0"/>
              <w:rPr>
                <w:sz w:val="20"/>
                <w:szCs w:val="20"/>
                <w:color w:val="auto"/>
              </w:rPr>
            </w:pPr>
          </w:p>
        </w:tc>
        <w:tc>
          <w:tcPr>
            <w:tcW w:w="600" w:type="dxa"/>
            <w:vAlign w:val="bottom"/>
            <w:shd w:val="clear" w:color="auto" w:fill="CCFFFF"/>
          </w:tcPr>
          <w:p>
            <w:pPr>
              <w:spacing w:after="0"/>
              <w:rPr>
                <w:sz w:val="20"/>
                <w:szCs w:val="20"/>
                <w:color w:val="auto"/>
              </w:rPr>
            </w:pPr>
          </w:p>
        </w:tc>
        <w:tc>
          <w:tcPr>
            <w:tcW w:w="180" w:type="dxa"/>
            <w:vAlign w:val="bottom"/>
            <w:shd w:val="clear" w:color="auto" w:fill="CCFFFF"/>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ind w:right="33"/>
              <w:spacing w:after="0"/>
              <w:rPr>
                <w:sz w:val="20"/>
                <w:szCs w:val="20"/>
                <w:color w:val="auto"/>
              </w:rPr>
            </w:pPr>
            <w:r>
              <w:rPr>
                <w:rFonts w:ascii="Arial" w:cs="Arial" w:eastAsia="Arial" w:hAnsi="Arial"/>
                <w:sz w:val="18"/>
                <w:szCs w:val="18"/>
                <w:color w:val="auto"/>
                <w:w w:val="89"/>
              </w:rPr>
              <w:t>142,240</w:t>
            </w:r>
          </w:p>
        </w:tc>
        <w:tc>
          <w:tcPr>
            <w:tcW w:w="8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c>
          <w:tcPr>
            <w:tcW w:w="7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p>
        </w:tc>
        <w:tc>
          <w:tcPr>
            <w:tcW w:w="800" w:type="dxa"/>
            <w:vAlign w:val="bottom"/>
            <w:shd w:val="clear" w:color="auto" w:fill="CCFFFF"/>
          </w:tcPr>
          <w:p>
            <w:pPr>
              <w:jc w:val="right"/>
              <w:ind w:right="15"/>
              <w:spacing w:after="0"/>
              <w:rPr>
                <w:sz w:val="20"/>
                <w:szCs w:val="20"/>
                <w:color w:val="auto"/>
              </w:rPr>
            </w:pPr>
            <w:r>
              <w:rPr>
                <w:rFonts w:ascii="Arial" w:cs="Arial" w:eastAsia="Arial" w:hAnsi="Arial"/>
                <w:sz w:val="18"/>
                <w:szCs w:val="18"/>
                <w:color w:val="auto"/>
              </w:rPr>
              <w:t>142,240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Issuance of shares of</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common stock in initial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public offering, net of</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offering costs 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underwriting discounts 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commissions of $15,111</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9,050,000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165,889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165,889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Issuance of restricted stock</w:t>
            </w:r>
          </w:p>
        </w:tc>
        <w:tc>
          <w:tcPr>
            <w:tcW w:w="1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6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award</w:t>
            </w:r>
          </w:p>
        </w:tc>
        <w:tc>
          <w:tcPr>
            <w:tcW w:w="1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000" w:type="dxa"/>
            <w:vAlign w:val="bottom"/>
            <w:shd w:val="clear" w:color="auto" w:fill="CCFFFF"/>
          </w:tcPr>
          <w:p>
            <w:pPr>
              <w:spacing w:after="0"/>
              <w:rPr>
                <w:sz w:val="20"/>
                <w:szCs w:val="20"/>
                <w:color w:val="auto"/>
              </w:rPr>
            </w:pPr>
          </w:p>
        </w:tc>
        <w:tc>
          <w:tcPr>
            <w:tcW w:w="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40" w:type="dxa"/>
            <w:vAlign w:val="bottom"/>
            <w:shd w:val="clear" w:color="auto" w:fill="CCFFFF"/>
          </w:tcPr>
          <w:p>
            <w:pPr>
              <w:spacing w:after="0"/>
              <w:rPr>
                <w:sz w:val="20"/>
                <w:szCs w:val="20"/>
                <w:color w:val="auto"/>
              </w:rPr>
            </w:pPr>
          </w:p>
        </w:tc>
        <w:tc>
          <w:tcPr>
            <w:tcW w:w="100" w:type="dxa"/>
            <w:vAlign w:val="bottom"/>
            <w:tcBorders>
              <w:right w:val="single" w:sz="8" w:color="auto"/>
            </w:tcBorders>
            <w:shd w:val="clear" w:color="auto" w:fill="CCFFFF"/>
          </w:tcPr>
          <w:p>
            <w:pPr>
              <w:spacing w:after="0"/>
              <w:rPr>
                <w:sz w:val="20"/>
                <w:szCs w:val="20"/>
                <w:color w:val="auto"/>
              </w:rPr>
            </w:pPr>
          </w:p>
        </w:tc>
        <w:tc>
          <w:tcPr>
            <w:tcW w:w="1020" w:type="dxa"/>
            <w:vAlign w:val="bottom"/>
            <w:shd w:val="clear" w:color="auto" w:fill="CCFFFF"/>
          </w:tcPr>
          <w:p>
            <w:pPr>
              <w:jc w:val="right"/>
              <w:ind w:right="33"/>
              <w:spacing w:after="0"/>
              <w:rPr>
                <w:sz w:val="20"/>
                <w:szCs w:val="20"/>
                <w:color w:val="auto"/>
              </w:rPr>
            </w:pPr>
            <w:r>
              <w:rPr>
                <w:rFonts w:ascii="Arial" w:cs="Arial" w:eastAsia="Arial" w:hAnsi="Arial"/>
                <w:sz w:val="18"/>
                <w:szCs w:val="18"/>
                <w:color w:val="auto"/>
              </w:rPr>
              <w:t>769,058</w:t>
            </w:r>
          </w:p>
        </w:tc>
        <w:tc>
          <w:tcPr>
            <w:tcW w:w="80" w:type="dxa"/>
            <w:vAlign w:val="bottom"/>
            <w:shd w:val="clear" w:color="auto" w:fill="CCFFFF"/>
          </w:tcPr>
          <w:p>
            <w:pPr>
              <w:spacing w:after="0"/>
              <w:rPr>
                <w:sz w:val="20"/>
                <w:szCs w:val="20"/>
                <w:color w:val="auto"/>
              </w:rPr>
            </w:pPr>
          </w:p>
        </w:tc>
        <w:tc>
          <w:tcPr>
            <w:tcW w:w="600" w:type="dxa"/>
            <w:vAlign w:val="bottom"/>
            <w:shd w:val="clear" w:color="auto" w:fill="CCFFFF"/>
          </w:tcPr>
          <w:p>
            <w:pPr>
              <w:spacing w:after="0"/>
              <w:rPr>
                <w:sz w:val="20"/>
                <w:szCs w:val="20"/>
                <w:color w:val="auto"/>
              </w:rPr>
            </w:pPr>
          </w:p>
        </w:tc>
        <w:tc>
          <w:tcPr>
            <w:tcW w:w="1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spacing w:after="0"/>
              <w:rPr>
                <w:sz w:val="20"/>
                <w:szCs w:val="20"/>
                <w:color w:val="auto"/>
              </w:rPr>
            </w:pPr>
          </w:p>
        </w:tc>
        <w:tc>
          <w:tcPr>
            <w:tcW w:w="8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c>
          <w:tcPr>
            <w:tcW w:w="7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p>
        </w:tc>
        <w:tc>
          <w:tcPr>
            <w:tcW w:w="800" w:type="dxa"/>
            <w:vAlign w:val="bottom"/>
            <w:shd w:val="clear" w:color="auto" w:fill="CC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FFFF"/>
          </w:tcPr>
          <w:p>
            <w:pPr>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19"/>
                <w:szCs w:val="19"/>
                <w:color w:val="auto"/>
              </w:rPr>
            </w:pPr>
          </w:p>
        </w:tc>
        <w:tc>
          <w:tcPr>
            <w:tcW w:w="100" w:type="dxa"/>
            <w:vAlign w:val="bottom"/>
            <w:tcBorders>
              <w:bottom w:val="single" w:sz="8" w:color="auto"/>
            </w:tcBorders>
            <w:shd w:val="clear" w:color="auto" w:fill="CCFFFF"/>
          </w:tcPr>
          <w:p>
            <w:pPr>
              <w:spacing w:after="0"/>
              <w:rPr>
                <w:sz w:val="19"/>
                <w:szCs w:val="19"/>
                <w:color w:val="auto"/>
              </w:rPr>
            </w:pPr>
          </w:p>
        </w:tc>
        <w:tc>
          <w:tcPr>
            <w:tcW w:w="720" w:type="dxa"/>
            <w:vAlign w:val="bottom"/>
            <w:tcBorders>
              <w:bottom w:val="single" w:sz="8" w:color="auto"/>
            </w:tcBorders>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19"/>
                <w:szCs w:val="19"/>
                <w:color w:val="auto"/>
              </w:rPr>
            </w:pPr>
          </w:p>
        </w:tc>
        <w:tc>
          <w:tcPr>
            <w:tcW w:w="1000" w:type="dxa"/>
            <w:vAlign w:val="bottom"/>
            <w:tcBorders>
              <w:bottom w:val="single" w:sz="8" w:color="auto"/>
            </w:tcBorders>
            <w:shd w:val="clear" w:color="auto" w:fill="CCFFFF"/>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FF"/>
          </w:tcPr>
          <w:p>
            <w:pPr>
              <w:spacing w:after="0"/>
              <w:rPr>
                <w:sz w:val="19"/>
                <w:szCs w:val="19"/>
                <w:color w:val="auto"/>
              </w:rPr>
            </w:pPr>
          </w:p>
        </w:tc>
        <w:tc>
          <w:tcPr>
            <w:tcW w:w="100" w:type="dxa"/>
            <w:vAlign w:val="bottom"/>
            <w:tcBorders>
              <w:bottom w:val="single" w:sz="8" w:color="auto"/>
            </w:tcBorders>
            <w:shd w:val="clear" w:color="auto" w:fill="CCFFFF"/>
          </w:tcPr>
          <w:p>
            <w:pPr>
              <w:spacing w:after="0"/>
              <w:rPr>
                <w:sz w:val="19"/>
                <w:szCs w:val="19"/>
                <w:color w:val="auto"/>
              </w:rPr>
            </w:pPr>
          </w:p>
        </w:tc>
        <w:tc>
          <w:tcPr>
            <w:tcW w:w="740" w:type="dxa"/>
            <w:vAlign w:val="bottom"/>
            <w:tcBorders>
              <w:bottom w:val="single" w:sz="8" w:color="auto"/>
            </w:tcBorders>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FFFF"/>
          </w:tcPr>
          <w:p>
            <w:pPr>
              <w:spacing w:after="0"/>
              <w:rPr>
                <w:sz w:val="19"/>
                <w:szCs w:val="19"/>
                <w:color w:val="auto"/>
              </w:rPr>
            </w:pPr>
          </w:p>
        </w:tc>
        <w:tc>
          <w:tcPr>
            <w:tcW w:w="1020" w:type="dxa"/>
            <w:vAlign w:val="bottom"/>
            <w:tcBorders>
              <w:bottom w:val="single" w:sz="8" w:color="auto"/>
            </w:tcBorders>
            <w:shd w:val="clear" w:color="auto" w:fill="CCFFFF"/>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FF"/>
          </w:tcPr>
          <w:p>
            <w:pPr>
              <w:spacing w:after="0"/>
              <w:rPr>
                <w:sz w:val="19"/>
                <w:szCs w:val="19"/>
                <w:color w:val="auto"/>
              </w:rPr>
            </w:pPr>
          </w:p>
        </w:tc>
        <w:tc>
          <w:tcPr>
            <w:tcW w:w="600" w:type="dxa"/>
            <w:vAlign w:val="bottom"/>
            <w:tcBorders>
              <w:bottom w:val="single" w:sz="8" w:color="auto"/>
            </w:tcBorders>
            <w:shd w:val="clear" w:color="auto" w:fill="CCFFFF"/>
          </w:tcPr>
          <w:p>
            <w:pPr>
              <w:spacing w:after="0"/>
              <w:rPr>
                <w:sz w:val="19"/>
                <w:szCs w:val="19"/>
                <w:color w:val="auto"/>
              </w:rPr>
            </w:pPr>
          </w:p>
        </w:tc>
        <w:tc>
          <w:tcPr>
            <w:tcW w:w="180" w:type="dxa"/>
            <w:vAlign w:val="bottom"/>
            <w:tcBorders>
              <w:bottom w:val="single" w:sz="8" w:color="auto"/>
            </w:tcBorders>
            <w:shd w:val="clear" w:color="auto" w:fill="CCFFFF"/>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FF"/>
          </w:tcPr>
          <w:p>
            <w:pPr>
              <w:spacing w:after="0"/>
              <w:rPr>
                <w:sz w:val="19"/>
                <w:szCs w:val="19"/>
                <w:color w:val="auto"/>
              </w:rPr>
            </w:pPr>
          </w:p>
        </w:tc>
        <w:tc>
          <w:tcPr>
            <w:tcW w:w="100" w:type="dxa"/>
            <w:vAlign w:val="bottom"/>
            <w:tcBorders>
              <w:bottom w:val="single" w:sz="8" w:color="auto"/>
            </w:tcBorders>
            <w:shd w:val="clear" w:color="auto" w:fill="CCFFFF"/>
          </w:tcPr>
          <w:p>
            <w:pPr>
              <w:spacing w:after="0"/>
              <w:rPr>
                <w:sz w:val="19"/>
                <w:szCs w:val="19"/>
                <w:color w:val="auto"/>
              </w:rPr>
            </w:pPr>
          </w:p>
        </w:tc>
        <w:tc>
          <w:tcPr>
            <w:tcW w:w="720" w:type="dxa"/>
            <w:vAlign w:val="bottom"/>
            <w:tcBorders>
              <w:bottom w:val="single" w:sz="8" w:color="auto"/>
            </w:tcBorders>
            <w:shd w:val="clear" w:color="auto" w:fill="CCFFFF"/>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c>
          <w:tcPr>
            <w:tcW w:w="7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shd w:val="clear" w:color="auto" w:fill="CCFFFF"/>
          </w:tcPr>
          <w:p>
            <w:pPr>
              <w:spacing w:after="0"/>
              <w:rPr>
                <w:sz w:val="19"/>
                <w:szCs w:val="19"/>
                <w:color w:val="auto"/>
              </w:rPr>
            </w:pPr>
          </w:p>
        </w:tc>
        <w:tc>
          <w:tcPr>
            <w:tcW w:w="140" w:type="dxa"/>
            <w:vAlign w:val="bottom"/>
            <w:tcBorders>
              <w:bottom w:val="single" w:sz="8" w:color="auto"/>
            </w:tcBorders>
            <w:shd w:val="clear" w:color="auto" w:fill="CCFFFF"/>
          </w:tcPr>
          <w:p>
            <w:pPr>
              <w:spacing w:after="0"/>
              <w:rPr>
                <w:sz w:val="19"/>
                <w:szCs w:val="19"/>
                <w:color w:val="auto"/>
              </w:rPr>
            </w:pPr>
          </w:p>
        </w:tc>
        <w:tc>
          <w:tcPr>
            <w:tcW w:w="80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(15,042)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4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September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30, 2020</w:t>
            </w:r>
          </w:p>
        </w:tc>
        <w:tc>
          <w:tcPr>
            <w:tcW w:w="11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w w:val="97"/>
              </w:rPr>
              <w:t>37,761,435</w:t>
            </w:r>
          </w:p>
        </w:tc>
        <w:tc>
          <w:tcPr>
            <w:tcW w:w="80" w:type="dxa"/>
            <w:vAlign w:val="bottom"/>
          </w:tcPr>
          <w:p>
            <w:pPr>
              <w:spacing w:after="0"/>
              <w:rPr>
                <w:sz w:val="20"/>
                <w:szCs w:val="20"/>
                <w:color w:val="auto"/>
              </w:rPr>
            </w:pPr>
          </w:p>
        </w:tc>
        <w:tc>
          <w:tcPr>
            <w:tcW w:w="600" w:type="dxa"/>
            <w:vAlign w:val="bottom"/>
          </w:tcPr>
          <w:p>
            <w:pPr>
              <w:jc w:val="right"/>
              <w:ind w:right="416"/>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w w:val="89"/>
              </w:rPr>
              <w:t>310,450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(42,808)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b w:val="1"/>
                <w:bCs w:val="1"/>
                <w:color w:val="auto"/>
              </w:rPr>
              <w:t>267,642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1180" w:type="dxa"/>
            <w:vAlign w:val="bottom"/>
            <w:gridSpan w:val="2"/>
          </w:tcPr>
          <w:p>
            <w:pPr>
              <w:jc w:val="center"/>
              <w:ind w:left="618"/>
              <w:spacing w:after="0"/>
              <w:rPr>
                <w:sz w:val="20"/>
                <w:szCs w:val="20"/>
                <w:color w:val="auto"/>
              </w:rPr>
            </w:pPr>
            <w:r>
              <w:rPr>
                <w:rFonts w:ascii="Arial" w:cs="Arial" w:eastAsia="Arial" w:hAnsi="Arial"/>
                <w:sz w:val="13"/>
                <w:szCs w:val="13"/>
                <w:b w:val="1"/>
                <w:bCs w:val="1"/>
                <w:color w:val="auto"/>
                <w:w w:val="92"/>
              </w:rPr>
              <w:t>Series A</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left="517"/>
              <w:spacing w:after="0"/>
              <w:rPr>
                <w:sz w:val="20"/>
                <w:szCs w:val="20"/>
                <w:color w:val="auto"/>
              </w:rPr>
            </w:pPr>
            <w:r>
              <w:rPr>
                <w:rFonts w:ascii="Arial" w:cs="Arial" w:eastAsia="Arial" w:hAnsi="Arial"/>
                <w:sz w:val="13"/>
                <w:szCs w:val="13"/>
                <w:b w:val="1"/>
                <w:bCs w:val="1"/>
                <w:color w:val="auto"/>
                <w:w w:val="92"/>
              </w:rPr>
              <w:t>Series B</w:t>
            </w: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136"/>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2280" w:type="dxa"/>
            <w:vAlign w:val="bottom"/>
          </w:tcPr>
          <w:p>
            <w:pPr>
              <w:spacing w:after="0"/>
              <w:rPr>
                <w:sz w:val="12"/>
                <w:szCs w:val="12"/>
                <w:color w:val="auto"/>
              </w:rPr>
            </w:pPr>
          </w:p>
        </w:tc>
        <w:tc>
          <w:tcPr>
            <w:tcW w:w="1300" w:type="dxa"/>
            <w:vAlign w:val="bottom"/>
            <w:gridSpan w:val="3"/>
          </w:tcPr>
          <w:p>
            <w:pPr>
              <w:jc w:val="center"/>
              <w:ind w:left="498"/>
              <w:spacing w:after="0"/>
              <w:rPr>
                <w:sz w:val="20"/>
                <w:szCs w:val="20"/>
                <w:color w:val="auto"/>
              </w:rPr>
            </w:pPr>
            <w:r>
              <w:rPr>
                <w:rFonts w:ascii="Arial" w:cs="Arial" w:eastAsia="Arial" w:hAnsi="Arial"/>
                <w:sz w:val="13"/>
                <w:szCs w:val="13"/>
                <w:b w:val="1"/>
                <w:bCs w:val="1"/>
                <w:color w:val="auto"/>
                <w:w w:val="95"/>
              </w:rPr>
              <w:t>Convertible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w w:val="95"/>
              </w:rPr>
              <w:t>Convertible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Stockholders'</w:t>
            </w:r>
          </w:p>
        </w:tc>
      </w:tr>
      <w:tr>
        <w:trPr>
          <w:trHeight w:val="161"/>
        </w:trPr>
        <w:tc>
          <w:tcPr>
            <w:tcW w:w="2280" w:type="dxa"/>
            <w:vAlign w:val="bottom"/>
          </w:tcPr>
          <w:p>
            <w:pPr>
              <w:spacing w:after="0"/>
              <w:rPr>
                <w:sz w:val="14"/>
                <w:szCs w:val="14"/>
                <w:color w:val="auto"/>
              </w:rPr>
            </w:pPr>
          </w:p>
        </w:tc>
        <w:tc>
          <w:tcPr>
            <w:tcW w:w="200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3"/>
                <w:szCs w:val="13"/>
                <w:b w:val="1"/>
                <w:bCs w:val="1"/>
                <w:color w:val="auto"/>
                <w:w w:val="94"/>
              </w:rPr>
              <w:t>Preferred Stock</w:t>
            </w:r>
          </w:p>
        </w:tc>
        <w:tc>
          <w:tcPr>
            <w:tcW w:w="100" w:type="dxa"/>
            <w:vAlign w:val="bottom"/>
          </w:tcPr>
          <w:p>
            <w:pPr>
              <w:spacing w:after="0"/>
              <w:rPr>
                <w:sz w:val="14"/>
                <w:szCs w:val="14"/>
                <w:color w:val="auto"/>
              </w:rPr>
            </w:pPr>
          </w:p>
        </w:tc>
        <w:tc>
          <w:tcPr>
            <w:tcW w:w="192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3"/>
                <w:szCs w:val="13"/>
                <w:b w:val="1"/>
                <w:bCs w:val="1"/>
                <w:color w:val="auto"/>
                <w:w w:val="94"/>
              </w:rPr>
              <w:t>Preferred Stock</w:t>
            </w:r>
          </w:p>
        </w:tc>
        <w:tc>
          <w:tcPr>
            <w:tcW w:w="120" w:type="dxa"/>
            <w:vAlign w:val="bottom"/>
            <w:tcBorders>
              <w:right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4"/>
                <w:szCs w:val="14"/>
                <w:color w:val="auto"/>
              </w:rPr>
            </w:pPr>
          </w:p>
        </w:tc>
        <w:tc>
          <w:tcPr>
            <w:tcW w:w="760" w:type="dxa"/>
            <w:vAlign w:val="bottom"/>
          </w:tcPr>
          <w:p>
            <w:pPr>
              <w:jc w:val="center"/>
              <w:ind w:right="136"/>
              <w:spacing w:after="0"/>
              <w:rPr>
                <w:sz w:val="20"/>
                <w:szCs w:val="20"/>
                <w:color w:val="auto"/>
              </w:rPr>
            </w:pPr>
            <w:r>
              <w:rPr>
                <w:rFonts w:ascii="Arial" w:cs="Arial" w:eastAsia="Arial" w:hAnsi="Arial"/>
                <w:sz w:val="13"/>
                <w:szCs w:val="13"/>
                <w:b w:val="1"/>
                <w:bCs w:val="1"/>
                <w:color w:val="auto"/>
                <w:w w:val="95"/>
              </w:rPr>
              <w:t>Equity</w:t>
            </w:r>
          </w:p>
        </w:tc>
      </w:tr>
      <w:tr>
        <w:trPr>
          <w:trHeight w:val="155"/>
        </w:trPr>
        <w:tc>
          <w:tcPr>
            <w:tcW w:w="228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00" w:type="dxa"/>
            <w:vAlign w:val="bottom"/>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760" w:type="dxa"/>
            <w:vAlign w:val="bottom"/>
          </w:tcPr>
          <w:p>
            <w:pPr>
              <w:jc w:val="center"/>
              <w:ind w:right="116"/>
              <w:spacing w:after="0"/>
              <w:rPr>
                <w:sz w:val="20"/>
                <w:szCs w:val="20"/>
                <w:color w:val="auto"/>
              </w:rPr>
            </w:pPr>
            <w:r>
              <w:rPr>
                <w:rFonts w:ascii="Arial" w:cs="Arial" w:eastAsia="Arial" w:hAnsi="Arial"/>
                <w:sz w:val="13"/>
                <w:szCs w:val="13"/>
                <w:b w:val="1"/>
                <w:bCs w:val="1"/>
                <w:color w:val="auto"/>
                <w:w w:val="99"/>
              </w:rPr>
              <w:t>(Deficit)</w:t>
            </w:r>
          </w:p>
        </w:tc>
      </w:tr>
      <w:tr>
        <w:trPr>
          <w:trHeight w:val="205"/>
        </w:trPr>
        <w:tc>
          <w:tcPr>
            <w:tcW w:w="2280" w:type="dxa"/>
            <w:vAlign w:val="bottom"/>
            <w:tcBorders>
              <w:top w:val="single" w:sz="8" w:color="CCFFFF"/>
            </w:tcBorders>
            <w:shd w:val="clear" w:color="auto" w:fill="CCFFFF"/>
          </w:tcPr>
          <w:p>
            <w:pPr>
              <w:spacing w:after="0" w:line="205" w:lineRule="exact"/>
              <w:rPr>
                <w:sz w:val="20"/>
                <w:szCs w:val="20"/>
                <w:color w:val="auto"/>
              </w:rPr>
            </w:pPr>
            <w:r>
              <w:rPr>
                <w:rFonts w:ascii="Arial" w:cs="Arial" w:eastAsia="Arial" w:hAnsi="Arial"/>
                <w:sz w:val="18"/>
                <w:szCs w:val="18"/>
                <w:b w:val="1"/>
                <w:bCs w:val="1"/>
                <w:color w:val="auto"/>
                <w:w w:val="94"/>
              </w:rPr>
              <w:t>Balance as of December 31,</w:t>
            </w:r>
          </w:p>
        </w:tc>
        <w:tc>
          <w:tcPr>
            <w:tcW w:w="1080" w:type="dxa"/>
            <w:vAlign w:val="bottom"/>
            <w:tcBorders>
              <w:top w:val="single" w:sz="8" w:color="auto"/>
            </w:tcBorders>
            <w:shd w:val="clear" w:color="auto" w:fill="CCFFFF"/>
          </w:tcPr>
          <w:p>
            <w:pPr>
              <w:spacing w:after="0"/>
              <w:rPr>
                <w:sz w:val="17"/>
                <w:szCs w:val="17"/>
                <w:color w:val="auto"/>
              </w:rPr>
            </w:pPr>
          </w:p>
        </w:tc>
        <w:tc>
          <w:tcPr>
            <w:tcW w:w="100" w:type="dxa"/>
            <w:vAlign w:val="bottom"/>
            <w:tcBorders>
              <w:top w:val="single" w:sz="8" w:color="CCFFFF"/>
            </w:tcBorders>
            <w:shd w:val="clear" w:color="auto" w:fill="CCFFFF"/>
          </w:tcPr>
          <w:p>
            <w:pPr>
              <w:spacing w:after="0"/>
              <w:rPr>
                <w:sz w:val="17"/>
                <w:szCs w:val="17"/>
                <w:color w:val="auto"/>
              </w:rPr>
            </w:pPr>
          </w:p>
        </w:tc>
        <w:tc>
          <w:tcPr>
            <w:tcW w:w="120" w:type="dxa"/>
            <w:vAlign w:val="bottom"/>
            <w:tcBorders>
              <w:top w:val="single" w:sz="8" w:color="auto"/>
            </w:tcBorders>
            <w:shd w:val="clear" w:color="auto" w:fill="CCFFFF"/>
          </w:tcPr>
          <w:p>
            <w:pPr>
              <w:spacing w:after="0"/>
              <w:rPr>
                <w:sz w:val="17"/>
                <w:szCs w:val="17"/>
                <w:color w:val="auto"/>
              </w:rPr>
            </w:pPr>
          </w:p>
        </w:tc>
        <w:tc>
          <w:tcPr>
            <w:tcW w:w="700" w:type="dxa"/>
            <w:vAlign w:val="bottom"/>
            <w:tcBorders>
              <w:top w:val="single" w:sz="8" w:color="auto"/>
            </w:tcBorders>
            <w:shd w:val="clear" w:color="auto" w:fill="CCFFFF"/>
          </w:tcPr>
          <w:p>
            <w:pPr>
              <w:spacing w:after="0"/>
              <w:rPr>
                <w:sz w:val="17"/>
                <w:szCs w:val="17"/>
                <w:color w:val="auto"/>
              </w:rPr>
            </w:pPr>
          </w:p>
        </w:tc>
        <w:tc>
          <w:tcPr>
            <w:tcW w:w="100" w:type="dxa"/>
            <w:vAlign w:val="bottom"/>
            <w:tcBorders>
              <w:top w:val="single" w:sz="8" w:color="CCFFFF"/>
            </w:tcBorders>
            <w:shd w:val="clear" w:color="auto" w:fill="CCFFFF"/>
          </w:tcPr>
          <w:p>
            <w:pPr>
              <w:spacing w:after="0"/>
              <w:rPr>
                <w:sz w:val="17"/>
                <w:szCs w:val="17"/>
                <w:color w:val="auto"/>
              </w:rPr>
            </w:pPr>
          </w:p>
        </w:tc>
        <w:tc>
          <w:tcPr>
            <w:tcW w:w="1000" w:type="dxa"/>
            <w:vAlign w:val="bottom"/>
            <w:tcBorders>
              <w:top w:val="single" w:sz="8" w:color="auto"/>
            </w:tcBorders>
            <w:shd w:val="clear" w:color="auto" w:fill="CCFFFF"/>
          </w:tcPr>
          <w:p>
            <w:pPr>
              <w:spacing w:after="0"/>
              <w:rPr>
                <w:sz w:val="17"/>
                <w:szCs w:val="17"/>
                <w:color w:val="auto"/>
              </w:rPr>
            </w:pPr>
          </w:p>
        </w:tc>
        <w:tc>
          <w:tcPr>
            <w:tcW w:w="100" w:type="dxa"/>
            <w:vAlign w:val="bottom"/>
            <w:tcBorders>
              <w:top w:val="single" w:sz="8" w:color="CCFFFF"/>
            </w:tcBorders>
            <w:shd w:val="clear" w:color="auto" w:fill="CCFFFF"/>
          </w:tcPr>
          <w:p>
            <w:pPr>
              <w:spacing w:after="0"/>
              <w:rPr>
                <w:sz w:val="17"/>
                <w:szCs w:val="17"/>
                <w:color w:val="auto"/>
              </w:rPr>
            </w:pPr>
          </w:p>
        </w:tc>
        <w:tc>
          <w:tcPr>
            <w:tcW w:w="100" w:type="dxa"/>
            <w:vAlign w:val="bottom"/>
            <w:tcBorders>
              <w:top w:val="single" w:sz="8" w:color="auto"/>
            </w:tcBorders>
            <w:shd w:val="clear" w:color="auto" w:fill="CCFFFF"/>
          </w:tcPr>
          <w:p>
            <w:pPr>
              <w:spacing w:after="0"/>
              <w:rPr>
                <w:sz w:val="17"/>
                <w:szCs w:val="17"/>
                <w:color w:val="auto"/>
              </w:rPr>
            </w:pPr>
          </w:p>
        </w:tc>
        <w:tc>
          <w:tcPr>
            <w:tcW w:w="720" w:type="dxa"/>
            <w:vAlign w:val="bottom"/>
            <w:tcBorders>
              <w:top w:val="single" w:sz="8" w:color="auto"/>
            </w:tcBorders>
            <w:shd w:val="clear" w:color="auto" w:fill="CCFFFF"/>
          </w:tcPr>
          <w:p>
            <w:pPr>
              <w:spacing w:after="0"/>
              <w:rPr>
                <w:sz w:val="17"/>
                <w:szCs w:val="17"/>
                <w:color w:val="auto"/>
              </w:rPr>
            </w:pPr>
          </w:p>
        </w:tc>
        <w:tc>
          <w:tcPr>
            <w:tcW w:w="120" w:type="dxa"/>
            <w:vAlign w:val="bottom"/>
            <w:tcBorders>
              <w:top w:val="single" w:sz="8" w:color="CCFFFF"/>
              <w:right w:val="single" w:sz="8" w:color="auto"/>
            </w:tcBorders>
            <w:shd w:val="clear" w:color="auto" w:fill="CCFFFF"/>
          </w:tcPr>
          <w:p>
            <w:pPr>
              <w:spacing w:after="0"/>
              <w:rPr>
                <w:sz w:val="17"/>
                <w:szCs w:val="17"/>
                <w:color w:val="auto"/>
              </w:rPr>
            </w:pPr>
          </w:p>
        </w:tc>
        <w:tc>
          <w:tcPr>
            <w:tcW w:w="1020" w:type="dxa"/>
            <w:vAlign w:val="bottom"/>
            <w:tcBorders>
              <w:top w:val="single" w:sz="8" w:color="auto"/>
            </w:tcBorders>
            <w:shd w:val="clear" w:color="auto" w:fill="CCFFFF"/>
          </w:tcPr>
          <w:p>
            <w:pPr>
              <w:spacing w:after="0"/>
              <w:rPr>
                <w:sz w:val="17"/>
                <w:szCs w:val="17"/>
                <w:color w:val="auto"/>
              </w:rPr>
            </w:pPr>
          </w:p>
        </w:tc>
        <w:tc>
          <w:tcPr>
            <w:tcW w:w="100" w:type="dxa"/>
            <w:vAlign w:val="bottom"/>
            <w:tcBorders>
              <w:top w:val="single" w:sz="8" w:color="CCFFFF"/>
            </w:tcBorders>
            <w:shd w:val="clear" w:color="auto" w:fill="CCFFFF"/>
          </w:tcPr>
          <w:p>
            <w:pPr>
              <w:spacing w:after="0"/>
              <w:rPr>
                <w:sz w:val="17"/>
                <w:szCs w:val="17"/>
                <w:color w:val="auto"/>
              </w:rPr>
            </w:pPr>
          </w:p>
        </w:tc>
        <w:tc>
          <w:tcPr>
            <w:tcW w:w="580" w:type="dxa"/>
            <w:vAlign w:val="bottom"/>
            <w:tcBorders>
              <w:top w:val="single" w:sz="8" w:color="auto"/>
            </w:tcBorders>
            <w:shd w:val="clear" w:color="auto" w:fill="CCFFFF"/>
          </w:tcPr>
          <w:p>
            <w:pPr>
              <w:spacing w:after="0"/>
              <w:rPr>
                <w:sz w:val="17"/>
                <w:szCs w:val="17"/>
                <w:color w:val="auto"/>
              </w:rPr>
            </w:pPr>
          </w:p>
        </w:tc>
        <w:tc>
          <w:tcPr>
            <w:tcW w:w="200" w:type="dxa"/>
            <w:vAlign w:val="bottom"/>
            <w:tcBorders>
              <w:top w:val="single" w:sz="8" w:color="auto"/>
            </w:tcBorders>
            <w:shd w:val="clear" w:color="auto" w:fill="CCFFFF"/>
          </w:tcPr>
          <w:p>
            <w:pPr>
              <w:spacing w:after="0"/>
              <w:rPr>
                <w:sz w:val="17"/>
                <w:szCs w:val="17"/>
                <w:color w:val="auto"/>
              </w:rPr>
            </w:pPr>
          </w:p>
        </w:tc>
        <w:tc>
          <w:tcPr>
            <w:tcW w:w="120" w:type="dxa"/>
            <w:vAlign w:val="bottom"/>
            <w:tcBorders>
              <w:top w:val="single" w:sz="8" w:color="CCFFFF"/>
            </w:tcBorders>
            <w:shd w:val="clear" w:color="auto" w:fill="CCFFFF"/>
          </w:tcPr>
          <w:p>
            <w:pPr>
              <w:spacing w:after="0"/>
              <w:rPr>
                <w:sz w:val="17"/>
                <w:szCs w:val="17"/>
                <w:color w:val="auto"/>
              </w:rPr>
            </w:pPr>
          </w:p>
        </w:tc>
        <w:tc>
          <w:tcPr>
            <w:tcW w:w="100" w:type="dxa"/>
            <w:vAlign w:val="bottom"/>
            <w:tcBorders>
              <w:top w:val="single" w:sz="8" w:color="auto"/>
            </w:tcBorders>
            <w:shd w:val="clear" w:color="auto" w:fill="CCFFFF"/>
          </w:tcPr>
          <w:p>
            <w:pPr>
              <w:spacing w:after="0"/>
              <w:rPr>
                <w:sz w:val="17"/>
                <w:szCs w:val="17"/>
                <w:color w:val="auto"/>
              </w:rPr>
            </w:pPr>
          </w:p>
        </w:tc>
        <w:tc>
          <w:tcPr>
            <w:tcW w:w="720" w:type="dxa"/>
            <w:vAlign w:val="bottom"/>
            <w:tcBorders>
              <w:top w:val="single" w:sz="8" w:color="auto"/>
            </w:tcBorders>
            <w:shd w:val="clear" w:color="auto" w:fill="CCFFFF"/>
          </w:tcPr>
          <w:p>
            <w:pPr>
              <w:spacing w:after="0"/>
              <w:rPr>
                <w:sz w:val="17"/>
                <w:szCs w:val="17"/>
                <w:color w:val="auto"/>
              </w:rPr>
            </w:pPr>
          </w:p>
        </w:tc>
        <w:tc>
          <w:tcPr>
            <w:tcW w:w="120" w:type="dxa"/>
            <w:vAlign w:val="bottom"/>
            <w:tcBorders>
              <w:top w:val="single" w:sz="8" w:color="CCFFFF"/>
            </w:tcBorders>
            <w:shd w:val="clear" w:color="auto" w:fill="CCFFFF"/>
          </w:tcPr>
          <w:p>
            <w:pPr>
              <w:spacing w:after="0"/>
              <w:rPr>
                <w:sz w:val="17"/>
                <w:szCs w:val="17"/>
                <w:color w:val="auto"/>
              </w:rPr>
            </w:pPr>
          </w:p>
        </w:tc>
        <w:tc>
          <w:tcPr>
            <w:tcW w:w="140" w:type="dxa"/>
            <w:vAlign w:val="bottom"/>
            <w:tcBorders>
              <w:top w:val="single" w:sz="8" w:color="auto"/>
            </w:tcBorders>
            <w:shd w:val="clear" w:color="auto" w:fill="CCFFFF"/>
          </w:tcPr>
          <w:p>
            <w:pPr>
              <w:spacing w:after="0"/>
              <w:rPr>
                <w:sz w:val="17"/>
                <w:szCs w:val="17"/>
                <w:color w:val="auto"/>
              </w:rPr>
            </w:pPr>
          </w:p>
        </w:tc>
        <w:tc>
          <w:tcPr>
            <w:tcW w:w="740" w:type="dxa"/>
            <w:vAlign w:val="bottom"/>
            <w:tcBorders>
              <w:top w:val="single" w:sz="8" w:color="auto"/>
            </w:tcBorders>
            <w:shd w:val="clear" w:color="auto" w:fill="CCFFFF"/>
          </w:tcPr>
          <w:p>
            <w:pPr>
              <w:spacing w:after="0"/>
              <w:rPr>
                <w:sz w:val="17"/>
                <w:szCs w:val="17"/>
                <w:color w:val="auto"/>
              </w:rPr>
            </w:pPr>
          </w:p>
        </w:tc>
        <w:tc>
          <w:tcPr>
            <w:tcW w:w="100" w:type="dxa"/>
            <w:vAlign w:val="bottom"/>
            <w:tcBorders>
              <w:top w:val="single" w:sz="8" w:color="CCFFFF"/>
            </w:tcBorders>
            <w:shd w:val="clear" w:color="auto" w:fill="CCFFFF"/>
          </w:tcPr>
          <w:p>
            <w:pPr>
              <w:spacing w:after="0"/>
              <w:rPr>
                <w:sz w:val="17"/>
                <w:szCs w:val="17"/>
                <w:color w:val="auto"/>
              </w:rPr>
            </w:pPr>
          </w:p>
        </w:tc>
        <w:tc>
          <w:tcPr>
            <w:tcW w:w="120" w:type="dxa"/>
            <w:vAlign w:val="bottom"/>
            <w:tcBorders>
              <w:top w:val="single" w:sz="8" w:color="auto"/>
            </w:tcBorders>
            <w:shd w:val="clear" w:color="auto" w:fill="CCFFFF"/>
          </w:tcPr>
          <w:p>
            <w:pPr>
              <w:spacing w:after="0"/>
              <w:rPr>
                <w:sz w:val="17"/>
                <w:szCs w:val="17"/>
                <w:color w:val="auto"/>
              </w:rPr>
            </w:pPr>
          </w:p>
        </w:tc>
        <w:tc>
          <w:tcPr>
            <w:tcW w:w="760" w:type="dxa"/>
            <w:vAlign w:val="bottom"/>
            <w:tcBorders>
              <w:top w:val="single" w:sz="8" w:color="auto"/>
            </w:tcBorders>
            <w:shd w:val="clear" w:color="auto" w:fill="CCFFFF"/>
          </w:tcPr>
          <w:p>
            <w:pPr>
              <w:spacing w:after="0"/>
              <w:rPr>
                <w:sz w:val="17"/>
                <w:szCs w:val="17"/>
                <w:color w:val="auto"/>
              </w:rPr>
            </w:pPr>
          </w:p>
        </w:tc>
      </w:tr>
      <w:tr>
        <w:trPr>
          <w:trHeight w:val="234"/>
        </w:trPr>
        <w:tc>
          <w:tcPr>
            <w:tcW w:w="22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2019</w:t>
            </w:r>
          </w:p>
        </w:tc>
        <w:tc>
          <w:tcPr>
            <w:tcW w:w="1080" w:type="dxa"/>
            <w:vAlign w:val="bottom"/>
            <w:shd w:val="clear" w:color="auto" w:fill="CCFFFF"/>
          </w:tcPr>
          <w:p>
            <w:pPr>
              <w:jc w:val="right"/>
              <w:ind w:right="3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FFFF"/>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FFFF"/>
          </w:tcPr>
          <w:p>
            <w:pPr>
              <w:spacing w:after="0"/>
              <w:rPr>
                <w:sz w:val="20"/>
                <w:szCs w:val="20"/>
                <w:color w:val="auto"/>
              </w:rPr>
            </w:pPr>
          </w:p>
        </w:tc>
        <w:tc>
          <w:tcPr>
            <w:tcW w:w="1000" w:type="dxa"/>
            <w:vAlign w:val="bottom"/>
            <w:shd w:val="clear" w:color="auto" w:fill="CCFFFF"/>
          </w:tcPr>
          <w:p>
            <w:pPr>
              <w:jc w:val="right"/>
              <w:ind w:right="37"/>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FFFF"/>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right w:val="single" w:sz="8" w:color="auto"/>
            </w:tcBorders>
            <w:shd w:val="clear" w:color="auto" w:fill="CCFFFF"/>
          </w:tcPr>
          <w:p>
            <w:pPr>
              <w:spacing w:after="0"/>
              <w:rPr>
                <w:sz w:val="20"/>
                <w:szCs w:val="20"/>
                <w:color w:val="auto"/>
              </w:rPr>
            </w:pPr>
          </w:p>
        </w:tc>
        <w:tc>
          <w:tcPr>
            <w:tcW w:w="1020" w:type="dxa"/>
            <w:vAlign w:val="bottom"/>
            <w:shd w:val="clear" w:color="auto" w:fill="CCFFFF"/>
          </w:tcPr>
          <w:p>
            <w:pPr>
              <w:jc w:val="right"/>
              <w:ind w:right="34"/>
              <w:spacing w:after="0"/>
              <w:rPr>
                <w:sz w:val="20"/>
                <w:szCs w:val="20"/>
                <w:color w:val="auto"/>
              </w:rPr>
            </w:pPr>
            <w:r>
              <w:rPr>
                <w:rFonts w:ascii="Arial" w:cs="Arial" w:eastAsia="Arial" w:hAnsi="Arial"/>
                <w:sz w:val="18"/>
                <w:szCs w:val="18"/>
                <w:b w:val="1"/>
                <w:bCs w:val="1"/>
                <w:color w:val="auto"/>
                <w:w w:val="97"/>
              </w:rPr>
              <w:t>10,894,999</w:t>
            </w:r>
          </w:p>
        </w:tc>
        <w:tc>
          <w:tcPr>
            <w:tcW w:w="100" w:type="dxa"/>
            <w:vAlign w:val="bottom"/>
            <w:shd w:val="clear" w:color="auto" w:fill="CCFFFF"/>
          </w:tcPr>
          <w:p>
            <w:pPr>
              <w:spacing w:after="0"/>
              <w:rPr>
                <w:sz w:val="20"/>
                <w:szCs w:val="20"/>
                <w:color w:val="auto"/>
              </w:rPr>
            </w:pPr>
          </w:p>
        </w:tc>
        <w:tc>
          <w:tcPr>
            <w:tcW w:w="580" w:type="dxa"/>
            <w:vAlign w:val="bottom"/>
            <w:shd w:val="clear" w:color="auto" w:fill="CCFFFF"/>
          </w:tcPr>
          <w:p>
            <w:pPr>
              <w:jc w:val="right"/>
              <w:ind w:right="398"/>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FF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FFFF"/>
          </w:tcPr>
          <w:p>
            <w:pPr>
              <w:spacing w:after="0"/>
              <w:rPr>
                <w:sz w:val="20"/>
                <w:szCs w:val="20"/>
                <w:color w:val="auto"/>
              </w:rPr>
            </w:pPr>
          </w:p>
        </w:tc>
        <w:tc>
          <w:tcPr>
            <w:tcW w:w="100" w:type="dxa"/>
            <w:vAlign w:val="bottom"/>
            <w:shd w:val="clear" w:color="auto" w:fill="CCFF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FFFF"/>
          </w:tcPr>
          <w:p>
            <w:pPr>
              <w:jc w:val="right"/>
              <w:ind w:right="34"/>
              <w:spacing w:after="0"/>
              <w:rPr>
                <w:sz w:val="20"/>
                <w:szCs w:val="20"/>
                <w:color w:val="auto"/>
              </w:rPr>
            </w:pPr>
            <w:r>
              <w:rPr>
                <w:rFonts w:ascii="Arial" w:cs="Arial" w:eastAsia="Arial" w:hAnsi="Arial"/>
                <w:sz w:val="18"/>
                <w:szCs w:val="18"/>
                <w:b w:val="1"/>
                <w:bCs w:val="1"/>
                <w:color w:val="auto"/>
              </w:rPr>
              <w:t>980</w:t>
            </w:r>
          </w:p>
        </w:tc>
        <w:tc>
          <w:tcPr>
            <w:tcW w:w="12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(1,115)</w:t>
            </w: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(135)</w:t>
            </w: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Issuance of Series A</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net of offering costs of $605</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and issuance of preferred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 tranche liability of</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$1,050</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28,345</w:t>
            </w:r>
          </w:p>
        </w:tc>
        <w:tc>
          <w:tcPr>
            <w:tcW w:w="10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15"/>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Issuance of Series B</w:t>
            </w:r>
          </w:p>
        </w:tc>
        <w:tc>
          <w:tcPr>
            <w:tcW w:w="10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216"/>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230"/>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net of offering costs of $185</w:t>
            </w:r>
          </w:p>
        </w:tc>
        <w:tc>
          <w:tcPr>
            <w:tcW w:w="10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7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000" w:type="dxa"/>
            <w:vAlign w:val="bottom"/>
            <w:shd w:val="clear" w:color="auto" w:fill="CCFFFF"/>
          </w:tcPr>
          <w:p>
            <w:pPr>
              <w:jc w:val="right"/>
              <w:ind w:right="37"/>
              <w:spacing w:after="0"/>
              <w:rPr>
                <w:sz w:val="20"/>
                <w:szCs w:val="20"/>
                <w:color w:val="auto"/>
              </w:rPr>
            </w:pPr>
            <w:r>
              <w:rPr>
                <w:rFonts w:ascii="Arial" w:cs="Arial" w:eastAsia="Arial" w:hAnsi="Arial"/>
                <w:sz w:val="18"/>
                <w:szCs w:val="18"/>
                <w:color w:val="auto"/>
              </w:rPr>
              <w:t>5,647,048</w:t>
            </w: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95,815</w:t>
            </w:r>
          </w:p>
        </w:tc>
        <w:tc>
          <w:tcPr>
            <w:tcW w:w="120" w:type="dxa"/>
            <w:vAlign w:val="bottom"/>
            <w:tcBorders>
              <w:right w:val="single" w:sz="8" w:color="auto"/>
            </w:tcBorders>
            <w:shd w:val="clear" w:color="auto" w:fill="CCFFFF"/>
          </w:tcPr>
          <w:p>
            <w:pPr>
              <w:spacing w:after="0"/>
              <w:rPr>
                <w:sz w:val="20"/>
                <w:szCs w:val="20"/>
                <w:color w:val="auto"/>
              </w:rPr>
            </w:pPr>
          </w:p>
        </w:tc>
        <w:tc>
          <w:tcPr>
            <w:tcW w:w="1020" w:type="dxa"/>
            <w:vAlign w:val="bottom"/>
            <w:shd w:val="clear" w:color="auto" w:fill="CCFF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20"/>
                <w:szCs w:val="20"/>
                <w:color w:val="auto"/>
              </w:rPr>
            </w:pPr>
          </w:p>
        </w:tc>
        <w:tc>
          <w:tcPr>
            <w:tcW w:w="580" w:type="dxa"/>
            <w:vAlign w:val="bottom"/>
            <w:shd w:val="clear" w:color="auto" w:fill="CCFFFF"/>
          </w:tcPr>
          <w:p>
            <w:pPr>
              <w:spacing w:after="0"/>
              <w:rPr>
                <w:sz w:val="20"/>
                <w:szCs w:val="20"/>
                <w:color w:val="auto"/>
              </w:rPr>
            </w:pPr>
          </w:p>
        </w:tc>
        <w:tc>
          <w:tcPr>
            <w:tcW w:w="20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p>
        </w:tc>
        <w:tc>
          <w:tcPr>
            <w:tcW w:w="74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760" w:type="dxa"/>
            <w:vAlign w:val="bottom"/>
            <w:shd w:val="clear" w:color="auto" w:fill="CCFFFF"/>
          </w:tcPr>
          <w:p>
            <w:pPr>
              <w:jc w:val="right"/>
              <w:ind w:right="16"/>
              <w:spacing w:after="0"/>
              <w:rPr>
                <w:sz w:val="20"/>
                <w:szCs w:val="20"/>
                <w:color w:val="auto"/>
              </w:rPr>
            </w:pPr>
            <w:r>
              <w:rPr>
                <w:rFonts w:ascii="Arial" w:cs="Arial" w:eastAsia="Arial" w:hAnsi="Arial"/>
                <w:sz w:val="18"/>
                <w:szCs w:val="18"/>
                <w:color w:val="auto"/>
              </w:rPr>
              <w:t>-</w:t>
            </w: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Reclassification of preferred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 tranche liability upon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issuance of Series A</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milestone shares</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18,080</w:t>
            </w:r>
          </w:p>
        </w:tc>
        <w:tc>
          <w:tcPr>
            <w:tcW w:w="10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15"/>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Conversion of Series A and</w:t>
            </w:r>
          </w:p>
        </w:tc>
        <w:tc>
          <w:tcPr>
            <w:tcW w:w="10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216"/>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Series B convertible</w:t>
            </w:r>
          </w:p>
        </w:tc>
        <w:tc>
          <w:tcPr>
            <w:tcW w:w="10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216"/>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preferred stock to common</w:t>
            </w:r>
          </w:p>
        </w:tc>
        <w:tc>
          <w:tcPr>
            <w:tcW w:w="10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230"/>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w w:val="99"/>
              </w:rPr>
              <w:t>(10,000,000)</w:t>
            </w: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700" w:type="dxa"/>
            <w:vAlign w:val="bottom"/>
            <w:shd w:val="clear" w:color="auto" w:fill="CCFFFF"/>
          </w:tcPr>
          <w:p>
            <w:pPr>
              <w:jc w:val="right"/>
              <w:spacing w:after="0"/>
              <w:rPr>
                <w:sz w:val="20"/>
                <w:szCs w:val="20"/>
                <w:color w:val="auto"/>
              </w:rPr>
            </w:pPr>
            <w:r>
              <w:rPr>
                <w:rFonts w:ascii="Arial" w:cs="Arial" w:eastAsia="Arial" w:hAnsi="Arial"/>
                <w:sz w:val="18"/>
                <w:szCs w:val="18"/>
                <w:color w:val="auto"/>
                <w:w w:val="95"/>
              </w:rPr>
              <w:t>(46,425)</w:t>
            </w:r>
          </w:p>
        </w:tc>
        <w:tc>
          <w:tcPr>
            <w:tcW w:w="100" w:type="dxa"/>
            <w:vAlign w:val="bottom"/>
            <w:shd w:val="clear" w:color="auto" w:fill="CCFFFF"/>
          </w:tcPr>
          <w:p>
            <w:pPr>
              <w:spacing w:after="0"/>
              <w:rPr>
                <w:sz w:val="20"/>
                <w:szCs w:val="20"/>
                <w:color w:val="auto"/>
              </w:rPr>
            </w:pPr>
          </w:p>
        </w:tc>
        <w:tc>
          <w:tcPr>
            <w:tcW w:w="100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(5,647,048)</w:t>
            </w: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spacing w:after="0"/>
              <w:rPr>
                <w:sz w:val="20"/>
                <w:szCs w:val="20"/>
                <w:color w:val="auto"/>
              </w:rPr>
            </w:pPr>
            <w:r>
              <w:rPr>
                <w:rFonts w:ascii="Arial" w:cs="Arial" w:eastAsia="Arial" w:hAnsi="Arial"/>
                <w:sz w:val="18"/>
                <w:szCs w:val="18"/>
                <w:color w:val="auto"/>
                <w:w w:val="98"/>
              </w:rPr>
              <w:t>(95,815)</w:t>
            </w:r>
          </w:p>
        </w:tc>
        <w:tc>
          <w:tcPr>
            <w:tcW w:w="120" w:type="dxa"/>
            <w:vAlign w:val="bottom"/>
            <w:tcBorders>
              <w:right w:val="single" w:sz="8" w:color="auto"/>
            </w:tcBorders>
            <w:shd w:val="clear" w:color="auto" w:fill="CCFFFF"/>
          </w:tcPr>
          <w:p>
            <w:pPr>
              <w:spacing w:after="0"/>
              <w:rPr>
                <w:sz w:val="20"/>
                <w:szCs w:val="20"/>
                <w:color w:val="auto"/>
              </w:rPr>
            </w:pPr>
          </w:p>
        </w:tc>
        <w:tc>
          <w:tcPr>
            <w:tcW w:w="1020" w:type="dxa"/>
            <w:vAlign w:val="bottom"/>
            <w:shd w:val="clear" w:color="auto" w:fill="CCFFFF"/>
          </w:tcPr>
          <w:p>
            <w:pPr>
              <w:jc w:val="right"/>
              <w:ind w:right="34"/>
              <w:spacing w:after="0"/>
              <w:rPr>
                <w:sz w:val="20"/>
                <w:szCs w:val="20"/>
                <w:color w:val="auto"/>
              </w:rPr>
            </w:pPr>
            <w:r>
              <w:rPr>
                <w:rFonts w:ascii="Arial" w:cs="Arial" w:eastAsia="Arial" w:hAnsi="Arial"/>
                <w:sz w:val="18"/>
                <w:szCs w:val="18"/>
                <w:color w:val="auto"/>
                <w:w w:val="97"/>
              </w:rPr>
              <w:t>17,047,378</w:t>
            </w:r>
          </w:p>
        </w:tc>
        <w:tc>
          <w:tcPr>
            <w:tcW w:w="100" w:type="dxa"/>
            <w:vAlign w:val="bottom"/>
            <w:shd w:val="clear" w:color="auto" w:fill="CCFFFF"/>
          </w:tcPr>
          <w:p>
            <w:pPr>
              <w:spacing w:after="0"/>
              <w:rPr>
                <w:sz w:val="20"/>
                <w:szCs w:val="20"/>
                <w:color w:val="auto"/>
              </w:rPr>
            </w:pPr>
          </w:p>
        </w:tc>
        <w:tc>
          <w:tcPr>
            <w:tcW w:w="580" w:type="dxa"/>
            <w:vAlign w:val="bottom"/>
            <w:shd w:val="clear" w:color="auto" w:fill="CCFFFF"/>
          </w:tcPr>
          <w:p>
            <w:pPr>
              <w:spacing w:after="0"/>
              <w:rPr>
                <w:sz w:val="20"/>
                <w:szCs w:val="20"/>
                <w:color w:val="auto"/>
              </w:rPr>
            </w:pPr>
          </w:p>
        </w:tc>
        <w:tc>
          <w:tcPr>
            <w:tcW w:w="20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ind w:right="34"/>
              <w:spacing w:after="0"/>
              <w:rPr>
                <w:sz w:val="20"/>
                <w:szCs w:val="20"/>
                <w:color w:val="auto"/>
              </w:rPr>
            </w:pPr>
            <w:r>
              <w:rPr>
                <w:rFonts w:ascii="Arial" w:cs="Arial" w:eastAsia="Arial" w:hAnsi="Arial"/>
                <w:sz w:val="18"/>
                <w:szCs w:val="18"/>
                <w:color w:val="auto"/>
                <w:w w:val="89"/>
              </w:rPr>
              <w:t>142,240</w:t>
            </w:r>
          </w:p>
        </w:tc>
        <w:tc>
          <w:tcPr>
            <w:tcW w:w="12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p>
        </w:tc>
        <w:tc>
          <w:tcPr>
            <w:tcW w:w="74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760" w:type="dxa"/>
            <w:vAlign w:val="bottom"/>
            <w:shd w:val="clear" w:color="auto" w:fill="CCFFFF"/>
          </w:tcPr>
          <w:p>
            <w:pPr>
              <w:jc w:val="right"/>
              <w:ind w:right="16"/>
              <w:spacing w:after="0"/>
              <w:rPr>
                <w:sz w:val="20"/>
                <w:szCs w:val="20"/>
                <w:color w:val="auto"/>
              </w:rPr>
            </w:pPr>
            <w:r>
              <w:rPr>
                <w:rFonts w:ascii="Arial" w:cs="Arial" w:eastAsia="Arial" w:hAnsi="Arial"/>
                <w:sz w:val="18"/>
                <w:szCs w:val="18"/>
                <w:color w:val="auto"/>
                <w:w w:val="98"/>
              </w:rPr>
              <w:t>142,240</w:t>
            </w: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Issuance of shares of</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common stock in initial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public offering, net of</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offering costs and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underwriting discounts and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commissions of $15,111</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9,050,000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89"/>
              </w:rPr>
              <w:t>165,889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165,889</w:t>
            </w:r>
          </w:p>
        </w:tc>
      </w:tr>
      <w:tr>
        <w:trPr>
          <w:trHeight w:val="215"/>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Issuance of restricted stock</w:t>
            </w:r>
          </w:p>
        </w:tc>
        <w:tc>
          <w:tcPr>
            <w:tcW w:w="10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tcBorders>
              <w:right w:val="single" w:sz="8" w:color="auto"/>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230"/>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award</w:t>
            </w:r>
          </w:p>
        </w:tc>
        <w:tc>
          <w:tcPr>
            <w:tcW w:w="108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7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0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spacing w:after="0"/>
              <w:rPr>
                <w:sz w:val="20"/>
                <w:szCs w:val="20"/>
                <w:color w:val="auto"/>
              </w:rPr>
            </w:pPr>
          </w:p>
        </w:tc>
        <w:tc>
          <w:tcPr>
            <w:tcW w:w="120" w:type="dxa"/>
            <w:vAlign w:val="bottom"/>
            <w:tcBorders>
              <w:right w:val="single" w:sz="8" w:color="auto"/>
            </w:tcBorders>
            <w:shd w:val="clear" w:color="auto" w:fill="CCFFFF"/>
          </w:tcPr>
          <w:p>
            <w:pPr>
              <w:spacing w:after="0"/>
              <w:rPr>
                <w:sz w:val="20"/>
                <w:szCs w:val="20"/>
                <w:color w:val="auto"/>
              </w:rPr>
            </w:pPr>
          </w:p>
        </w:tc>
        <w:tc>
          <w:tcPr>
            <w:tcW w:w="1020" w:type="dxa"/>
            <w:vAlign w:val="bottom"/>
            <w:shd w:val="clear" w:color="auto" w:fill="CCFFFF"/>
          </w:tcPr>
          <w:p>
            <w:pPr>
              <w:jc w:val="right"/>
              <w:ind w:right="34"/>
              <w:spacing w:after="0"/>
              <w:rPr>
                <w:sz w:val="20"/>
                <w:szCs w:val="20"/>
                <w:color w:val="auto"/>
              </w:rPr>
            </w:pPr>
            <w:r>
              <w:rPr>
                <w:rFonts w:ascii="Arial" w:cs="Arial" w:eastAsia="Arial" w:hAnsi="Arial"/>
                <w:sz w:val="18"/>
                <w:szCs w:val="18"/>
                <w:color w:val="auto"/>
              </w:rPr>
              <w:t>769,058</w:t>
            </w:r>
          </w:p>
        </w:tc>
        <w:tc>
          <w:tcPr>
            <w:tcW w:w="100" w:type="dxa"/>
            <w:vAlign w:val="bottom"/>
            <w:shd w:val="clear" w:color="auto" w:fill="CCFFFF"/>
          </w:tcPr>
          <w:p>
            <w:pPr>
              <w:spacing w:after="0"/>
              <w:rPr>
                <w:sz w:val="20"/>
                <w:szCs w:val="20"/>
                <w:color w:val="auto"/>
              </w:rPr>
            </w:pPr>
          </w:p>
        </w:tc>
        <w:tc>
          <w:tcPr>
            <w:tcW w:w="580" w:type="dxa"/>
            <w:vAlign w:val="bottom"/>
            <w:shd w:val="clear" w:color="auto" w:fill="CCFFFF"/>
          </w:tcPr>
          <w:p>
            <w:pPr>
              <w:spacing w:after="0"/>
              <w:rPr>
                <w:sz w:val="20"/>
                <w:szCs w:val="20"/>
                <w:color w:val="auto"/>
              </w:rPr>
            </w:pPr>
          </w:p>
        </w:tc>
        <w:tc>
          <w:tcPr>
            <w:tcW w:w="20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p>
        </w:tc>
        <w:tc>
          <w:tcPr>
            <w:tcW w:w="74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120" w:type="dxa"/>
            <w:vAlign w:val="bottom"/>
            <w:shd w:val="clear" w:color="auto" w:fill="CCFFFF"/>
          </w:tcPr>
          <w:p>
            <w:pPr>
              <w:spacing w:after="0"/>
              <w:rPr>
                <w:sz w:val="20"/>
                <w:szCs w:val="20"/>
                <w:color w:val="auto"/>
              </w:rPr>
            </w:pPr>
          </w:p>
        </w:tc>
        <w:tc>
          <w:tcPr>
            <w:tcW w:w="760" w:type="dxa"/>
            <w:vAlign w:val="bottom"/>
            <w:shd w:val="clear" w:color="auto" w:fill="CCFFFF"/>
          </w:tcPr>
          <w:p>
            <w:pPr>
              <w:spacing w:after="0"/>
              <w:rPr>
                <w:sz w:val="20"/>
                <w:szCs w:val="20"/>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1,341</w:t>
            </w:r>
          </w:p>
        </w:tc>
      </w:tr>
      <w:tr>
        <w:trPr>
          <w:trHeight w:val="230"/>
        </w:trPr>
        <w:tc>
          <w:tcPr>
            <w:tcW w:w="2280" w:type="dxa"/>
            <w:vAlign w:val="bottom"/>
            <w:shd w:val="clear" w:color="auto" w:fill="CCFF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auto"/>
            </w:tcBorders>
            <w:shd w:val="clear" w:color="auto" w:fill="CCFF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19"/>
                <w:szCs w:val="19"/>
                <w:color w:val="auto"/>
              </w:rPr>
            </w:pPr>
          </w:p>
        </w:tc>
        <w:tc>
          <w:tcPr>
            <w:tcW w:w="120" w:type="dxa"/>
            <w:vAlign w:val="bottom"/>
            <w:tcBorders>
              <w:bottom w:val="single" w:sz="8" w:color="auto"/>
            </w:tcBorders>
            <w:shd w:val="clear" w:color="auto" w:fill="CCFFFF"/>
          </w:tcPr>
          <w:p>
            <w:pPr>
              <w:spacing w:after="0"/>
              <w:rPr>
                <w:sz w:val="19"/>
                <w:szCs w:val="19"/>
                <w:color w:val="auto"/>
              </w:rPr>
            </w:pPr>
          </w:p>
        </w:tc>
        <w:tc>
          <w:tcPr>
            <w:tcW w:w="700" w:type="dxa"/>
            <w:vAlign w:val="bottom"/>
            <w:tcBorders>
              <w:bottom w:val="single" w:sz="8" w:color="auto"/>
            </w:tcBorders>
            <w:shd w:val="clear" w:color="auto" w:fill="CCFF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19"/>
                <w:szCs w:val="19"/>
                <w:color w:val="auto"/>
              </w:rPr>
            </w:pPr>
          </w:p>
        </w:tc>
        <w:tc>
          <w:tcPr>
            <w:tcW w:w="1000" w:type="dxa"/>
            <w:vAlign w:val="bottom"/>
            <w:tcBorders>
              <w:bottom w:val="single" w:sz="8" w:color="auto"/>
            </w:tcBorders>
            <w:shd w:val="clear" w:color="auto" w:fill="CCFF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19"/>
                <w:szCs w:val="19"/>
                <w:color w:val="auto"/>
              </w:rPr>
            </w:pPr>
          </w:p>
        </w:tc>
        <w:tc>
          <w:tcPr>
            <w:tcW w:w="100" w:type="dxa"/>
            <w:vAlign w:val="bottom"/>
            <w:tcBorders>
              <w:bottom w:val="single" w:sz="8" w:color="auto"/>
            </w:tcBorders>
            <w:shd w:val="clear" w:color="auto" w:fill="CCFFFF"/>
          </w:tcPr>
          <w:p>
            <w:pPr>
              <w:spacing w:after="0"/>
              <w:rPr>
                <w:sz w:val="19"/>
                <w:szCs w:val="19"/>
                <w:color w:val="auto"/>
              </w:rPr>
            </w:pPr>
          </w:p>
        </w:tc>
        <w:tc>
          <w:tcPr>
            <w:tcW w:w="720" w:type="dxa"/>
            <w:vAlign w:val="bottom"/>
            <w:tcBorders>
              <w:bottom w:val="single" w:sz="8" w:color="auto"/>
            </w:tcBorders>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FFFF"/>
          </w:tcPr>
          <w:p>
            <w:pPr>
              <w:spacing w:after="0"/>
              <w:rPr>
                <w:sz w:val="19"/>
                <w:szCs w:val="19"/>
                <w:color w:val="auto"/>
              </w:rPr>
            </w:pPr>
          </w:p>
        </w:tc>
        <w:tc>
          <w:tcPr>
            <w:tcW w:w="1020" w:type="dxa"/>
            <w:vAlign w:val="bottom"/>
            <w:tcBorders>
              <w:bottom w:val="single" w:sz="8" w:color="auto"/>
            </w:tcBorders>
            <w:shd w:val="clear" w:color="auto" w:fill="CCFF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19"/>
                <w:szCs w:val="19"/>
                <w:color w:val="auto"/>
              </w:rPr>
            </w:pPr>
          </w:p>
        </w:tc>
        <w:tc>
          <w:tcPr>
            <w:tcW w:w="580" w:type="dxa"/>
            <w:vAlign w:val="bottom"/>
            <w:tcBorders>
              <w:bottom w:val="single" w:sz="8" w:color="auto"/>
            </w:tcBorders>
            <w:shd w:val="clear" w:color="auto" w:fill="CCFFFF"/>
          </w:tcPr>
          <w:p>
            <w:pPr>
              <w:spacing w:after="0"/>
              <w:rPr>
                <w:sz w:val="19"/>
                <w:szCs w:val="19"/>
                <w:color w:val="auto"/>
              </w:rPr>
            </w:pPr>
          </w:p>
        </w:tc>
        <w:tc>
          <w:tcPr>
            <w:tcW w:w="200" w:type="dxa"/>
            <w:vAlign w:val="bottom"/>
            <w:tcBorders>
              <w:bottom w:val="single" w:sz="8" w:color="auto"/>
            </w:tcBorders>
            <w:shd w:val="clear" w:color="auto" w:fill="CCFF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FF"/>
          </w:tcPr>
          <w:p>
            <w:pPr>
              <w:spacing w:after="0"/>
              <w:rPr>
                <w:sz w:val="19"/>
                <w:szCs w:val="19"/>
                <w:color w:val="auto"/>
              </w:rPr>
            </w:pPr>
          </w:p>
        </w:tc>
        <w:tc>
          <w:tcPr>
            <w:tcW w:w="100" w:type="dxa"/>
            <w:vAlign w:val="bottom"/>
            <w:tcBorders>
              <w:bottom w:val="single" w:sz="8" w:color="auto"/>
            </w:tcBorders>
            <w:shd w:val="clear" w:color="auto" w:fill="CCFFFF"/>
          </w:tcPr>
          <w:p>
            <w:pPr>
              <w:spacing w:after="0"/>
              <w:rPr>
                <w:sz w:val="19"/>
                <w:szCs w:val="19"/>
                <w:color w:val="auto"/>
              </w:rPr>
            </w:pPr>
          </w:p>
        </w:tc>
        <w:tc>
          <w:tcPr>
            <w:tcW w:w="720" w:type="dxa"/>
            <w:vAlign w:val="bottom"/>
            <w:tcBorders>
              <w:bottom w:val="single" w:sz="8" w:color="auto"/>
            </w:tcBorders>
            <w:shd w:val="clear" w:color="auto" w:fill="CCFF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FF"/>
          </w:tcPr>
          <w:p>
            <w:pPr>
              <w:spacing w:after="0"/>
              <w:rPr>
                <w:sz w:val="19"/>
                <w:szCs w:val="19"/>
                <w:color w:val="auto"/>
              </w:rPr>
            </w:pPr>
          </w:p>
        </w:tc>
        <w:tc>
          <w:tcPr>
            <w:tcW w:w="140" w:type="dxa"/>
            <w:vAlign w:val="bottom"/>
            <w:tcBorders>
              <w:bottom w:val="single" w:sz="8" w:color="auto"/>
            </w:tcBorders>
            <w:shd w:val="clear" w:color="auto" w:fill="CCFFFF"/>
          </w:tcPr>
          <w:p>
            <w:pPr>
              <w:spacing w:after="0"/>
              <w:rPr>
                <w:sz w:val="19"/>
                <w:szCs w:val="19"/>
                <w:color w:val="auto"/>
              </w:rPr>
            </w:pPr>
          </w:p>
        </w:tc>
        <w:tc>
          <w:tcPr>
            <w:tcW w:w="7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w w:val="98"/>
              </w:rPr>
              <w:t>(41,693)</w:t>
            </w:r>
          </w:p>
        </w:tc>
        <w:tc>
          <w:tcPr>
            <w:tcW w:w="100" w:type="dxa"/>
            <w:vAlign w:val="bottom"/>
            <w:shd w:val="clear" w:color="auto" w:fill="CCFFFF"/>
          </w:tcPr>
          <w:p>
            <w:pPr>
              <w:spacing w:after="0"/>
              <w:rPr>
                <w:sz w:val="19"/>
                <w:szCs w:val="19"/>
                <w:color w:val="auto"/>
              </w:rPr>
            </w:pPr>
          </w:p>
        </w:tc>
        <w:tc>
          <w:tcPr>
            <w:tcW w:w="120" w:type="dxa"/>
            <w:vAlign w:val="bottom"/>
            <w:tcBorders>
              <w:bottom w:val="single" w:sz="8" w:color="auto"/>
            </w:tcBorders>
            <w:shd w:val="clear" w:color="auto" w:fill="CCFFFF"/>
          </w:tcPr>
          <w:p>
            <w:pPr>
              <w:spacing w:after="0"/>
              <w:rPr>
                <w:sz w:val="19"/>
                <w:szCs w:val="19"/>
                <w:color w:val="auto"/>
              </w:rPr>
            </w:pPr>
          </w:p>
        </w:tc>
        <w:tc>
          <w:tcPr>
            <w:tcW w:w="7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(41,693)</w:t>
            </w:r>
          </w:p>
        </w:tc>
      </w:tr>
      <w:tr>
        <w:trPr>
          <w:trHeight w:val="205"/>
        </w:trPr>
        <w:tc>
          <w:tcPr>
            <w:tcW w:w="2280" w:type="dxa"/>
            <w:vAlign w:val="bottom"/>
          </w:tcPr>
          <w:p>
            <w:pPr>
              <w:spacing w:after="0" w:line="205" w:lineRule="exact"/>
              <w:rPr>
                <w:sz w:val="20"/>
                <w:szCs w:val="20"/>
                <w:color w:val="auto"/>
              </w:rPr>
            </w:pPr>
            <w:r>
              <w:rPr>
                <w:rFonts w:ascii="Arial" w:cs="Arial" w:eastAsia="Arial" w:hAnsi="Arial"/>
                <w:sz w:val="18"/>
                <w:szCs w:val="18"/>
                <w:b w:val="1"/>
                <w:bCs w:val="1"/>
                <w:color w:val="auto"/>
                <w:w w:val="92"/>
              </w:rPr>
              <w:t>Balance as of September 30,</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080" w:type="dxa"/>
            <w:vAlign w:val="bottom"/>
          </w:tcPr>
          <w:p>
            <w:pPr>
              <w:jc w:val="right"/>
              <w:ind w:right="3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right w:val="single" w:sz="8" w:color="auto"/>
            </w:tcBorders>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w w:val="97"/>
              </w:rPr>
              <w:t>37,761,435</w:t>
            </w:r>
          </w:p>
        </w:tc>
        <w:tc>
          <w:tcPr>
            <w:tcW w:w="100" w:type="dxa"/>
            <w:vAlign w:val="bottom"/>
          </w:tcPr>
          <w:p>
            <w:pPr>
              <w:spacing w:after="0"/>
              <w:rPr>
                <w:sz w:val="20"/>
                <w:szCs w:val="20"/>
                <w:color w:val="auto"/>
              </w:rPr>
            </w:pPr>
          </w:p>
        </w:tc>
        <w:tc>
          <w:tcPr>
            <w:tcW w:w="580" w:type="dxa"/>
            <w:vAlign w:val="bottom"/>
          </w:tcPr>
          <w:p>
            <w:pPr>
              <w:jc w:val="right"/>
              <w:ind w:right="398"/>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w w:val="89"/>
              </w:rPr>
              <w:t>310,450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8"/>
              </w:rPr>
              <w:t>(42,808)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w w:val="98"/>
              </w:rPr>
              <w:t>267,642</w:t>
            </w:r>
          </w:p>
        </w:tc>
      </w:tr>
      <w:tr>
        <w:trPr>
          <w:trHeight w:val="20"/>
        </w:trPr>
        <w:tc>
          <w:tcPr>
            <w:tcW w:w="2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20, 2019 (date of inception) to September 30, 2019</w:t>
      </w:r>
    </w:p>
    <w:p>
      <w:pPr>
        <w:sectPr>
          <w:pgSz w:w="11900" w:h="16838" w:orient="portrait"/>
          <w:cols w:equalWidth="0" w:num="1">
            <w:col w:w="11240"/>
          </w:cols>
          <w:pgMar w:left="320" w:top="121" w:right="339" w:bottom="144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3"/>
          </w:tcPr>
          <w:p>
            <w:pPr>
              <w:jc w:val="center"/>
              <w:ind w:right="398"/>
              <w:spacing w:after="0"/>
              <w:rPr>
                <w:sz w:val="20"/>
                <w:szCs w:val="20"/>
                <w:color w:val="auto"/>
              </w:rPr>
            </w:pPr>
            <w:r>
              <w:rPr>
                <w:rFonts w:ascii="Arial" w:cs="Arial" w:eastAsia="Arial" w:hAnsi="Arial"/>
                <w:sz w:val="13"/>
                <w:szCs w:val="13"/>
                <w:b w:val="1"/>
                <w:bCs w:val="1"/>
                <w:color w:val="auto"/>
                <w:w w:val="88"/>
              </w:rPr>
              <w:t>Series 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55"/>
              <w:spacing w:after="0"/>
              <w:rPr>
                <w:sz w:val="20"/>
                <w:szCs w:val="20"/>
                <w:color w:val="auto"/>
              </w:rPr>
            </w:pPr>
            <w:r>
              <w:rPr>
                <w:rFonts w:ascii="Arial" w:cs="Arial" w:eastAsia="Arial" w:hAnsi="Arial"/>
                <w:sz w:val="13"/>
                <w:szCs w:val="13"/>
                <w:b w:val="1"/>
                <w:bCs w:val="1"/>
                <w:color w:val="auto"/>
                <w:w w:val="88"/>
              </w:rPr>
              <w:t>Series B</w:t>
            </w:r>
          </w:p>
        </w:tc>
      </w:tr>
      <w:tr>
        <w:trPr>
          <w:trHeight w:val="148"/>
        </w:trPr>
        <w:tc>
          <w:tcPr>
            <w:tcW w:w="2700" w:type="dxa"/>
            <w:vAlign w:val="bottom"/>
          </w:tcPr>
          <w:p>
            <w:pPr>
              <w:spacing w:after="0"/>
              <w:rPr>
                <w:sz w:val="12"/>
                <w:szCs w:val="12"/>
                <w:color w:val="auto"/>
              </w:rPr>
            </w:pPr>
          </w:p>
        </w:tc>
        <w:tc>
          <w:tcPr>
            <w:tcW w:w="1540" w:type="dxa"/>
            <w:vAlign w:val="bottom"/>
            <w:gridSpan w:val="4"/>
          </w:tcPr>
          <w:p>
            <w:pPr>
              <w:jc w:val="center"/>
              <w:ind w:left="33"/>
              <w:spacing w:after="0"/>
              <w:rPr>
                <w:sz w:val="20"/>
                <w:szCs w:val="20"/>
                <w:color w:val="auto"/>
              </w:rPr>
            </w:pPr>
            <w:r>
              <w:rPr>
                <w:rFonts w:ascii="Arial" w:cs="Arial" w:eastAsia="Arial" w:hAnsi="Arial"/>
                <w:sz w:val="13"/>
                <w:szCs w:val="13"/>
                <w:b w:val="1"/>
                <w:bCs w:val="1"/>
                <w:color w:val="auto"/>
                <w:w w:val="95"/>
              </w:rPr>
              <w:t>Convertible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35"/>
              <w:spacing w:after="0"/>
              <w:rPr>
                <w:sz w:val="20"/>
                <w:szCs w:val="20"/>
                <w:color w:val="auto"/>
              </w:rPr>
            </w:pPr>
            <w:r>
              <w:rPr>
                <w:rFonts w:ascii="Arial" w:cs="Arial" w:eastAsia="Arial" w:hAnsi="Arial"/>
                <w:sz w:val="13"/>
                <w:szCs w:val="13"/>
                <w:b w:val="1"/>
                <w:bCs w:val="1"/>
                <w:color w:val="auto"/>
                <w:w w:val="95"/>
              </w:rPr>
              <w:t>Convertible</w:t>
            </w:r>
          </w:p>
        </w:tc>
      </w:tr>
      <w:tr>
        <w:trPr>
          <w:trHeight w:val="161"/>
        </w:trPr>
        <w:tc>
          <w:tcPr>
            <w:tcW w:w="2700" w:type="dxa"/>
            <w:vAlign w:val="bottom"/>
          </w:tcPr>
          <w:p>
            <w:pPr>
              <w:spacing w:after="0"/>
              <w:rPr>
                <w:sz w:val="14"/>
                <w:szCs w:val="14"/>
                <w:color w:val="auto"/>
              </w:rPr>
            </w:pPr>
          </w:p>
        </w:tc>
        <w:tc>
          <w:tcPr>
            <w:tcW w:w="1540" w:type="dxa"/>
            <w:vAlign w:val="bottom"/>
            <w:tcBorders>
              <w:bottom w:val="single" w:sz="8" w:color="auto"/>
            </w:tcBorders>
            <w:gridSpan w:val="4"/>
          </w:tcPr>
          <w:p>
            <w:pPr>
              <w:jc w:val="center"/>
              <w:ind w:left="13"/>
              <w:spacing w:after="0"/>
              <w:rPr>
                <w:sz w:val="20"/>
                <w:szCs w:val="20"/>
                <w:color w:val="auto"/>
              </w:rPr>
            </w:pPr>
            <w:r>
              <w:rPr>
                <w:rFonts w:ascii="Arial" w:cs="Arial" w:eastAsia="Arial" w:hAnsi="Arial"/>
                <w:sz w:val="13"/>
                <w:szCs w:val="13"/>
                <w:b w:val="1"/>
                <w:bCs w:val="1"/>
                <w:color w:val="auto"/>
                <w:w w:val="92"/>
              </w:rPr>
              <w:t>Preferred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3"/>
                <w:szCs w:val="13"/>
                <w:b w:val="1"/>
                <w:bCs w:val="1"/>
                <w:color w:val="auto"/>
                <w:w w:val="94"/>
              </w:rPr>
              <w:t>Preferred Stock</w:t>
            </w:r>
          </w:p>
        </w:tc>
      </w:tr>
      <w:tr>
        <w:trPr>
          <w:trHeight w:val="155"/>
        </w:trPr>
        <w:tc>
          <w:tcPr>
            <w:tcW w:w="27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b w:val="1"/>
                <w:bCs w:val="1"/>
                <w:color w:val="auto"/>
                <w:w w:val="87"/>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720" w:type="dxa"/>
            <w:vAlign w:val="bottom"/>
          </w:tcPr>
          <w:p>
            <w:pPr>
              <w:jc w:val="right"/>
              <w:ind w:right="155"/>
              <w:spacing w:after="0"/>
              <w:rPr>
                <w:sz w:val="20"/>
                <w:szCs w:val="20"/>
                <w:color w:val="auto"/>
              </w:rPr>
            </w:pPr>
            <w:r>
              <w:rPr>
                <w:rFonts w:ascii="Arial" w:cs="Arial" w:eastAsia="Arial" w:hAnsi="Arial"/>
                <w:sz w:val="13"/>
                <w:szCs w:val="13"/>
                <w:b w:val="1"/>
                <w:bCs w:val="1"/>
                <w:color w:val="auto"/>
                <w:w w:val="93"/>
              </w:rPr>
              <w:t>Amount</w:t>
            </w:r>
          </w:p>
        </w:tc>
      </w:tr>
      <w:tr>
        <w:trPr>
          <w:trHeight w:val="205"/>
        </w:trPr>
        <w:tc>
          <w:tcPr>
            <w:tcW w:w="2700" w:type="dxa"/>
            <w:vAlign w:val="bottom"/>
          </w:tcPr>
          <w:p>
            <w:pPr>
              <w:spacing w:after="0" w:line="205" w:lineRule="exact"/>
              <w:rPr>
                <w:sz w:val="20"/>
                <w:szCs w:val="20"/>
                <w:color w:val="auto"/>
              </w:rPr>
            </w:pPr>
            <w:r>
              <w:rPr>
                <w:rFonts w:ascii="Arial" w:cs="Arial" w:eastAsia="Arial" w:hAnsi="Arial"/>
                <w:sz w:val="18"/>
                <w:szCs w:val="18"/>
                <w:b w:val="1"/>
                <w:bCs w:val="1"/>
                <w:color w:val="auto"/>
                <w:w w:val="92"/>
              </w:rPr>
              <w:t>Balance as of September 20, 2019</w:t>
            </w: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(date of inception)</w:t>
            </w:r>
          </w:p>
        </w:tc>
        <w:tc>
          <w:tcPr>
            <w:tcW w:w="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ind w:right="438"/>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Issuance of Founders Shares</w:t>
            </w:r>
          </w:p>
        </w:tc>
        <w:tc>
          <w:tcPr>
            <w:tcW w:w="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2700" w:type="dxa"/>
            <w:vAlign w:val="bottom"/>
          </w:tcPr>
          <w:p>
            <w:pPr>
              <w:spacing w:after="0"/>
              <w:rPr>
                <w:sz w:val="20"/>
                <w:szCs w:val="20"/>
                <w:color w:val="auto"/>
              </w:rPr>
            </w:pPr>
            <w:r>
              <w:rPr>
                <w:rFonts w:ascii="Arial" w:cs="Arial" w:eastAsia="Arial" w:hAnsi="Arial"/>
                <w:sz w:val="18"/>
                <w:szCs w:val="18"/>
                <w:b w:val="1"/>
                <w:bCs w:val="1"/>
                <w:color w:val="auto"/>
                <w:w w:val="92"/>
              </w:rPr>
              <w:t>Balance as of September 30, 2019</w:t>
            </w:r>
          </w:p>
        </w:tc>
        <w:tc>
          <w:tcPr>
            <w:tcW w:w="5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r>
      <w:tr>
        <w:trPr>
          <w:trHeight w:val="20"/>
        </w:trPr>
        <w:tc>
          <w:tcPr>
            <w:tcW w:w="2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58"/>
              <w:spacing w:after="0"/>
              <w:rPr>
                <w:sz w:val="20"/>
                <w:szCs w:val="20"/>
                <w:color w:val="auto"/>
              </w:rPr>
            </w:pPr>
            <w:r>
              <w:rPr>
                <w:rFonts w:ascii="Arial" w:cs="Arial" w:eastAsia="Arial" w:hAnsi="Arial"/>
                <w:sz w:val="13"/>
                <w:szCs w:val="13"/>
                <w:b w:val="1"/>
                <w:bCs w:val="1"/>
                <w:color w:val="auto"/>
              </w:rPr>
              <w:t>Total</w:t>
            </w:r>
          </w:p>
        </w:tc>
      </w:tr>
      <w:tr>
        <w:trPr>
          <w:trHeight w:val="161"/>
        </w:trPr>
        <w:tc>
          <w:tcPr>
            <w:tcW w:w="1700" w:type="dxa"/>
            <w:vAlign w:val="bottom"/>
            <w:tcBorders>
              <w:left w:val="single" w:sz="8" w:color="auto"/>
              <w:bottom w:val="single" w:sz="8" w:color="auto"/>
            </w:tcBorders>
            <w:gridSpan w:val="3"/>
          </w:tcPr>
          <w:p>
            <w:pPr>
              <w:jc w:val="right"/>
              <w:ind w:right="278"/>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r>
      <w:tr>
        <w:trPr>
          <w:trHeight w:val="155"/>
        </w:trPr>
        <w:tc>
          <w:tcPr>
            <w:tcW w:w="960" w:type="dxa"/>
            <w:vAlign w:val="bottom"/>
            <w:tcBorders>
              <w:left w:val="single" w:sz="8" w:color="auto"/>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Deficit</w:t>
            </w:r>
          </w:p>
        </w:tc>
      </w:tr>
      <w:tr>
        <w:trPr>
          <w:trHeight w:val="438"/>
        </w:trPr>
        <w:tc>
          <w:tcPr>
            <w:tcW w:w="960" w:type="dxa"/>
            <w:vAlign w:val="bottom"/>
            <w:tcBorders>
              <w:left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tcPr>
          <w:p>
            <w:pPr>
              <w:jc w:val="right"/>
              <w:ind w:right="458"/>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29"/>
        </w:trPr>
        <w:tc>
          <w:tcPr>
            <w:tcW w:w="960" w:type="dxa"/>
            <w:vAlign w:val="bottom"/>
            <w:tcBorders>
              <w:left w:val="single" w:sz="8" w:color="auto"/>
            </w:tcBorders>
          </w:tcPr>
          <w:p>
            <w:pPr>
              <w:jc w:val="right"/>
              <w:ind w:right="38"/>
              <w:spacing w:after="0"/>
              <w:rPr>
                <w:sz w:val="20"/>
                <w:szCs w:val="20"/>
                <w:color w:val="auto"/>
              </w:rPr>
            </w:pPr>
            <w:r>
              <w:rPr>
                <w:rFonts w:ascii="Arial" w:cs="Arial" w:eastAsia="Arial" w:hAnsi="Arial"/>
                <w:sz w:val="18"/>
                <w:szCs w:val="18"/>
                <w:color w:val="auto"/>
              </w:rPr>
              <w:t>8,715,999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30"/>
        </w:trPr>
        <w:tc>
          <w:tcPr>
            <w:tcW w:w="960" w:type="dxa"/>
            <w:vAlign w:val="bottom"/>
            <w:tcBorders>
              <w:left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960" w:type="dxa"/>
            <w:vAlign w:val="bottom"/>
            <w:tcBorders>
              <w:left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8,715,999</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8"/>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6320" w:space="100"/>
            <w:col w:w="4820"/>
          </w:cols>
          <w:pgMar w:left="320" w:top="121"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74"/>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w:t>
            </w:r>
          </w:p>
        </w:tc>
        <w:tc>
          <w:tcPr>
            <w:tcW w:w="220" w:type="dxa"/>
            <w:vAlign w:val="bottom"/>
          </w:tcPr>
          <w:p>
            <w:pPr>
              <w:spacing w:after="0"/>
              <w:rPr>
                <w:sz w:val="12"/>
                <w:szCs w:val="12"/>
                <w:color w:val="auto"/>
              </w:rPr>
            </w:pPr>
          </w:p>
        </w:tc>
        <w:tc>
          <w:tcPr>
            <w:tcW w:w="14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1"/>
              </w:rPr>
              <w:t>September 20,</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220" w:type="dxa"/>
            <w:vAlign w:val="bottom"/>
          </w:tcPr>
          <w:p>
            <w:pPr>
              <w:spacing w:after="0"/>
              <w:rPr>
                <w:sz w:val="12"/>
                <w:szCs w:val="12"/>
                <w:color w:val="auto"/>
              </w:rPr>
            </w:pPr>
          </w:p>
        </w:tc>
        <w:tc>
          <w:tcPr>
            <w:tcW w:w="14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3"/>
              </w:rPr>
              <w:t>2019 (date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4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(41,693)</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17,030</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 license expense</w:t>
            </w:r>
          </w:p>
        </w:tc>
        <w:tc>
          <w:tcPr>
            <w:tcW w:w="22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ind w:left="50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5,403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ind w:left="5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1,579</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FFFF"/>
            </w:tcBorders>
          </w:tcPr>
          <w:p>
            <w:pPr>
              <w:ind w:left="500"/>
              <w:spacing w:after="0"/>
              <w:rPr>
                <w:sz w:val="20"/>
                <w:szCs w:val="20"/>
                <w:color w:val="auto"/>
              </w:rPr>
            </w:pPr>
            <w:r>
              <w:rPr>
                <w:rFonts w:ascii="Arial" w:cs="Arial" w:eastAsia="Arial" w:hAnsi="Arial"/>
                <w:sz w:val="18"/>
                <w:szCs w:val="18"/>
                <w:color w:val="auto"/>
              </w:rPr>
              <w:t>Due to related party</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(10,881)</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research and development license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w w:val="97"/>
              </w:rPr>
              <w:t>Proceeds from issuance of common stock in initial public offering, net of underwriting discounts and</w:t>
            </w: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commission and other offering costs</w:t>
            </w:r>
          </w:p>
        </w:tc>
        <w:tc>
          <w:tcPr>
            <w:tcW w:w="220" w:type="dxa"/>
            <w:vAlign w:val="bottom"/>
            <w:shd w:val="clear" w:color="auto" w:fill="CCFFFF"/>
          </w:tcPr>
          <w:p>
            <w:pPr>
              <w:spacing w:after="0"/>
              <w:rPr>
                <w:sz w:val="20"/>
                <w:szCs w:val="20"/>
                <w:color w:val="auto"/>
              </w:rPr>
            </w:pP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167,162</w:t>
            </w:r>
          </w:p>
        </w:tc>
        <w:tc>
          <w:tcPr>
            <w:tcW w:w="160" w:type="dxa"/>
            <w:vAlign w:val="bottom"/>
            <w:shd w:val="clear" w:color="auto" w:fill="CCFFFF"/>
          </w:tcPr>
          <w:p>
            <w:pPr>
              <w:spacing w:after="0"/>
              <w:rPr>
                <w:sz w:val="20"/>
                <w:szCs w:val="20"/>
                <w:color w:val="auto"/>
              </w:rPr>
            </w:pPr>
          </w:p>
        </w:tc>
        <w:tc>
          <w:tcPr>
            <w:tcW w:w="220" w:type="dxa"/>
            <w:vAlign w:val="bottom"/>
            <w:shd w:val="clear" w:color="auto" w:fill="CCFFFF"/>
          </w:tcPr>
          <w:p>
            <w:pPr>
              <w:spacing w:after="0"/>
              <w:rPr>
                <w:sz w:val="20"/>
                <w:szCs w:val="20"/>
                <w:color w:val="auto"/>
              </w:rPr>
            </w:pP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issuances of Series A convertible preferred stock, net of issuance costs</w:t>
            </w:r>
          </w:p>
        </w:tc>
        <w:tc>
          <w:tcPr>
            <w:tcW w:w="22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29,569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Proceeds from issuance of Series B convertible preferred stock, net of issuance costs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95,815</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notes payable to related party</w:t>
            </w:r>
          </w:p>
        </w:tc>
        <w:tc>
          <w:tcPr>
            <w:tcW w:w="22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1,673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Repayment of notes payable to related party</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292,546</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278,634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Cash at the beginning of the period</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Cash at the end of the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278,634</w:t>
            </w:r>
          </w:p>
        </w:tc>
        <w:tc>
          <w:tcPr>
            <w:tcW w:w="160" w:type="dxa"/>
            <w:vAlign w:val="bottom"/>
            <w:tcBorders>
              <w:bottom w:val="single" w:sz="8" w:color="CCFF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Reclassification of preferred stock tranche liability upon share issuance</w:t>
            </w: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18,080</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Allocation of preferred stock tranche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Conversion of Series A and Series B convertible preferred stock to common stock</w:t>
            </w: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142,240</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research and development license not yet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spacing w:after="0"/>
              <w:rPr>
                <w:sz w:val="20"/>
                <w:szCs w:val="20"/>
                <w:color w:val="auto"/>
              </w:rPr>
            </w:pPr>
            <w:r>
              <w:rPr>
                <w:rFonts w:ascii="Arial" w:cs="Arial" w:eastAsia="Arial" w:hAnsi="Arial"/>
                <w:sz w:val="18"/>
                <w:szCs w:val="18"/>
                <w:color w:val="auto"/>
              </w:rPr>
              <w:t>Issuance costs for issuances of common stock in initial public offering not yet paid</w:t>
            </w: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3"/>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Issuance costs for issuance of Series A convertible preferred stock not yet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21"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184"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as discussed in Note 5. Accordingly, all share and per share amounts for the periods presented in the accompanying condensed consolidated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Equity Incentive Plan (the “Existing Plan”) to 3,845,294.</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On September 23, 2020, the Company’s registration statement on Form S-1 (File No. 333-248559) related to the initial public offering (“IPO”) of its common stock became effective and on September 28, 2020, the IPO closed. Pursuant to the IPO, the Company issued and sold 9,050,000 shares of common stock at a public offering price of $20.00 per share, which included 1,180,434 shares of common stock issued upon the exercise in full of the underwriters’ option to purchase additional shares. The Company received net proceeds of $165.9 million after deducting underwriting discounts and commissions and other offering costs of $2.4 million. The shares began trading on the Nasdaq Global Select Market on September 24, 2020.</w:t>
      </w:r>
    </w:p>
    <w:p>
      <w:pPr>
        <w:spacing w:after="0" w:line="16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On September 28, 2020, in connection with the closing of the IPO, 10,000,000 shares of Series A and 5,647,048 shares of Series B convertible preferred stock automatically converted into an aggregate of 17,047,378 shares of common stock with a conversion ratio of 1.0895 shares of common stock for each share of Series A and Series B convertible preferred stock.</w:t>
      </w:r>
    </w:p>
    <w:p>
      <w:pPr>
        <w:spacing w:after="0" w:line="184"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As a result of the IPO, including the underwriters’ exercise in full of their option to purchase additional shares, and the conversions of the Series A and B convertible preferred stock, the Company’s total number of outstanding shares increased by 26,097,378 immediately following the closing of the IPO.</w:t>
      </w:r>
    </w:p>
    <w:p>
      <w:pPr>
        <w:spacing w:after="0" w:line="184"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Upon the effectiveness of the Company’s registration statement related to the IPO, the Company’s 2020 Stock Incentive Plan (the “New Plan”) and 2020 Employee Stock Purchase Plan became effective. At that time, all shares reserved for issuance under the Existing Plan ceased to be available for issuance under such plan and became available for issuance under the New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20" w:firstLine="749"/>
        <w:spacing w:after="0" w:line="308" w:lineRule="auto"/>
        <w:rPr>
          <w:sz w:val="20"/>
          <w:szCs w:val="20"/>
          <w:color w:val="auto"/>
        </w:rPr>
      </w:pPr>
      <w:r>
        <w:rPr>
          <w:rFonts w:ascii="Arial" w:cs="Arial" w:eastAsia="Arial" w:hAnsi="Arial"/>
          <w:sz w:val="17"/>
          <w:szCs w:val="17"/>
          <w:color w:val="auto"/>
        </w:rPr>
        <w:t>The Company has incurred operating losses since inception, and expects to continue to incur significant operating losses for the foreseeable future and may never become profitable. As of September 30, 2020, the Company had an accumulated deficit of $42.8 million.</w:t>
      </w:r>
    </w:p>
    <w:p>
      <w:pPr>
        <w:spacing w:after="0" w:line="146"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Prior to the closing of the Company’s IPO, 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w:t>
      </w:r>
    </w:p>
    <w:p>
      <w:pPr>
        <w:spacing w:after="0" w:line="165"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Due to the proceeds received from the IPO and the sale of its Series A and Series B convertible preferred stock, management believes that its existing financial resources are sufficient to continue operating activities at least one year past the issuance date of these interim condensed consolidated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140" w:firstLine="749"/>
        <w:spacing w:after="0" w:line="270" w:lineRule="auto"/>
        <w:rPr>
          <w:sz w:val="20"/>
          <w:szCs w:val="20"/>
          <w:color w:val="auto"/>
        </w:rPr>
      </w:pPr>
      <w:r>
        <w:rPr>
          <w:rFonts w:ascii="Arial" w:cs="Arial" w:eastAsia="Arial" w:hAnsi="Arial"/>
          <w:sz w:val="17"/>
          <w:szCs w:val="17"/>
          <w:color w:val="auto"/>
        </w:rPr>
        <w:t>In December 2019, the novel coronavirus (“COVID-19”) emerged and has subsequently spread worldwide. The World Health Organization has declared COVID-19 a global pandemic, resulting in federal, state and local governments and private entities implementing various restrictions, including travel restrictions, restrictions on public gatherings, stay at home orders, and advisories and quarantining people who may have been exposed to the virus. The Company has been actively monitoring COVID-19 and its impact globally. Management believes the financial results for the nine months ended September 30, 2020 were not significantly impacted by COVID-19. In addition, management believes the remote working arrangements and travel restrictions imposed by various governmental jurisdictions have had limited impact on the Company’s ability to maintain internal operations during the nine months ended September 30, 2020.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COVID-19.</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The condensed consolidated financial statements have been prepared in accordance with generally accepted accounting principles in the United States of America (“GAAP”) as determined by the Financial Accounting Standards Board (“FASB”) Accounting Standards Codification (“ASC”) for interim financial information and the instructions to Form 10-Q and Article 10 of Regulation S-X. Accordingly, they do not include all of the information and notes required by GAAP for complete financial statements. In the opinion of management, the condensed consolidated financial statements reflect all adjustments, which include only normal recurring adjustments necessary for the fair statement of the balances and results for the periods presented. Certain information and 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 Accordingly, these condensed consolidated financial statements should be read in conjunction with the audited financial statements and notes thereto for the period from September 20, 2019 (date of inception) through December 31, 2019 included in the Company’s final prospectus dated September 23, 2020 and filed with the Securities and Exchange Commission on September 25, 2020, pursuant to Rule 424(b)(4).</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accompanying interim condensed consolidated financial statements include the accounts of Taysha and its inactive wholly owned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that were incorporated during 2020. All intercompany transactions and balances have been eliminated in consolidation.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These estimates and assumptions are based on current facts, historical experience as well as other pertinent industry and regulatory authority information, including the potential future effects of COVID-19,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as disclosed in the audited financial statements as of December 31, 2019, except as noted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60" w:firstLine="749"/>
        <w:spacing w:after="0" w:line="263" w:lineRule="auto"/>
        <w:rPr>
          <w:sz w:val="20"/>
          <w:szCs w:val="20"/>
          <w:color w:val="auto"/>
        </w:rPr>
      </w:pPr>
      <w:r>
        <w:rPr>
          <w:rFonts w:ascii="Arial" w:cs="Arial" w:eastAsia="Arial" w:hAnsi="Arial"/>
          <w:sz w:val="18"/>
          <w:szCs w:val="18"/>
          <w:color w:val="auto"/>
        </w:rPr>
        <w:t>Cash and cash equivalents consist of funds held in a standard checking account. The Company considers all highly liquid investments with an original maturity of three months or less at the date of purchase to be cash equivalents. As of September 30, 2020, the Company does not have any cash equivalents.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 xml:space="preserve">The Company’s financial assets and liabilities are accounted for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1—Observable inputs, such as quoted prices in active markets for identical assets or liabilities.</w:t>
      </w:r>
    </w:p>
    <w:p>
      <w:pPr>
        <w:spacing w:after="0" w:line="117"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23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The carrying values reported in the Company’s condensed consolidated balance sheet for cash and cash equivalents, accounts payable, and accrued expenses are reasonable estimates of their fair values due to the short-term nature of these items.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right="340" w:firstLine="749"/>
        <w:spacing w:after="0" w:line="286" w:lineRule="auto"/>
        <w:rPr>
          <w:sz w:val="20"/>
          <w:szCs w:val="20"/>
          <w:color w:val="auto"/>
        </w:rPr>
      </w:pPr>
      <w:r>
        <w:rPr>
          <w:rFonts w:ascii="Arial" w:cs="Arial" w:eastAsia="Arial" w:hAnsi="Arial"/>
          <w:sz w:val="17"/>
          <w:szCs w:val="17"/>
          <w:color w:val="auto"/>
        </w:rPr>
        <w:t>Deferred offering costs, consisting of legal, accounting, and filing fees directly relating to the IPO and the Company’s Series A and Series B preferred stock financings, were capitalized and offset against the related proceeds upon the completion of the offerings. Upon completion of the IPO, approximately $2.4 million of deferred offering costs were offset against the IPO proceeds in additional paid-in capital.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consist solely of computer equipment. Depreciation expense is recognized using the straight-line method over its estimated useful life of 3 years.</w:t>
      </w:r>
    </w:p>
    <w:p>
      <w:pPr>
        <w:spacing w:after="0" w:line="170" w:lineRule="exact"/>
        <w:rPr>
          <w:sz w:val="20"/>
          <w:szCs w:val="20"/>
          <w:color w:val="auto"/>
        </w:rPr>
      </w:pPr>
    </w:p>
    <w:p>
      <w:pPr>
        <w:ind w:right="20" w:firstLine="749"/>
        <w:spacing w:after="0" w:line="308" w:lineRule="auto"/>
        <w:rPr>
          <w:sz w:val="20"/>
          <w:szCs w:val="20"/>
          <w:color w:val="auto"/>
        </w:rPr>
      </w:pPr>
      <w:r>
        <w:rPr>
          <w:rFonts w:ascii="Arial" w:cs="Arial" w:eastAsia="Arial" w:hAnsi="Arial"/>
          <w:sz w:val="17"/>
          <w:szCs w:val="17"/>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Company evaluates its long-lived assets, which consist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nine months ended September 30, 2020.</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17"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The Company determined that its obligation to issue, and the Company’s investors’ right to purchase, additional shares of Series A convertible preferred stock pursuant to the milestone closings (see Note 5) represented a freestanding financial instrument (the “tranche liability”). The tranche liability was initially recorded at fair value. The proceeds from the sale of the convertible preferred stock were first allocated to the fair value of the tranche liability with the remaining proceeds from the sale of the convertible preferred stock allocated to the Series A convertible preferred stock. The tranche liability was remeasured at each reporting period and upon the exercise or expiration of the obligation, with gains and losses arising from subsequent changes in its fair value recognized in other expense in the condensed consolidated statement of operations. At the time of the exercise or expiration of the tranche liability, any remaining value of the tranche liability was reclassified to convertible preferred stock on the condensed consolidated balance sheet.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The Company accounts for all stock-based payments to employees and non-employees, including grants of stock options, restricted stock awards (“RSAs”) and restricted stock units (“RSUs”) based on their respective grant date fair values. The Company estimates the fair value of stock option grants using the Black-Scholes option pricing model, which is affected principally by the estimated fair value of shares of the Company’s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the Company’s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66"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Prior to September 23, 2020, the fair value of common stock underlying the Company’s stock options, RSAs and RSUs was estimated by the Company’s board of directors considering, among other things, contemporaneous valuations of the Company’s common stock prepared by unrelated third-party valuation firms. After the IPO, the fair value of common stock is based on the closing price of the Company’s common stock on the Nasdaq Global Select Market as reported on the date of the grant.</w:t>
      </w:r>
    </w:p>
    <w:p>
      <w:pPr>
        <w:spacing w:after="0" w:line="18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RSAs and RSUs are valued based on the fair value of the Company’s common stock on the date of grant. The Company expenses stock-based compensation related to stock options RSAs and RSUs over the requisite service period using the straight-line method. All stock-based compensation costs are recorded in research and development expense or general and administrative expense in the condensed consolidated statements of operations based upon the respective employee’s roles within the Company. Forfeitures are recorded as they occur.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20" w:firstLine="749"/>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interim condensed consolidated financial statements.</w:t>
      </w:r>
    </w:p>
    <w:p>
      <w:pPr>
        <w:spacing w:after="0" w:line="161"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interim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3—Supplemental Financial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0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40" w:type="dxa"/>
            <w:vAlign w:val="bottom"/>
            <w:tcBorders>
              <w:bottom w:val="single" w:sz="8" w:color="CC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23"/>
        </w:trPr>
        <w:tc>
          <w:tcPr>
            <w:tcW w:w="7840" w:type="dxa"/>
            <w:vAlign w:val="bottom"/>
            <w:shd w:val="clear" w:color="auto" w:fill="CCFFFF"/>
          </w:tcPr>
          <w:p>
            <w:pPr>
              <w:spacing w:after="0"/>
              <w:rPr>
                <w:sz w:val="20"/>
                <w:szCs w:val="20"/>
                <w:color w:val="auto"/>
              </w:rPr>
            </w:pPr>
            <w:r>
              <w:rPr>
                <w:rFonts w:ascii="Arial" w:cs="Arial" w:eastAsia="Arial" w:hAnsi="Arial"/>
                <w:sz w:val="18"/>
                <w:szCs w:val="18"/>
                <w:color w:val="auto"/>
              </w:rPr>
              <w:t>Accrued research and development</w:t>
            </w:r>
          </w:p>
        </w:tc>
        <w:tc>
          <w:tcPr>
            <w:tcW w:w="200" w:type="dxa"/>
            <w:vAlign w:val="bottom"/>
            <w:shd w:val="clear" w:color="auto" w:fill="CCFFFF"/>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FFFF"/>
          </w:tcPr>
          <w:p>
            <w:pPr>
              <w:jc w:val="right"/>
              <w:ind w:right="35"/>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FFFF"/>
          </w:tcPr>
          <w:p>
            <w:pPr>
              <w:jc w:val="right"/>
              <w:ind w:right="35"/>
              <w:spacing w:after="0"/>
              <w:rPr>
                <w:sz w:val="20"/>
                <w:szCs w:val="20"/>
                <w:color w:val="auto"/>
              </w:rPr>
            </w:pPr>
            <w:r>
              <w:rPr>
                <w:rFonts w:ascii="Arial" w:cs="Arial" w:eastAsia="Arial" w:hAnsi="Arial"/>
                <w:sz w:val="18"/>
                <w:szCs w:val="18"/>
                <w:color w:val="auto"/>
              </w:rPr>
              <w:t>7</w:t>
            </w: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Accrued issuance costs</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FFFF"/>
          </w:tcPr>
          <w:p>
            <w:pPr>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FFFF"/>
          </w:tcPr>
          <w:p>
            <w:pPr>
              <w:spacing w:after="0"/>
              <w:rPr>
                <w:sz w:val="19"/>
                <w:szCs w:val="19"/>
                <w:color w:val="auto"/>
              </w:rPr>
            </w:pPr>
          </w:p>
        </w:tc>
        <w:tc>
          <w:tcPr>
            <w:tcW w:w="1420" w:type="dxa"/>
            <w:vAlign w:val="bottom"/>
            <w:shd w:val="clear" w:color="auto" w:fill="CCFFFF"/>
          </w:tcPr>
          <w:p>
            <w:pPr>
              <w:jc w:val="right"/>
              <w:ind w:right="35"/>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00" w:type="dxa"/>
            <w:vAlign w:val="bottom"/>
            <w:shd w:val="clear" w:color="auto" w:fill="CCFFFF"/>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122</w:t>
            </w:r>
          </w:p>
        </w:tc>
      </w:tr>
      <w:tr>
        <w:trPr>
          <w:trHeight w:val="230"/>
        </w:trPr>
        <w:tc>
          <w:tcPr>
            <w:tcW w:w="7840" w:type="dxa"/>
            <w:vAlign w:val="bottom"/>
            <w:shd w:val="clear" w:color="auto" w:fill="CCFF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FFFF"/>
          </w:tcPr>
          <w:p>
            <w:pPr>
              <w:spacing w:after="0"/>
              <w:rPr>
                <w:sz w:val="19"/>
                <w:szCs w:val="19"/>
                <w:color w:val="auto"/>
              </w:rPr>
            </w:pPr>
          </w:p>
        </w:tc>
        <w:tc>
          <w:tcPr>
            <w:tcW w:w="1420" w:type="dxa"/>
            <w:vAlign w:val="bottom"/>
            <w:tcBorders>
              <w:bottom w:val="single" w:sz="8" w:color="auto"/>
            </w:tcBorders>
            <w:shd w:val="clear" w:color="auto" w:fill="CCFFFF"/>
          </w:tcPr>
          <w:p>
            <w:pPr>
              <w:jc w:val="right"/>
              <w:ind w:right="35"/>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00" w:type="dxa"/>
            <w:vAlign w:val="bottom"/>
            <w:tcBorders>
              <w:bottom w:val="single" w:sz="8" w:color="auto"/>
            </w:tcBorders>
            <w:shd w:val="clear" w:color="auto" w:fill="CCFFFF"/>
          </w:tcPr>
          <w:p>
            <w:pPr>
              <w:jc w:val="right"/>
              <w:ind w:right="35"/>
              <w:spacing w:after="0"/>
              <w:rPr>
                <w:sz w:val="20"/>
                <w:szCs w:val="20"/>
                <w:color w:val="auto"/>
              </w:rPr>
            </w:pPr>
            <w:r>
              <w:rPr>
                <w:rFonts w:ascii="Arial" w:cs="Arial" w:eastAsia="Arial" w:hAnsi="Arial"/>
                <w:sz w:val="18"/>
                <w:szCs w:val="18"/>
                <w:color w:val="auto"/>
              </w:rPr>
              <w:t>21</w:t>
            </w: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2,727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150</w:t>
            </w: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 Southwestern Agreement</w:t>
      </w:r>
    </w:p>
    <w:p>
      <w:pPr>
        <w:spacing w:after="0" w:line="117"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66"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64"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184"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71"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November 2019, 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also had a right of first refusal for any shares that UT Southwestern wished to sell that expired upon the closing of the IPO.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Queen’s Agreement</w:t>
      </w:r>
    </w:p>
    <w:p>
      <w:pPr>
        <w:spacing w:after="0" w:line="11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fund $3.8 million under the RGA with Queen’s. The Company issued Queen’s a promise-to-pay note whereby any amounts paid directly by Queen’s for the manufacture of the vector for use in the funded research activities, to the extent such amounts had not already been funded by the Company to Queen’s, would become a loan obligation for the Company (the “Note”), subject to an interest rate of 6%. For the nine months ended September 30, 2020, the Company paid all expenses associated with the Queen’s RGA, thus no amounts were due or outstanding under the Note as of September 30, 2020, and the promise-to-pay has therefore expired.</w:t>
      </w:r>
    </w:p>
    <w:p>
      <w:pPr>
        <w:spacing w:after="0" w:line="188"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condensed consolidated statement of operations and included as an investing outflow in the statement of cash flows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 CLN1 Agreements</w:t>
      </w:r>
    </w:p>
    <w:p>
      <w:pPr>
        <w:spacing w:after="0" w:line="117"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condensed consolidated statement of operations since the acquired license or acquired inventory do not have an alternative future use, all of which was recorded in accounts payable as of September 30, 2020.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5—Stockholders’ Equity (Deficit), Convertible Preferred Stock and Tranche Liability</w:t>
      </w:r>
    </w:p>
    <w:p>
      <w:pPr>
        <w:spacing w:after="0" w:line="12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On September 28, 2020, the Company issued an aggregate of 7,869,566 shares of common stock in the IPO, and on September 29, 2020, the Company issued an aggregate of 1,180,434 shares of common stock upon the underwriters’ exercise in full of their option to purchase additional shares, each at the public offering price of $20.00 per share less underwriting discounts and commissions. In connection with the IPO, the Company received gross proceeds of $181.0 million, which was offset by issuance costs, including underwriters’ discounts and commissions, of approximately $15.1 million.</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connection with the closing of the IPO, 10,000,000 shares of Series A convertible preferred stock and 5,647,048 shares of Series B convertible preferred stock automatically converted into an aggregate of 17,047,378 shares of common stock with a conversion ratio of 1.0895 shares of common stock for each share of Series A and Series B convertible preferred stock then outstanding.</w:t>
      </w:r>
    </w:p>
    <w:p>
      <w:pPr>
        <w:spacing w:after="0" w:line="184" w:lineRule="exact"/>
        <w:rPr>
          <w:sz w:val="20"/>
          <w:szCs w:val="20"/>
          <w:color w:val="auto"/>
        </w:rPr>
      </w:pPr>
    </w:p>
    <w:p>
      <w:pPr>
        <w:ind w:right="460" w:firstLine="749"/>
        <w:spacing w:after="0" w:line="308" w:lineRule="auto"/>
        <w:rPr>
          <w:sz w:val="20"/>
          <w:szCs w:val="20"/>
          <w:color w:val="auto"/>
        </w:rPr>
      </w:pPr>
      <w:r>
        <w:rPr>
          <w:rFonts w:ascii="Arial" w:cs="Arial" w:eastAsia="Arial" w:hAnsi="Arial"/>
          <w:sz w:val="17"/>
          <w:szCs w:val="17"/>
          <w:color w:val="auto"/>
        </w:rPr>
        <w:t>As a result of the IPO, the underwriters’ exercise of their option, and the conversions of the Series A and B convertible preferred stock, the Company’s total number of outstanding shares increased by 26,097,378 immediately following the closing of the IPO.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were designated Series A convertible preferred stock and 5,647,052 were designated Series B convertible preferred stock. On September 28, 2020, the Company amended its certificate of incorporation such that the total number of shares of common stock authorized to be issued was increased to 200,000,000, and the total number of shares of new preferred stock authorized to be issued was 10,000,000. As of September 30, 2020, no shares of preferred stock were issued or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and B convertible preferred stock</w:t>
      </w:r>
    </w:p>
    <w:p>
      <w:pPr>
        <w:spacing w:after="0" w:line="117"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On March 4, 2020, the Company entered into a purchase agreement (the “Series A Purchase Agreement”) providing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 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165"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On June 30, 2020, several affiliated Series A investors elected to exercise in full their options to purchase 200,000 shares, representing all of their remaining pro-rata portion of the Milestone Shares, prior to the Company’s achievement of the clinical milestones for gross proceeds of $0.6 million. The remainder of the Series A investors exercised in full their options to purchase 3,800,000 shares, representing all of their remaining pro-rata portion of the Milestone Shares, prior to the Company’s achievement of the clinical milestones, for gross proceeds of $11.4 million between July 1, 2020 and July 2, 2020. As part of this issuance, the Company issued and sold 3,266,667 shares to PBM TGT Holdings, LLC and 400,000 shares to Nolan Capital, LLC, which stockholders are controlled by certain members of the Company’s board of directors.</w:t>
      </w:r>
    </w:p>
    <w:p>
      <w:pPr>
        <w:spacing w:after="0" w:line="178"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On July 2, 2020, the Company entered into a purchase agreement (the “Series B Purchase Agreement”), as later amended on July 28, 2020, providing for a private placement of up to 5,647,052 shares of Series B convertible preferred stock. The Company sold 5,647,048 of Series B convertible preferred stock at a price of $17.00 per share in multiple closings in July and August 2020 for gross proceeds of $96.0 million. The majority of investors that participated in the Series B Purchase Agreement were new investors.</w:t>
      </w:r>
    </w:p>
    <w:p>
      <w:pPr>
        <w:spacing w:after="0" w:line="18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As described above, in connection with the closing of the IPO, all shares of Series A and Series B convertible preferred stock were automatically converted into an aggregate of 17,047,378 shares of common stock with a conversion ratio, which was adjusted for the stock split, of 1.0895 shares of common stock for each share of Series A and Series B convertible preferred stock then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tranche liability</w:t>
      </w:r>
    </w:p>
    <w:p>
      <w:pPr>
        <w:spacing w:after="0" w:line="117"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The Company concluded that the tranche liability met the definition of a freestanding financial instrument, as it was legally detachable and separately exercisable from the initial closing of the Series A convertible preferred stock.</w:t>
      </w:r>
    </w:p>
    <w:p>
      <w:pPr>
        <w:spacing w:after="0" w:line="170"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immediately prior to the issuance of the Milestone Shares, which was calculated based on the aggregate equity value of the Company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192"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Based on the analysis, the Company recorded a preferred stock tranche liability of $1.1 million at the issue date to account for the obligation to issue the Milestone Shares at a predetermined fixed price at a future settlement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ind w:right="20" w:firstLine="749"/>
        <w:spacing w:after="0" w:line="269" w:lineRule="auto"/>
        <w:rPr>
          <w:sz w:val="20"/>
          <w:szCs w:val="20"/>
          <w:color w:val="auto"/>
        </w:rPr>
      </w:pPr>
      <w:r>
        <w:rPr>
          <w:rFonts w:ascii="Arial" w:cs="Arial" w:eastAsia="Arial" w:hAnsi="Arial"/>
          <w:sz w:val="17"/>
          <w:szCs w:val="17"/>
          <w:color w:val="auto"/>
        </w:rPr>
        <w:t>At June 30, 2020, ahead of the anticipated closing of the Series B Purchase Agreement for $17.00 per share that occurred on July 2, 2020, certain investors elected to exercise in full their options to their pro-rata portion of the Milestone Shares prior to the Company’s achievement of the clinical milestones and purchased 200,000 shares of Series A convertible preferred stock. The Company remeasured the fair value of the entire tranche liability at June 30, 2020, and recognized a non-cash expense of $17.0 million in the condensed consolidated statement of operations. Between June 30, 2020 and July 2, 2020, all of the 4,000,000 Milestone Shares were issued and the related tranche liability was extinguished in its entirety, and the Company reclassified $18.1 million to convertible preferred stock on the condensed consolidated balance sheet. The Company concluded that no beneficial conversion feature (“BCF”) existed as the effective conversion price of the Series A convertible preferred stock exceeded the fair value of the Company’s common stock at each of the commitment dates. Specifically, at the commitment date of June 30, 2020, when 200,000 Milestone Shares were issued, the deemed proceeds were equal to the cash proceeds received for the shares of Series A convertible preferred stock and the fair value of the tranche liability that related to the Milestone Shares, or $7.52 per share. As the effective conversion price exceeded the fair value of the Company’s common stock at the commitment date, no BCF existed.</w:t>
      </w:r>
    </w:p>
    <w:p>
      <w:pPr>
        <w:spacing w:after="0" w:line="182"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following table provides a reconciliation of the preferred stock tranche liability measured at fair value using Level 3 significant unobservable inputs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shd w:val="clear" w:color="auto" w:fill="CCFFFF"/>
          </w:tcPr>
          <w:p>
            <w:pPr>
              <w:spacing w:after="0"/>
              <w:rPr>
                <w:sz w:val="20"/>
                <w:szCs w:val="20"/>
                <w:color w:val="auto"/>
              </w:rPr>
            </w:pPr>
            <w:r>
              <w:rPr>
                <w:rFonts w:ascii="Arial" w:cs="Arial" w:eastAsia="Arial" w:hAnsi="Arial"/>
                <w:sz w:val="18"/>
                <w:szCs w:val="18"/>
                <w:color w:val="auto"/>
              </w:rPr>
              <w:t>Balance at January 1, 2020</w:t>
            </w:r>
          </w:p>
        </w:tc>
        <w:tc>
          <w:tcPr>
            <w:tcW w:w="2360" w:type="dxa"/>
            <w:vAlign w:val="bottom"/>
            <w:gridSpan w:val="2"/>
            <w:shd w:val="clear" w:color="auto" w:fill="CCFFFF"/>
          </w:tcPr>
          <w:p>
            <w:pPr>
              <w:jc w:val="right"/>
              <w:ind w:right="4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FF"/>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Fair value at issuance of Series A convertible preferred stock</w:t>
            </w:r>
          </w:p>
        </w:tc>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1,050</w:t>
            </w:r>
          </w:p>
        </w:tc>
      </w:tr>
      <w:tr>
        <w:trPr>
          <w:trHeight w:val="229"/>
        </w:trPr>
        <w:tc>
          <w:tcPr>
            <w:tcW w:w="7620" w:type="dxa"/>
            <w:vAlign w:val="bottom"/>
            <w:shd w:val="clear" w:color="auto" w:fill="CCFFFF"/>
          </w:tcPr>
          <w:p>
            <w:pPr>
              <w:spacing w:after="0"/>
              <w:rPr>
                <w:sz w:val="20"/>
                <w:szCs w:val="20"/>
                <w:color w:val="auto"/>
              </w:rPr>
            </w:pPr>
            <w:r>
              <w:rPr>
                <w:rFonts w:ascii="Arial" w:cs="Arial" w:eastAsia="Arial" w:hAnsi="Arial"/>
                <w:sz w:val="18"/>
                <w:szCs w:val="18"/>
                <w:color w:val="auto"/>
              </w:rPr>
              <w:t>Change in fair value</w:t>
            </w:r>
          </w:p>
        </w:tc>
        <w:tc>
          <w:tcPr>
            <w:tcW w:w="1720" w:type="dxa"/>
            <w:vAlign w:val="bottom"/>
            <w:shd w:val="clear" w:color="auto" w:fill="CCFFFF"/>
          </w:tcPr>
          <w:p>
            <w:pPr>
              <w:spacing w:after="0"/>
              <w:rPr>
                <w:sz w:val="19"/>
                <w:szCs w:val="19"/>
                <w:color w:val="auto"/>
              </w:rPr>
            </w:pPr>
          </w:p>
        </w:tc>
        <w:tc>
          <w:tcPr>
            <w:tcW w:w="640" w:type="dxa"/>
            <w:vAlign w:val="bottom"/>
            <w:shd w:val="clear" w:color="auto" w:fill="CCFFFF"/>
          </w:tcPr>
          <w:p>
            <w:pPr>
              <w:spacing w:after="0"/>
              <w:rPr>
                <w:sz w:val="19"/>
                <w:szCs w:val="19"/>
                <w:color w:val="auto"/>
              </w:rPr>
            </w:pPr>
          </w:p>
        </w:tc>
        <w:tc>
          <w:tcPr>
            <w:tcW w:w="1260" w:type="dxa"/>
            <w:vAlign w:val="bottom"/>
            <w:shd w:val="clear" w:color="auto" w:fill="CCFFFF"/>
          </w:tcPr>
          <w:p>
            <w:pPr>
              <w:jc w:val="right"/>
              <w:ind w:right="50"/>
              <w:spacing w:after="0"/>
              <w:rPr>
                <w:sz w:val="20"/>
                <w:szCs w:val="20"/>
                <w:color w:val="auto"/>
              </w:rPr>
            </w:pPr>
            <w:r>
              <w:rPr>
                <w:rFonts w:ascii="Arial" w:cs="Arial" w:eastAsia="Arial" w:hAnsi="Arial"/>
                <w:sz w:val="18"/>
                <w:szCs w:val="18"/>
                <w:color w:val="auto"/>
              </w:rPr>
              <w:t>17,030</w:t>
            </w:r>
          </w:p>
        </w:tc>
      </w:tr>
      <w:tr>
        <w:trPr>
          <w:trHeight w:val="229"/>
        </w:trPr>
        <w:tc>
          <w:tcPr>
            <w:tcW w:w="7620" w:type="dxa"/>
            <w:vAlign w:val="bottom"/>
            <w:tcBorders>
              <w:bottom w:val="single" w:sz="8" w:color="CCFFFF"/>
            </w:tcBorders>
          </w:tcPr>
          <w:p>
            <w:pPr>
              <w:spacing w:after="0"/>
              <w:rPr>
                <w:sz w:val="20"/>
                <w:szCs w:val="20"/>
                <w:color w:val="auto"/>
              </w:rPr>
            </w:pPr>
            <w:r>
              <w:rPr>
                <w:rFonts w:ascii="Arial" w:cs="Arial" w:eastAsia="Arial" w:hAnsi="Arial"/>
                <w:sz w:val="18"/>
                <w:szCs w:val="18"/>
                <w:color w:val="auto"/>
              </w:rPr>
              <w:t>Settlement of preferred stock tranche liability due to issuance of Milestone Shares</w:t>
            </w:r>
          </w:p>
        </w:tc>
        <w:tc>
          <w:tcPr>
            <w:tcW w:w="1720" w:type="dxa"/>
            <w:vAlign w:val="bottom"/>
            <w:tcBorders>
              <w:bottom w:val="single" w:sz="8" w:color="CCFF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(18,080)</w:t>
            </w:r>
          </w:p>
        </w:tc>
      </w:tr>
      <w:tr>
        <w:trPr>
          <w:trHeight w:val="223"/>
        </w:trPr>
        <w:tc>
          <w:tcPr>
            <w:tcW w:w="762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color w:val="auto"/>
              </w:rPr>
              <w:t>Balance at September 30, 2020</w:t>
            </w:r>
          </w:p>
        </w:tc>
        <w:tc>
          <w:tcPr>
            <w:tcW w:w="1720" w:type="dxa"/>
            <w:vAlign w:val="bottom"/>
            <w:tcBorders>
              <w:bottom w:val="single" w:sz="8" w:color="CCFFFF"/>
            </w:tcBorders>
            <w:shd w:val="clear" w:color="auto" w:fill="CCFFFF"/>
          </w:tcPr>
          <w:p>
            <w:pPr>
              <w:spacing w:after="0"/>
              <w:rPr>
                <w:sz w:val="19"/>
                <w:szCs w:val="19"/>
                <w:color w:val="auto"/>
              </w:rPr>
            </w:pPr>
          </w:p>
        </w:tc>
        <w:tc>
          <w:tcPr>
            <w:tcW w:w="640" w:type="dxa"/>
            <w:vAlign w:val="bottom"/>
            <w:tcBorders>
              <w:bottom w:val="single" w:sz="8" w:color="auto"/>
            </w:tcBorders>
            <w:shd w:val="clear" w:color="auto" w:fill="CCFFFF"/>
          </w:tcPr>
          <w:p>
            <w:pPr>
              <w:jc w:val="right"/>
              <w:ind w:right="4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FFFF"/>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7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6—Stock-Based Compensation</w:t>
      </w:r>
    </w:p>
    <w:p>
      <w:pPr>
        <w:spacing w:after="0" w:line="121" w:lineRule="exact"/>
        <w:rPr>
          <w:sz w:val="20"/>
          <w:szCs w:val="20"/>
          <w:color w:val="auto"/>
        </w:rPr>
      </w:pPr>
    </w:p>
    <w:p>
      <w:pPr>
        <w:ind w:right="200" w:firstLine="749"/>
        <w:spacing w:after="0" w:line="279" w:lineRule="auto"/>
        <w:rPr>
          <w:sz w:val="20"/>
          <w:szCs w:val="20"/>
          <w:color w:val="auto"/>
        </w:rPr>
      </w:pPr>
      <w:r>
        <w:rPr>
          <w:rFonts w:ascii="Arial" w:cs="Arial" w:eastAsia="Arial" w:hAnsi="Arial"/>
          <w:sz w:val="17"/>
          <w:szCs w:val="17"/>
          <w:color w:val="auto"/>
        </w:rPr>
        <w:t>On July 1, 2020, the Company’s board of directors approved the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w:t>
      </w:r>
    </w:p>
    <w:p>
      <w:pPr>
        <w:spacing w:after="0" w:line="171"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On September 16, 2020, the Company’s stockholders approved the New Plan, which became effective upon the execution of the underwriting agreement in connection with the IPO. The number of shares available for future issuance under the New Plan is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The number of shares of common stock reserved for issuance under the New Plan will automatically increase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No future issuances were made under the Existing Plan upon the effectiveness of the New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Compensation – Stock Compensation. The modification is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will recognize the remaining compensation cost of $13.2 million over the vesting period of the RSUs.</w:t>
      </w:r>
    </w:p>
    <w:p>
      <w:pPr>
        <w:spacing w:after="0" w:line="181"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estimated fair value of the Company’s common stock at July 1, 2020 was $5.28 per share, as determined using information derived from the issuance price of the Company’s Series B convertible preferred stock of $17.00 per share on July 2, 2020. The valuation of the common stock was determined using an option-pricing model under which shares are valued by creating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series of call options with exercise prices based on the liquidation preferences and conversion terms of each equity class, adjusted for a discount for the lack of marketability to account for a lack of access to an active public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20" w:type="dxa"/>
            <w:vAlign w:val="bottom"/>
          </w:tcPr>
          <w:p>
            <w:pPr>
              <w:ind w:left="760"/>
              <w:spacing w:after="0"/>
              <w:rPr>
                <w:sz w:val="20"/>
                <w:szCs w:val="20"/>
                <w:color w:val="auto"/>
              </w:rPr>
            </w:pPr>
            <w:r>
              <w:rPr>
                <w:rFonts w:ascii="Arial" w:cs="Arial" w:eastAsia="Arial" w:hAnsi="Arial"/>
                <w:sz w:val="18"/>
                <w:szCs w:val="18"/>
                <w:color w:val="auto"/>
                <w:w w:val="95"/>
              </w:rPr>
              <w:t>The following assumptions were used to estimate the fair value of the Cancelled Options that were granted on July 1, 2020:</w:t>
            </w:r>
          </w:p>
        </w:tc>
        <w:tc>
          <w:tcPr>
            <w:tcW w:w="1120" w:type="dxa"/>
            <w:vAlign w:val="bottom"/>
          </w:tcPr>
          <w:p>
            <w:pPr>
              <w:spacing w:after="0"/>
              <w:rPr>
                <w:sz w:val="20"/>
                <w:szCs w:val="20"/>
                <w:color w:val="auto"/>
              </w:rPr>
            </w:pPr>
          </w:p>
        </w:tc>
      </w:tr>
      <w:tr>
        <w:trPr>
          <w:trHeight w:val="243"/>
        </w:trPr>
        <w:tc>
          <w:tcPr>
            <w:tcW w:w="10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10120" w:type="dxa"/>
            <w:vAlign w:val="bottom"/>
            <w:shd w:val="clear" w:color="auto" w:fill="CCFF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FFFF"/>
          </w:tcPr>
          <w:p>
            <w:pPr>
              <w:jc w:val="right"/>
              <w:ind w:right="90"/>
              <w:spacing w:after="0"/>
              <w:rPr>
                <w:sz w:val="20"/>
                <w:szCs w:val="20"/>
                <w:color w:val="auto"/>
              </w:rPr>
            </w:pPr>
            <w:r>
              <w:rPr>
                <w:rFonts w:ascii="Arial" w:cs="Arial" w:eastAsia="Arial" w:hAnsi="Arial"/>
                <w:sz w:val="18"/>
                <w:szCs w:val="18"/>
                <w:color w:val="auto"/>
              </w:rPr>
              <w:t>0.31%</w:t>
            </w:r>
          </w:p>
        </w:tc>
      </w:tr>
      <w:tr>
        <w:trPr>
          <w:trHeight w:val="229"/>
        </w:trPr>
        <w:tc>
          <w:tcPr>
            <w:tcW w:w="10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10120" w:type="dxa"/>
            <w:vAlign w:val="bottom"/>
            <w:shd w:val="clear" w:color="auto" w:fill="CCFFFF"/>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shd w:val="clear" w:color="auto" w:fill="CCFFFF"/>
          </w:tcPr>
          <w:p>
            <w:pPr>
              <w:jc w:val="right"/>
              <w:ind w:right="90"/>
              <w:spacing w:after="0"/>
              <w:rPr>
                <w:sz w:val="20"/>
                <w:szCs w:val="20"/>
                <w:color w:val="auto"/>
              </w:rPr>
            </w:pPr>
            <w:r>
              <w:rPr>
                <w:rFonts w:ascii="Arial" w:cs="Arial" w:eastAsia="Arial" w:hAnsi="Arial"/>
                <w:sz w:val="18"/>
                <w:szCs w:val="18"/>
                <w:color w:val="auto"/>
              </w:rPr>
              <w:t>6.3</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28"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During the three months ended September 30, 2020, options to purchase 185,342 shares of common stock were granted with a weighted-average exercise price per share of $19.55. On September 2, 2020, options to purchase 16,342 shares of common stock under the Existing Plan were awarded to certain directors of the Company with an exercise price per share of $14.90, and on September 23, 2020, 169,000 shares of common stock under the New Plan were awarded with an exercise price per share of $20.00. The stock options generally vest over three or four years and have a ten-year contractual term.</w:t>
      </w:r>
    </w:p>
    <w:p>
      <w:pPr>
        <w:spacing w:after="0" w:line="188"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following weighted-average assumptions were used to estimate the fair value of stock options, excluding the Cancelled Options, for the nine months ended September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shd w:val="clear" w:color="auto" w:fill="CCFFFF"/>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shd w:val="clear" w:color="auto" w:fill="CCFFFF"/>
          </w:tcPr>
          <w:p>
            <w:pPr>
              <w:jc w:val="right"/>
              <w:ind w:right="90"/>
              <w:spacing w:after="0"/>
              <w:rPr>
                <w:sz w:val="20"/>
                <w:szCs w:val="20"/>
                <w:color w:val="auto"/>
              </w:rPr>
            </w:pPr>
            <w:r>
              <w:rPr>
                <w:rFonts w:ascii="Arial" w:cs="Arial" w:eastAsia="Arial" w:hAnsi="Arial"/>
                <w:sz w:val="18"/>
                <w:szCs w:val="18"/>
                <w:color w:val="auto"/>
              </w:rPr>
              <w:t>0.46%</w:t>
            </w: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CCFFFF"/>
          </w:tcPr>
          <w:p>
            <w:pPr>
              <w:spacing w:after="0"/>
              <w:rPr>
                <w:sz w:val="20"/>
                <w:szCs w:val="20"/>
                <w:color w:val="auto"/>
              </w:rPr>
            </w:pPr>
            <w:r>
              <w:rPr>
                <w:rFonts w:ascii="Arial" w:cs="Arial" w:eastAsia="Arial" w:hAnsi="Arial"/>
                <w:sz w:val="18"/>
                <w:szCs w:val="18"/>
                <w:color w:val="auto"/>
              </w:rPr>
              <w:t>Expected term in years</w:t>
            </w:r>
          </w:p>
        </w:tc>
        <w:tc>
          <w:tcPr>
            <w:tcW w:w="5060" w:type="dxa"/>
            <w:vAlign w:val="bottom"/>
            <w:shd w:val="clear" w:color="auto" w:fill="CCFFFF"/>
          </w:tcPr>
          <w:p>
            <w:pPr>
              <w:jc w:val="right"/>
              <w:ind w:right="90"/>
              <w:spacing w:after="0"/>
              <w:rPr>
                <w:sz w:val="20"/>
                <w:szCs w:val="20"/>
                <w:color w:val="auto"/>
              </w:rPr>
            </w:pPr>
            <w:r>
              <w:rPr>
                <w:rFonts w:ascii="Arial" w:cs="Arial" w:eastAsia="Arial" w:hAnsi="Arial"/>
                <w:sz w:val="18"/>
                <w:szCs w:val="18"/>
                <w:color w:val="auto"/>
              </w:rPr>
              <w:t>6.7</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506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stock option activity, excluding the Cancelled Options,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2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Exercise</w:t>
            </w: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Life (in</w:t>
            </w:r>
          </w:p>
        </w:tc>
        <w:tc>
          <w:tcPr>
            <w:tcW w:w="160" w:type="dxa"/>
            <w:vAlign w:val="bottom"/>
          </w:tcPr>
          <w:p>
            <w:pPr>
              <w:spacing w:after="0"/>
              <w:rPr>
                <w:sz w:val="12"/>
                <w:szCs w:val="12"/>
                <w:color w:val="auto"/>
              </w:rPr>
            </w:pPr>
          </w:p>
        </w:tc>
        <w:tc>
          <w:tcPr>
            <w:tcW w:w="13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32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494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Outstanding at January 1, 2020</w:t>
            </w:r>
          </w:p>
        </w:tc>
        <w:tc>
          <w:tcPr>
            <w:tcW w:w="1460" w:type="dxa"/>
            <w:vAlign w:val="bottom"/>
            <w:tcBorders>
              <w:top w:val="single" w:sz="8" w:color="auto"/>
            </w:tcBorders>
            <w:shd w:val="clear" w:color="auto" w:fill="CCFFFF"/>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FF"/>
            </w:tcBorders>
            <w:shd w:val="clear" w:color="auto" w:fill="CCFFFF"/>
          </w:tcPr>
          <w:p>
            <w:pPr>
              <w:spacing w:after="0"/>
              <w:rPr>
                <w:sz w:val="19"/>
                <w:szCs w:val="19"/>
                <w:color w:val="auto"/>
              </w:rPr>
            </w:pPr>
          </w:p>
        </w:tc>
        <w:tc>
          <w:tcPr>
            <w:tcW w:w="240" w:type="dxa"/>
            <w:vAlign w:val="bottom"/>
            <w:tcBorders>
              <w:top w:val="single" w:sz="8" w:color="auto"/>
            </w:tcBorders>
            <w:shd w:val="clear" w:color="auto" w:fill="CCFF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FFFF"/>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FF"/>
            </w:tcBorders>
            <w:shd w:val="clear" w:color="auto" w:fill="CCFFFF"/>
          </w:tcPr>
          <w:p>
            <w:pPr>
              <w:spacing w:after="0"/>
              <w:rPr>
                <w:sz w:val="19"/>
                <w:szCs w:val="19"/>
                <w:color w:val="auto"/>
              </w:rPr>
            </w:pPr>
          </w:p>
        </w:tc>
        <w:tc>
          <w:tcPr>
            <w:tcW w:w="1460" w:type="dxa"/>
            <w:vAlign w:val="bottom"/>
            <w:tcBorders>
              <w:top w:val="single" w:sz="8" w:color="auto"/>
            </w:tcBorders>
            <w:shd w:val="clear" w:color="auto" w:fill="CCFF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FF"/>
            </w:tcBorders>
            <w:shd w:val="clear" w:color="auto" w:fill="CCFFFF"/>
          </w:tcPr>
          <w:p>
            <w:pPr>
              <w:spacing w:after="0"/>
              <w:rPr>
                <w:sz w:val="19"/>
                <w:szCs w:val="19"/>
                <w:color w:val="auto"/>
              </w:rPr>
            </w:pPr>
          </w:p>
        </w:tc>
        <w:tc>
          <w:tcPr>
            <w:tcW w:w="160" w:type="dxa"/>
            <w:vAlign w:val="bottom"/>
            <w:tcBorders>
              <w:top w:val="single" w:sz="8" w:color="auto"/>
            </w:tcBorders>
            <w:shd w:val="clear" w:color="auto" w:fill="CCFF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FFFF"/>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Options granted</w:t>
            </w: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185,342</w:t>
            </w:r>
          </w:p>
        </w:tc>
        <w:tc>
          <w:tcPr>
            <w:tcW w:w="140" w:type="dxa"/>
            <w:vAlign w:val="bottom"/>
            <w:tcBorders>
              <w:bottom w:val="single" w:sz="8" w:color="CC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19.55</w:t>
            </w:r>
          </w:p>
        </w:tc>
        <w:tc>
          <w:tcPr>
            <w:tcW w:w="140" w:type="dxa"/>
            <w:vAlign w:val="bottom"/>
            <w:tcBorders>
              <w:bottom w:val="single" w:sz="8" w:color="CCFFFF"/>
            </w:tcBorders>
          </w:tcPr>
          <w:p>
            <w:pPr>
              <w:spacing w:after="0"/>
              <w:rPr>
                <w:sz w:val="19"/>
                <w:szCs w:val="19"/>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4940" w:type="dxa"/>
            <w:vAlign w:val="bottom"/>
            <w:shd w:val="clear" w:color="auto" w:fill="CCFFFF"/>
          </w:tcPr>
          <w:p>
            <w:pPr>
              <w:spacing w:after="0"/>
              <w:rPr>
                <w:sz w:val="20"/>
                <w:szCs w:val="20"/>
                <w:color w:val="auto"/>
              </w:rPr>
            </w:pPr>
            <w:r>
              <w:rPr>
                <w:rFonts w:ascii="Arial" w:cs="Arial" w:eastAsia="Arial" w:hAnsi="Arial"/>
                <w:sz w:val="18"/>
                <w:szCs w:val="18"/>
                <w:color w:val="auto"/>
              </w:rPr>
              <w:t>Outstanding at September 30, 2020</w:t>
            </w:r>
          </w:p>
        </w:tc>
        <w:tc>
          <w:tcPr>
            <w:tcW w:w="1460" w:type="dxa"/>
            <w:vAlign w:val="bottom"/>
            <w:tcBorders>
              <w:bottom w:val="single" w:sz="8" w:color="auto"/>
            </w:tcBorders>
            <w:shd w:val="clear" w:color="auto" w:fill="CCFFFF"/>
          </w:tcPr>
          <w:p>
            <w:pPr>
              <w:jc w:val="right"/>
              <w:ind w:right="35"/>
              <w:spacing w:after="0"/>
              <w:rPr>
                <w:sz w:val="20"/>
                <w:szCs w:val="20"/>
                <w:color w:val="auto"/>
              </w:rPr>
            </w:pPr>
            <w:r>
              <w:rPr>
                <w:rFonts w:ascii="Arial" w:cs="Arial" w:eastAsia="Arial" w:hAnsi="Arial"/>
                <w:sz w:val="18"/>
                <w:szCs w:val="18"/>
                <w:color w:val="auto"/>
              </w:rPr>
              <w:t>185,342</w:t>
            </w:r>
          </w:p>
        </w:tc>
        <w:tc>
          <w:tcPr>
            <w:tcW w:w="140" w:type="dxa"/>
            <w:vAlign w:val="bottom"/>
            <w:shd w:val="clear" w:color="auto" w:fill="CCFFFF"/>
          </w:tcPr>
          <w:p>
            <w:pPr>
              <w:spacing w:after="0"/>
              <w:rPr>
                <w:sz w:val="19"/>
                <w:szCs w:val="19"/>
                <w:color w:val="auto"/>
              </w:rPr>
            </w:pPr>
          </w:p>
        </w:tc>
        <w:tc>
          <w:tcPr>
            <w:tcW w:w="240" w:type="dxa"/>
            <w:vAlign w:val="bottom"/>
            <w:tcBorders>
              <w:bottom w:val="single" w:sz="8" w:color="auto"/>
            </w:tcBorders>
            <w:shd w:val="clear" w:color="auto" w:fill="CCFF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FFFF"/>
          </w:tcPr>
          <w:p>
            <w:pPr>
              <w:jc w:val="right"/>
              <w:ind w:right="38"/>
              <w:spacing w:after="0"/>
              <w:rPr>
                <w:sz w:val="20"/>
                <w:szCs w:val="20"/>
                <w:color w:val="auto"/>
              </w:rPr>
            </w:pPr>
            <w:r>
              <w:rPr>
                <w:rFonts w:ascii="Arial" w:cs="Arial" w:eastAsia="Arial" w:hAnsi="Arial"/>
                <w:sz w:val="18"/>
                <w:szCs w:val="18"/>
                <w:color w:val="auto"/>
              </w:rPr>
              <w:t>19.55</w:t>
            </w:r>
          </w:p>
        </w:tc>
        <w:tc>
          <w:tcPr>
            <w:tcW w:w="140" w:type="dxa"/>
            <w:vAlign w:val="bottom"/>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FFFF"/>
          </w:tcPr>
          <w:p>
            <w:pPr>
              <w:spacing w:after="0"/>
              <w:rPr>
                <w:sz w:val="19"/>
                <w:szCs w:val="19"/>
                <w:color w:val="auto"/>
              </w:rPr>
            </w:pPr>
          </w:p>
        </w:tc>
        <w:tc>
          <w:tcPr>
            <w:tcW w:w="160" w:type="dxa"/>
            <w:vAlign w:val="bottom"/>
            <w:tcBorders>
              <w:bottom w:val="single" w:sz="8" w:color="auto"/>
            </w:tcBorders>
            <w:shd w:val="clear" w:color="auto" w:fill="CCFF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FFFF"/>
          </w:tcPr>
          <w:p>
            <w:pPr>
              <w:jc w:val="right"/>
              <w:ind w:right="58"/>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Vested and expected to vest at September 30, 2020</w:t>
            </w: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185,342</w:t>
            </w:r>
          </w:p>
        </w:tc>
        <w:tc>
          <w:tcPr>
            <w:tcW w:w="140" w:type="dxa"/>
            <w:vAlign w:val="bottom"/>
            <w:tcBorders>
              <w:bottom w:val="single" w:sz="8" w:color="CCFF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19.55</w:t>
            </w:r>
          </w:p>
        </w:tc>
        <w:tc>
          <w:tcPr>
            <w:tcW w:w="140" w:type="dxa"/>
            <w:vAlign w:val="bottom"/>
            <w:tcBorders>
              <w:bottom w:val="single" w:sz="8" w:color="CCFFFF"/>
            </w:tcBorders>
          </w:tcPr>
          <w:p>
            <w:pPr>
              <w:spacing w:after="0"/>
              <w:rPr>
                <w:sz w:val="22"/>
                <w:szCs w:val="22"/>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FF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color w:val="auto"/>
              </w:rPr>
              <w:t>Options exercisable at September 30, 2020</w:t>
            </w:r>
          </w:p>
        </w:tc>
        <w:tc>
          <w:tcPr>
            <w:tcW w:w="1460" w:type="dxa"/>
            <w:vAlign w:val="bottom"/>
            <w:tcBorders>
              <w:bottom w:val="single" w:sz="8" w:color="auto"/>
            </w:tcBorders>
            <w:shd w:val="clear" w:color="auto" w:fill="CCFFFF"/>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FF"/>
            </w:tcBorders>
            <w:shd w:val="clear" w:color="auto" w:fill="CCFFFF"/>
          </w:tcPr>
          <w:p>
            <w:pPr>
              <w:spacing w:after="0"/>
              <w:rPr>
                <w:sz w:val="18"/>
                <w:szCs w:val="18"/>
                <w:color w:val="auto"/>
              </w:rPr>
            </w:pPr>
          </w:p>
        </w:tc>
        <w:tc>
          <w:tcPr>
            <w:tcW w:w="240" w:type="dxa"/>
            <w:vAlign w:val="bottom"/>
            <w:tcBorders>
              <w:bottom w:val="single" w:sz="8" w:color="auto"/>
            </w:tcBorders>
            <w:shd w:val="clear" w:color="auto" w:fill="CCFF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FFFF"/>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FF"/>
            </w:tcBorders>
            <w:shd w:val="clear" w:color="auto" w:fill="CCFFFF"/>
          </w:tcPr>
          <w:p>
            <w:pPr>
              <w:spacing w:after="0"/>
              <w:rPr>
                <w:sz w:val="18"/>
                <w:szCs w:val="18"/>
                <w:color w:val="auto"/>
              </w:rPr>
            </w:pPr>
          </w:p>
        </w:tc>
        <w:tc>
          <w:tcPr>
            <w:tcW w:w="1460" w:type="dxa"/>
            <w:vAlign w:val="bottom"/>
            <w:tcBorders>
              <w:bottom w:val="single" w:sz="8" w:color="auto"/>
            </w:tcBorders>
            <w:shd w:val="clear" w:color="auto" w:fill="CCFF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FF"/>
            </w:tcBorders>
            <w:shd w:val="clear" w:color="auto" w:fill="CCFFFF"/>
          </w:tcPr>
          <w:p>
            <w:pPr>
              <w:spacing w:after="0"/>
              <w:rPr>
                <w:sz w:val="18"/>
                <w:szCs w:val="18"/>
                <w:color w:val="auto"/>
              </w:rPr>
            </w:pPr>
          </w:p>
        </w:tc>
        <w:tc>
          <w:tcPr>
            <w:tcW w:w="160" w:type="dxa"/>
            <w:vAlign w:val="bottom"/>
            <w:tcBorders>
              <w:bottom w:val="single" w:sz="8" w:color="auto"/>
            </w:tcBorders>
            <w:shd w:val="clear" w:color="auto" w:fill="CCFF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FFFF"/>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The aggregate intrinsic value in the above table is calculated as the difference between the fair value of the Company’s common stock as of September 30, 2020 and the exercise price of the stock options. The weighted-average grant date fair value per share for the stock option awards, excluding the Cancelled Options, granted during the nine months ended September 30, 2020 was $13.73. As of September 30, 2020, the total unrecognized compensation related to unvested stock option awards granted was $2.5 million, which the Company expects to recognize over a weighted-average period of approximately 3.6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On September 2, 2020, the Company issued 331,121 RSUs to an employee under the Existing Plan; 25% of the shares of common stock underlying the RSUs vest at each anniversary over a four-year period. The RSUs are subject to a service-based vesting condition. The RSUs were also subject to a liquidity-based performance vesting condition that was met upon the closing of the IPO. The Company at any time may accelerate the vesting of the RSUs. Such shares are not accounted for as outstanding until they vest. As of September 30, 2020, the total unrecognized compensation related to unvested RSUs granted, including the remaining compensation cost associated with the RSUs granted on September 2, 2020 in exchange for the Cancelled Options, was $17.8 million which is expected to be amortized on a straight-line basis over the weighted-average remaining vesting period of approximately 2.2 years. The Company’s RSU activity for the nine months ended September 30, 2020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142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4"/>
                <w:szCs w:val="14"/>
                <w:color w:val="auto"/>
              </w:rPr>
            </w:pPr>
          </w:p>
        </w:tc>
        <w:tc>
          <w:tcPr>
            <w:tcW w:w="1420" w:type="dxa"/>
            <w:vAlign w:val="bottom"/>
          </w:tcPr>
          <w:p>
            <w:pPr>
              <w:jc w:val="center"/>
              <w:ind w:right="299"/>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Nonvested at January 1, 2020</w:t>
            </w:r>
          </w:p>
        </w:tc>
        <w:tc>
          <w:tcPr>
            <w:tcW w:w="1680" w:type="dxa"/>
            <w:vAlign w:val="bottom"/>
            <w:tcBorders>
              <w:top w:val="single" w:sz="8" w:color="auto"/>
            </w:tcBorders>
            <w:shd w:val="clear" w:color="auto" w:fill="CCFFFF"/>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FF"/>
            </w:tcBorders>
            <w:shd w:val="clear" w:color="auto" w:fill="CCFFFF"/>
          </w:tcPr>
          <w:p>
            <w:pPr>
              <w:spacing w:after="0"/>
              <w:rPr>
                <w:sz w:val="19"/>
                <w:szCs w:val="19"/>
                <w:color w:val="auto"/>
              </w:rPr>
            </w:pPr>
          </w:p>
        </w:tc>
        <w:tc>
          <w:tcPr>
            <w:tcW w:w="260" w:type="dxa"/>
            <w:vAlign w:val="bottom"/>
            <w:tcBorders>
              <w:top w:val="single" w:sz="8" w:color="auto"/>
            </w:tcBorders>
            <w:shd w:val="clear" w:color="auto" w:fill="CCFF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FFFF"/>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Replacement restricted units granted</w:t>
            </w: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2,518,932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Restricted units granted</w:t>
            </w:r>
          </w:p>
        </w:tc>
        <w:tc>
          <w:tcPr>
            <w:tcW w:w="1680" w:type="dxa"/>
            <w:vAlign w:val="bottom"/>
            <w:shd w:val="clear" w:color="auto" w:fill="CCFFFF"/>
          </w:tcPr>
          <w:p>
            <w:pPr>
              <w:jc w:val="right"/>
              <w:ind w:right="55"/>
              <w:spacing w:after="0"/>
              <w:rPr>
                <w:sz w:val="20"/>
                <w:szCs w:val="20"/>
                <w:color w:val="auto"/>
              </w:rPr>
            </w:pPr>
            <w:r>
              <w:rPr>
                <w:rFonts w:ascii="Arial" w:cs="Arial" w:eastAsia="Arial" w:hAnsi="Arial"/>
                <w:sz w:val="18"/>
                <w:szCs w:val="18"/>
                <w:color w:val="auto"/>
              </w:rPr>
              <w:t>331,121</w:t>
            </w:r>
          </w:p>
        </w:tc>
        <w:tc>
          <w:tcPr>
            <w:tcW w:w="160" w:type="dxa"/>
            <w:vAlign w:val="bottom"/>
            <w:shd w:val="clear" w:color="auto" w:fill="CCFFFF"/>
          </w:tcPr>
          <w:p>
            <w:pPr>
              <w:spacing w:after="0"/>
              <w:rPr>
                <w:sz w:val="19"/>
                <w:szCs w:val="19"/>
                <w:color w:val="auto"/>
              </w:rPr>
            </w:pPr>
          </w:p>
        </w:tc>
        <w:tc>
          <w:tcPr>
            <w:tcW w:w="260" w:type="dxa"/>
            <w:vAlign w:val="bottom"/>
            <w:shd w:val="clear" w:color="auto" w:fill="CCFFFF"/>
          </w:tcPr>
          <w:p>
            <w:pPr>
              <w:spacing w:after="0"/>
              <w:rPr>
                <w:sz w:val="19"/>
                <w:szCs w:val="19"/>
                <w:color w:val="auto"/>
              </w:rPr>
            </w:pPr>
          </w:p>
        </w:tc>
        <w:tc>
          <w:tcPr>
            <w:tcW w:w="1420" w:type="dxa"/>
            <w:vAlign w:val="bottom"/>
            <w:shd w:val="clear" w:color="auto" w:fill="CCFFFF"/>
          </w:tcPr>
          <w:p>
            <w:pPr>
              <w:jc w:val="right"/>
              <w:ind w:right="59"/>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color w:val="auto"/>
              </w:rPr>
              <w:t>Nonvested at September 30, 2020</w:t>
            </w:r>
          </w:p>
        </w:tc>
        <w:tc>
          <w:tcPr>
            <w:tcW w:w="1680" w:type="dxa"/>
            <w:vAlign w:val="bottom"/>
            <w:tcBorders>
              <w:bottom w:val="single" w:sz="8" w:color="auto"/>
            </w:tcBorders>
            <w:shd w:val="clear" w:color="auto" w:fill="CCFFFF"/>
          </w:tcPr>
          <w:p>
            <w:pPr>
              <w:jc w:val="right"/>
              <w:ind w:right="55"/>
              <w:spacing w:after="0"/>
              <w:rPr>
                <w:sz w:val="20"/>
                <w:szCs w:val="20"/>
                <w:color w:val="auto"/>
              </w:rPr>
            </w:pPr>
            <w:r>
              <w:rPr>
                <w:rFonts w:ascii="Arial" w:cs="Arial" w:eastAsia="Arial" w:hAnsi="Arial"/>
                <w:sz w:val="18"/>
                <w:szCs w:val="18"/>
                <w:color w:val="auto"/>
              </w:rPr>
              <w:t>2,850,053</w:t>
            </w:r>
          </w:p>
        </w:tc>
        <w:tc>
          <w:tcPr>
            <w:tcW w:w="160" w:type="dxa"/>
            <w:vAlign w:val="bottom"/>
            <w:tcBorders>
              <w:bottom w:val="single" w:sz="8" w:color="CCFFFF"/>
            </w:tcBorders>
            <w:shd w:val="clear" w:color="auto" w:fill="CCFFFF"/>
          </w:tcPr>
          <w:p>
            <w:pPr>
              <w:spacing w:after="0"/>
              <w:rPr>
                <w:sz w:val="19"/>
                <w:szCs w:val="19"/>
                <w:color w:val="auto"/>
              </w:rPr>
            </w:pPr>
          </w:p>
        </w:tc>
        <w:tc>
          <w:tcPr>
            <w:tcW w:w="260" w:type="dxa"/>
            <w:vAlign w:val="bottom"/>
            <w:tcBorders>
              <w:bottom w:val="single" w:sz="8" w:color="auto"/>
            </w:tcBorders>
            <w:shd w:val="clear" w:color="auto" w:fill="CCFF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FFFF"/>
          </w:tcPr>
          <w:p>
            <w:pPr>
              <w:jc w:val="right"/>
              <w:ind w:right="59"/>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RA Session II, the Company’s President and Chief Executive Officer, was awarded 769,058 RSAs under the Existing Plan on July 1, 2020, which are expected to vest over a three-year term, subject to continuous employment. As of September 30, 2020, the total unrecognized compensation related to unvested RSAs granted was $3.7 million which is expected to be amortized on a straight-line basis over the weighted-average remaining vesting period of approximately 1.4 years. The fair value of these RSAs at the grant date of July 1, 2020 was $5.28 per share.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RSA activity for the nine months ended September 30, 2020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1420" w:type="dxa"/>
            <w:vAlign w:val="bottom"/>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4"/>
                <w:szCs w:val="14"/>
                <w:color w:val="auto"/>
              </w:rPr>
            </w:pPr>
          </w:p>
        </w:tc>
        <w:tc>
          <w:tcPr>
            <w:tcW w:w="142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Nonvested at January 1, 2020</w:t>
            </w:r>
          </w:p>
        </w:tc>
        <w:tc>
          <w:tcPr>
            <w:tcW w:w="1680" w:type="dxa"/>
            <w:vAlign w:val="bottom"/>
            <w:tcBorders>
              <w:top w:val="single" w:sz="8" w:color="auto"/>
            </w:tcBorders>
            <w:shd w:val="clear" w:color="auto" w:fill="CCFFFF"/>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FF"/>
            </w:tcBorders>
            <w:shd w:val="clear" w:color="auto" w:fill="CCFFFF"/>
          </w:tcPr>
          <w:p>
            <w:pPr>
              <w:spacing w:after="0"/>
              <w:rPr>
                <w:sz w:val="19"/>
                <w:szCs w:val="19"/>
                <w:color w:val="auto"/>
              </w:rPr>
            </w:pPr>
          </w:p>
        </w:tc>
        <w:tc>
          <w:tcPr>
            <w:tcW w:w="260" w:type="dxa"/>
            <w:vAlign w:val="bottom"/>
            <w:tcBorders>
              <w:top w:val="single" w:sz="8" w:color="auto"/>
            </w:tcBorders>
            <w:shd w:val="clear" w:color="auto" w:fill="CCFF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Restricted stock granted</w:t>
            </w:r>
          </w:p>
        </w:tc>
        <w:tc>
          <w:tcPr>
            <w:tcW w:w="1680" w:type="dxa"/>
            <w:vAlign w:val="bottom"/>
          </w:tcPr>
          <w:p>
            <w:pPr>
              <w:jc w:val="right"/>
              <w:ind w:right="56"/>
              <w:spacing w:after="0"/>
              <w:rPr>
                <w:sz w:val="20"/>
                <w:szCs w:val="20"/>
                <w:color w:val="auto"/>
              </w:rPr>
            </w:pPr>
            <w:r>
              <w:rPr>
                <w:rFonts w:ascii="Arial" w:cs="Arial" w:eastAsia="Arial" w:hAnsi="Arial"/>
                <w:sz w:val="18"/>
                <w:szCs w:val="18"/>
                <w:color w:val="auto"/>
              </w:rPr>
              <w:t>769,058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shd w:val="clear" w:color="auto" w:fill="CCFFFF"/>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FF"/>
          </w:tcPr>
          <w:p>
            <w:pPr>
              <w:spacing w:after="0"/>
              <w:rPr>
                <w:sz w:val="19"/>
                <w:szCs w:val="19"/>
                <w:color w:val="auto"/>
              </w:rPr>
            </w:pPr>
          </w:p>
        </w:tc>
        <w:tc>
          <w:tcPr>
            <w:tcW w:w="260" w:type="dxa"/>
            <w:vAlign w:val="bottom"/>
            <w:tcBorders>
              <w:bottom w:val="single" w:sz="8" w:color="auto"/>
            </w:tcBorders>
            <w:shd w:val="clear" w:color="auto" w:fill="CCFFFF"/>
          </w:tcPr>
          <w:p>
            <w:pPr>
              <w:spacing w:after="0"/>
              <w:rPr>
                <w:sz w:val="19"/>
                <w:szCs w:val="19"/>
                <w:color w:val="auto"/>
              </w:rPr>
            </w:pPr>
          </w:p>
        </w:tc>
        <w:tc>
          <w:tcPr>
            <w:tcW w:w="1420" w:type="dxa"/>
            <w:vAlign w:val="bottom"/>
            <w:tcBorders>
              <w:bottom w:val="single" w:sz="8" w:color="auto"/>
            </w:tcBorders>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Nonvested at September 30, 2020</w:t>
            </w:r>
          </w:p>
        </w:tc>
        <w:tc>
          <w:tcPr>
            <w:tcW w:w="16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769,058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for the stock options, RSAs and RSUs recorded in the condensed consolidated statements of operations for the three and nine months ended September 30,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4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For the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6760" w:type="dxa"/>
            <w:vAlign w:val="bottom"/>
          </w:tcPr>
          <w:p>
            <w:pPr>
              <w:spacing w:after="0"/>
              <w:rPr>
                <w:sz w:val="12"/>
                <w:szCs w:val="12"/>
                <w:color w:val="auto"/>
              </w:rPr>
            </w:pPr>
          </w:p>
        </w:tc>
        <w:tc>
          <w:tcPr>
            <w:tcW w:w="14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Nine Months</w:t>
            </w:r>
          </w:p>
        </w:tc>
      </w:tr>
      <w:tr>
        <w:trPr>
          <w:trHeight w:val="148"/>
        </w:trPr>
        <w:tc>
          <w:tcPr>
            <w:tcW w:w="6760" w:type="dxa"/>
            <w:vAlign w:val="bottom"/>
          </w:tcPr>
          <w:p>
            <w:pPr>
              <w:spacing w:after="0"/>
              <w:rPr>
                <w:sz w:val="12"/>
                <w:szCs w:val="12"/>
                <w:color w:val="auto"/>
              </w:rPr>
            </w:pPr>
          </w:p>
        </w:tc>
        <w:tc>
          <w:tcPr>
            <w:tcW w:w="14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6760" w:type="dxa"/>
            <w:vAlign w:val="bottom"/>
          </w:tcPr>
          <w:p>
            <w:pPr>
              <w:spacing w:after="0"/>
              <w:rPr>
                <w:sz w:val="12"/>
                <w:szCs w:val="12"/>
                <w:color w:val="auto"/>
              </w:rPr>
            </w:pPr>
          </w:p>
        </w:tc>
        <w:tc>
          <w:tcPr>
            <w:tcW w:w="14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6760" w:type="dxa"/>
            <w:vAlign w:val="bottom"/>
            <w:tcBorders>
              <w:bottom w:val="single" w:sz="8" w:color="CCFFFF"/>
            </w:tcBorders>
          </w:tcPr>
          <w:p>
            <w:pPr>
              <w:spacing w:after="0"/>
              <w:rPr>
                <w:sz w:val="14"/>
                <w:szCs w:val="14"/>
                <w:color w:val="auto"/>
              </w:rPr>
            </w:pPr>
          </w:p>
        </w:tc>
        <w:tc>
          <w:tcPr>
            <w:tcW w:w="14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FF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FFFF"/>
            </w:tcBorders>
          </w:tcPr>
          <w:p>
            <w:pPr>
              <w:spacing w:after="0"/>
              <w:rPr>
                <w:sz w:val="14"/>
                <w:szCs w:val="14"/>
                <w:color w:val="auto"/>
              </w:rPr>
            </w:pPr>
          </w:p>
        </w:tc>
      </w:tr>
      <w:tr>
        <w:trPr>
          <w:trHeight w:val="223"/>
        </w:trPr>
        <w:tc>
          <w:tcPr>
            <w:tcW w:w="6760" w:type="dxa"/>
            <w:vAlign w:val="bottom"/>
            <w:shd w:val="clear" w:color="auto" w:fill="CCFFFF"/>
          </w:tcPr>
          <w:p>
            <w:pPr>
              <w:spacing w:after="0"/>
              <w:rPr>
                <w:sz w:val="20"/>
                <w:szCs w:val="20"/>
                <w:color w:val="auto"/>
              </w:rPr>
            </w:pPr>
            <w:r>
              <w:rPr>
                <w:rFonts w:ascii="Arial" w:cs="Arial" w:eastAsia="Arial" w:hAnsi="Arial"/>
                <w:sz w:val="18"/>
                <w:szCs w:val="18"/>
                <w:color w:val="auto"/>
              </w:rPr>
              <w:t>Research and development expense</w:t>
            </w:r>
          </w:p>
        </w:tc>
        <w:tc>
          <w:tcPr>
            <w:tcW w:w="1440" w:type="dxa"/>
            <w:vAlign w:val="bottom"/>
            <w:shd w:val="clear" w:color="auto" w:fill="CCFFFF"/>
          </w:tcPr>
          <w:p>
            <w:pPr>
              <w:jc w:val="right"/>
              <w:ind w:right="128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FFFF"/>
          </w:tcPr>
          <w:p>
            <w:pPr>
              <w:jc w:val="right"/>
              <w:ind w:right="3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FFFF"/>
          </w:tcPr>
          <w:p>
            <w:pPr>
              <w:spacing w:after="0"/>
              <w:rPr>
                <w:sz w:val="19"/>
                <w:szCs w:val="19"/>
                <w:color w:val="auto"/>
              </w:rPr>
            </w:pPr>
          </w:p>
        </w:tc>
        <w:tc>
          <w:tcPr>
            <w:tcW w:w="300" w:type="dxa"/>
            <w:vAlign w:val="bottom"/>
            <w:shd w:val="clear" w:color="auto" w:fill="CCFF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FFFF"/>
          </w:tcPr>
          <w:p>
            <w:pPr>
              <w:jc w:val="right"/>
              <w:ind w:right="61"/>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FFFF"/>
          </w:tcPr>
          <w:p>
            <w:pPr>
              <w:spacing w:after="0"/>
              <w:rPr>
                <w:sz w:val="19"/>
                <w:szCs w:val="19"/>
                <w:color w:val="auto"/>
              </w:rPr>
            </w:pPr>
          </w:p>
        </w:tc>
      </w:tr>
      <w:tr>
        <w:trPr>
          <w:trHeight w:val="230"/>
        </w:trPr>
        <w:tc>
          <w:tcPr>
            <w:tcW w:w="6760" w:type="dxa"/>
            <w:vAlign w:val="bottom"/>
            <w:tcBorders>
              <w:bottom w:val="single" w:sz="8" w:color="CCFFFF"/>
            </w:tcBorders>
          </w:tcPr>
          <w:p>
            <w:pPr>
              <w:spacing w:after="0"/>
              <w:rPr>
                <w:sz w:val="20"/>
                <w:szCs w:val="20"/>
                <w:color w:val="auto"/>
              </w:rPr>
            </w:pPr>
            <w:r>
              <w:rPr>
                <w:rFonts w:ascii="Arial" w:cs="Arial" w:eastAsia="Arial" w:hAnsi="Arial"/>
                <w:sz w:val="18"/>
                <w:szCs w:val="18"/>
                <w:color w:val="auto"/>
              </w:rPr>
              <w:t>General and administrative expense</w:t>
            </w:r>
          </w:p>
        </w:tc>
        <w:tc>
          <w:tcPr>
            <w:tcW w:w="1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w:t>
            </w:r>
          </w:p>
        </w:tc>
        <w:tc>
          <w:tcPr>
            <w:tcW w:w="220" w:type="dxa"/>
            <w:vAlign w:val="bottom"/>
            <w:tcBorders>
              <w:bottom w:val="single" w:sz="8" w:color="CC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942</w:t>
            </w:r>
          </w:p>
        </w:tc>
        <w:tc>
          <w:tcPr>
            <w:tcW w:w="220" w:type="dxa"/>
            <w:vAlign w:val="bottom"/>
            <w:tcBorders>
              <w:bottom w:val="single" w:sz="8" w:color="CCFFFF"/>
            </w:tcBorders>
          </w:tcPr>
          <w:p>
            <w:pPr>
              <w:spacing w:after="0"/>
              <w:rPr>
                <w:sz w:val="19"/>
                <w:szCs w:val="19"/>
                <w:color w:val="auto"/>
              </w:rPr>
            </w:pPr>
          </w:p>
        </w:tc>
      </w:tr>
      <w:tr>
        <w:trPr>
          <w:trHeight w:val="223"/>
        </w:trPr>
        <w:tc>
          <w:tcPr>
            <w:tcW w:w="6760" w:type="dxa"/>
            <w:vAlign w:val="bottom"/>
            <w:tcBorders>
              <w:bottom w:val="single" w:sz="8" w:color="CCFFFF"/>
            </w:tcBorders>
            <w:shd w:val="clear" w:color="auto" w:fill="CCFFFF"/>
          </w:tcPr>
          <w:p>
            <w:pPr>
              <w:ind w:left="2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FFFF"/>
          </w:tcPr>
          <w:p>
            <w:pPr>
              <w:jc w:val="right"/>
              <w:ind w:right="128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FFFF"/>
          </w:tcPr>
          <w:p>
            <w:pPr>
              <w:jc w:val="right"/>
              <w:ind w:right="30"/>
              <w:spacing w:after="0"/>
              <w:rPr>
                <w:sz w:val="20"/>
                <w:szCs w:val="20"/>
                <w:color w:val="auto"/>
              </w:rPr>
            </w:pPr>
            <w:r>
              <w:rPr>
                <w:rFonts w:ascii="Arial" w:cs="Arial" w:eastAsia="Arial" w:hAnsi="Arial"/>
                <w:sz w:val="18"/>
                <w:szCs w:val="18"/>
                <w:color w:val="auto"/>
                <w:w w:val="93"/>
              </w:rPr>
              <w:t>1,341</w:t>
            </w:r>
          </w:p>
        </w:tc>
        <w:tc>
          <w:tcPr>
            <w:tcW w:w="220" w:type="dxa"/>
            <w:vAlign w:val="bottom"/>
            <w:tcBorders>
              <w:bottom w:val="single" w:sz="8" w:color="CCFFFF"/>
            </w:tcBorders>
            <w:shd w:val="clear" w:color="auto" w:fill="CCFFFF"/>
          </w:tcPr>
          <w:p>
            <w:pPr>
              <w:spacing w:after="0"/>
              <w:rPr>
                <w:sz w:val="19"/>
                <w:szCs w:val="19"/>
                <w:color w:val="auto"/>
              </w:rPr>
            </w:pPr>
          </w:p>
        </w:tc>
        <w:tc>
          <w:tcPr>
            <w:tcW w:w="300" w:type="dxa"/>
            <w:vAlign w:val="bottom"/>
            <w:tcBorders>
              <w:bottom w:val="single" w:sz="8" w:color="auto"/>
            </w:tcBorders>
            <w:shd w:val="clear" w:color="auto" w:fill="CCFF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FFFF"/>
          </w:tcPr>
          <w:p>
            <w:pPr>
              <w:jc w:val="right"/>
              <w:ind w:right="61"/>
              <w:spacing w:after="0"/>
              <w:rPr>
                <w:sz w:val="20"/>
                <w:szCs w:val="20"/>
                <w:color w:val="auto"/>
              </w:rPr>
            </w:pPr>
            <w:r>
              <w:rPr>
                <w:rFonts w:ascii="Arial" w:cs="Arial" w:eastAsia="Arial" w:hAnsi="Arial"/>
                <w:sz w:val="18"/>
                <w:szCs w:val="18"/>
                <w:color w:val="auto"/>
              </w:rPr>
              <w:t>1,341</w:t>
            </w:r>
          </w:p>
        </w:tc>
        <w:tc>
          <w:tcPr>
            <w:tcW w:w="220" w:type="dxa"/>
            <w:vAlign w:val="bottom"/>
            <w:tcBorders>
              <w:bottom w:val="single" w:sz="8" w:color="CCFFFF"/>
            </w:tcBorders>
            <w:shd w:val="clear" w:color="auto" w:fill="CCFF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7—Net Loss Per Common Share</w:t>
      </w:r>
    </w:p>
    <w:p>
      <w:pPr>
        <w:spacing w:after="0" w:line="12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by the weighted-average number of shares of common stock outstanding for the period. Since the Company had a net loss in the period presented, basic and diluted net loss per common share are the same.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firstLine="749"/>
        <w:spacing w:after="0" w:line="223" w:lineRule="exact"/>
        <w:rPr>
          <w:sz w:val="20"/>
          <w:szCs w:val="20"/>
          <w:color w:val="auto"/>
        </w:rPr>
      </w:pPr>
      <w:r>
        <w:rPr>
          <w:rFonts w:ascii="Arial" w:cs="Arial" w:eastAsia="Arial" w:hAnsi="Arial"/>
          <w:sz w:val="18"/>
          <w:szCs w:val="18"/>
          <w:color w:val="auto"/>
        </w:rPr>
        <w:t>The following common stock equivalents outstanding as of September 30, 2020 were excluded from the computation of diluted net loss per share attributable to common stockholders for the period presented because including them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90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For the</w:t>
            </w:r>
          </w:p>
        </w:tc>
      </w:tr>
      <w:tr>
        <w:trPr>
          <w:trHeight w:val="148"/>
        </w:trPr>
        <w:tc>
          <w:tcPr>
            <w:tcW w:w="9340" w:type="dxa"/>
            <w:vAlign w:val="bottom"/>
          </w:tcPr>
          <w:p>
            <w:pPr>
              <w:spacing w:after="0"/>
              <w:rPr>
                <w:sz w:val="12"/>
                <w:szCs w:val="12"/>
                <w:color w:val="auto"/>
              </w:rPr>
            </w:pPr>
          </w:p>
        </w:tc>
        <w:tc>
          <w:tcPr>
            <w:tcW w:w="1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Three Months</w:t>
            </w:r>
          </w:p>
        </w:tc>
      </w:tr>
      <w:tr>
        <w:trPr>
          <w:trHeight w:val="149"/>
        </w:trPr>
        <w:tc>
          <w:tcPr>
            <w:tcW w:w="9340" w:type="dxa"/>
            <w:vAlign w:val="bottom"/>
          </w:tcPr>
          <w:p>
            <w:pPr>
              <w:spacing w:after="0"/>
              <w:rPr>
                <w:sz w:val="12"/>
                <w:szCs w:val="12"/>
                <w:color w:val="auto"/>
              </w:rPr>
            </w:pPr>
          </w:p>
        </w:tc>
        <w:tc>
          <w:tcPr>
            <w:tcW w:w="1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9340" w:type="dxa"/>
            <w:vAlign w:val="bottom"/>
          </w:tcPr>
          <w:p>
            <w:pPr>
              <w:spacing w:after="0"/>
              <w:rPr>
                <w:sz w:val="12"/>
                <w:szCs w:val="12"/>
                <w:color w:val="auto"/>
              </w:rPr>
            </w:pPr>
          </w:p>
        </w:tc>
        <w:tc>
          <w:tcPr>
            <w:tcW w:w="1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9340" w:type="dxa"/>
            <w:vAlign w:val="bottom"/>
            <w:tcBorders>
              <w:bottom w:val="single" w:sz="8" w:color="CCFFFF"/>
            </w:tcBorders>
          </w:tcPr>
          <w:p>
            <w:pPr>
              <w:spacing w:after="0"/>
              <w:rPr>
                <w:sz w:val="14"/>
                <w:szCs w:val="14"/>
                <w:color w:val="auto"/>
              </w:rPr>
            </w:pPr>
          </w:p>
        </w:tc>
        <w:tc>
          <w:tcPr>
            <w:tcW w:w="1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r>
      <w:tr>
        <w:trPr>
          <w:trHeight w:val="223"/>
        </w:trPr>
        <w:tc>
          <w:tcPr>
            <w:tcW w:w="9340" w:type="dxa"/>
            <w:vAlign w:val="bottom"/>
            <w:shd w:val="clear" w:color="auto" w:fill="CCFFFF"/>
          </w:tcPr>
          <w:p>
            <w:pPr>
              <w:spacing w:after="0"/>
              <w:rPr>
                <w:sz w:val="20"/>
                <w:szCs w:val="20"/>
                <w:color w:val="auto"/>
              </w:rPr>
            </w:pPr>
            <w:r>
              <w:rPr>
                <w:rFonts w:ascii="Arial" w:cs="Arial" w:eastAsia="Arial" w:hAnsi="Arial"/>
                <w:sz w:val="18"/>
                <w:szCs w:val="18"/>
                <w:color w:val="auto"/>
              </w:rPr>
              <w:t>Unvested RSUs</w:t>
            </w:r>
          </w:p>
        </w:tc>
        <w:tc>
          <w:tcPr>
            <w:tcW w:w="1900" w:type="dxa"/>
            <w:vAlign w:val="bottom"/>
            <w:shd w:val="clear" w:color="auto" w:fill="CCFFFF"/>
          </w:tcPr>
          <w:p>
            <w:pPr>
              <w:jc w:val="right"/>
              <w:ind w:right="40"/>
              <w:spacing w:after="0"/>
              <w:rPr>
                <w:sz w:val="20"/>
                <w:szCs w:val="20"/>
                <w:color w:val="auto"/>
              </w:rPr>
            </w:pPr>
            <w:r>
              <w:rPr>
                <w:rFonts w:ascii="Arial" w:cs="Arial" w:eastAsia="Arial" w:hAnsi="Arial"/>
                <w:sz w:val="18"/>
                <w:szCs w:val="18"/>
                <w:color w:val="auto"/>
              </w:rPr>
              <w:t>2,850,053</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Unvested RSAs</w:t>
            </w:r>
          </w:p>
        </w:tc>
        <w:tc>
          <w:tcPr>
            <w:tcW w:w="1900" w:type="dxa"/>
            <w:vAlign w:val="bottom"/>
          </w:tcPr>
          <w:p>
            <w:pPr>
              <w:jc w:val="right"/>
              <w:ind w:right="40"/>
              <w:spacing w:after="0"/>
              <w:rPr>
                <w:sz w:val="20"/>
                <w:szCs w:val="20"/>
                <w:color w:val="auto"/>
              </w:rPr>
            </w:pPr>
            <w:r>
              <w:rPr>
                <w:rFonts w:ascii="Arial" w:cs="Arial" w:eastAsia="Arial" w:hAnsi="Arial"/>
                <w:sz w:val="18"/>
                <w:szCs w:val="18"/>
                <w:color w:val="auto"/>
              </w:rPr>
              <w:t>769,058</w:t>
            </w:r>
          </w:p>
        </w:tc>
      </w:tr>
      <w:tr>
        <w:trPr>
          <w:trHeight w:val="229"/>
        </w:trPr>
        <w:tc>
          <w:tcPr>
            <w:tcW w:w="9340" w:type="dxa"/>
            <w:vAlign w:val="bottom"/>
            <w:shd w:val="clear" w:color="auto" w:fill="CCFFFF"/>
          </w:tcPr>
          <w:p>
            <w:pPr>
              <w:spacing w:after="0"/>
              <w:rPr>
                <w:sz w:val="20"/>
                <w:szCs w:val="20"/>
                <w:color w:val="auto"/>
              </w:rPr>
            </w:pPr>
            <w:r>
              <w:rPr>
                <w:rFonts w:ascii="Arial" w:cs="Arial" w:eastAsia="Arial" w:hAnsi="Arial"/>
                <w:sz w:val="18"/>
                <w:szCs w:val="18"/>
                <w:color w:val="auto"/>
              </w:rPr>
              <w:t>Stock options</w:t>
            </w:r>
          </w:p>
        </w:tc>
        <w:tc>
          <w:tcPr>
            <w:tcW w:w="1900" w:type="dxa"/>
            <w:vAlign w:val="bottom"/>
            <w:tcBorders>
              <w:bottom w:val="single" w:sz="8" w:color="auto"/>
            </w:tcBorders>
            <w:shd w:val="clear" w:color="auto" w:fill="CCFFFF"/>
          </w:tcPr>
          <w:p>
            <w:pPr>
              <w:jc w:val="right"/>
              <w:ind w:right="40"/>
              <w:spacing w:after="0"/>
              <w:rPr>
                <w:sz w:val="20"/>
                <w:szCs w:val="20"/>
                <w:color w:val="auto"/>
              </w:rPr>
            </w:pPr>
            <w:r>
              <w:rPr>
                <w:rFonts w:ascii="Arial" w:cs="Arial" w:eastAsia="Arial" w:hAnsi="Arial"/>
                <w:sz w:val="18"/>
                <w:szCs w:val="18"/>
                <w:color w:val="auto"/>
              </w:rPr>
              <w:t>185,342</w:t>
            </w:r>
          </w:p>
        </w:tc>
      </w:tr>
      <w:tr>
        <w:trPr>
          <w:trHeight w:val="223"/>
        </w:trPr>
        <w:tc>
          <w:tcPr>
            <w:tcW w:w="9340" w:type="dxa"/>
            <w:vAlign w:val="bottom"/>
          </w:tcPr>
          <w:p>
            <w:pPr>
              <w:ind w:left="26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3,804,453</w:t>
            </w:r>
          </w:p>
        </w:tc>
      </w:tr>
      <w:tr>
        <w:trPr>
          <w:trHeight w:val="20"/>
        </w:trPr>
        <w:tc>
          <w:tcPr>
            <w:tcW w:w="9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RA Session II, President and Chief Executive Officer and a member of the Company’s board of directors, is a guarantor under the Guaranty and Security Agreement between himself, Queen’s and the Company, and in the event of the Company’s failure to fund its obligations under the RGA with Queen’s, has personally guaranteed payments due by the Company to Queen’s.</w:t>
      </w:r>
    </w:p>
    <w:p>
      <w:pPr>
        <w:spacing w:after="0" w:line="184"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In January 2020, the Company entered into two secured promissory notes with a related party, its President and Chief Executive Officer, RA Session II, for an aggregate of $1.67 million, with 10% interest. The Company secured the notes with a first priority security interest in certain assets of the Company. As of September 30, 2020, the Company had repaid the notes in full. As a result, Mr. Session released his security interest in the collateral.</w:t>
      </w:r>
    </w:p>
    <w:p>
      <w:pPr>
        <w:spacing w:after="0" w:line="149"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In March 2020, the Company entered into a services agreement with PBM Capital Group, LLC (“PBM”), an affiliate of PBM TGT Holdings, LLC (a beneficial owner of greater than 5% of the Company’s common stock), whereby PBM provides accounting and other administrative and management services related to payroll administration, human resources, bookkeeping, preparation of financial statements and tax returns, accounts payable and receivable, and other similar functions for a fee of $2,500 per month. As of September 30, 2020, inclusive of certain pass-through direct costs, the Company has approximately $60,000 due to PBM, which is included in due to related party in the condensed consolidated balance sheet.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21"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Based on its history of operating losses, the Company believes that it is more likely than not that the benefit of its deferred tax assets will not be realized. Accordingly, the Company has provided a full valuation allowance for its deferred tax assets as of September 30, 2020 and December 31, 2019.</w:t>
      </w:r>
    </w:p>
    <w:p>
      <w:pPr>
        <w:spacing w:after="0" w:line="178"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On March 27, 2020, the U.S. President signed into law the Coronavirus Aid, Relief and Economic Security Act (the “CARES Act”), an economic relief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Company is still evaluating the impact but does not currently expect the provisions of the CARES Act to have a material effect on the realizability of deferred income tax assets or tax expense.</w:t>
      </w:r>
    </w:p>
    <w:p>
      <w:pPr>
        <w:spacing w:after="0" w:line="178" w:lineRule="exact"/>
        <w:rPr>
          <w:sz w:val="20"/>
          <w:szCs w:val="20"/>
          <w:color w:val="auto"/>
        </w:rPr>
      </w:pPr>
    </w:p>
    <w:p>
      <w:pPr>
        <w:ind w:right="820" w:firstLine="749"/>
        <w:spacing w:after="0" w:line="277" w:lineRule="auto"/>
        <w:rPr>
          <w:sz w:val="20"/>
          <w:szCs w:val="20"/>
          <w:color w:val="auto"/>
        </w:rPr>
      </w:pPr>
      <w:r>
        <w:rPr>
          <w:rFonts w:ascii="Arial" w:cs="Arial" w:eastAsia="Arial" w:hAnsi="Arial"/>
          <w:sz w:val="18"/>
          <w:szCs w:val="18"/>
          <w:color w:val="auto"/>
        </w:rPr>
        <w:t>As of September 30, 2020, there were no material changes to either the nature or the amounts of the uncertain tax positions previously determined for the period from September 20, 2019 (date of inception) through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500" w:firstLine="749"/>
        <w:spacing w:after="0" w:line="308" w:lineRule="auto"/>
        <w:rPr>
          <w:sz w:val="20"/>
          <w:szCs w:val="20"/>
          <w:color w:val="auto"/>
        </w:rPr>
      </w:pPr>
      <w:r>
        <w:rPr>
          <w:rFonts w:ascii="Arial" w:cs="Arial" w:eastAsia="Arial" w:hAnsi="Arial"/>
          <w:sz w:val="17"/>
          <w:szCs w:val="17"/>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2020, the Company was not a party to any leasing agreements.</w:t>
      </w:r>
    </w:p>
    <w:p>
      <w:pPr>
        <w:spacing w:after="0" w:line="225"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September 30, 2020. The Company does not anticipate recognizing any significant losses relating to these arrangements.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with Catalent, Inc.</w:t>
      </w:r>
    </w:p>
    <w:p>
      <w:pPr>
        <w:spacing w:after="0" w:line="131"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On November 5, 2020, the Company announced a partnership with Catalent, Inc. (“Catalent”) to support the development and manufacturing of the Company’s gene therapies at Catalent’s Maryland-based gene therapy facilities.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 (Rett)</w:t>
      </w:r>
    </w:p>
    <w:p>
      <w:pPr>
        <w:spacing w:after="0" w:line="11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7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70"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In connection with the Abeona Rett Agreement, the Company paid Abeona a one-time upfront license fee of $3.0 million.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64"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with Invitae Corporation</w:t>
      </w:r>
    </w:p>
    <w:p>
      <w:pPr>
        <w:spacing w:after="0" w:line="131" w:lineRule="exact"/>
        <w:rPr>
          <w:sz w:val="20"/>
          <w:szCs w:val="20"/>
          <w:color w:val="auto"/>
        </w:rPr>
      </w:pPr>
    </w:p>
    <w:p>
      <w:pPr>
        <w:ind w:right="180" w:firstLine="749"/>
        <w:spacing w:after="0" w:line="311" w:lineRule="auto"/>
        <w:rPr>
          <w:sz w:val="20"/>
          <w:szCs w:val="20"/>
          <w:color w:val="auto"/>
        </w:rPr>
      </w:pPr>
      <w:r>
        <w:rPr>
          <w:rFonts w:ascii="Arial" w:cs="Arial" w:eastAsia="Arial" w:hAnsi="Arial"/>
          <w:sz w:val="16"/>
          <w:szCs w:val="16"/>
          <w:color w:val="auto"/>
        </w:rPr>
        <w:t>On October 6, 2020, the Company announced a partnership with Invitae Corporation (“Invitae”) to support Invitae’s Detect Lysosomal Storage Diseases (Detect LSDs) and Behind the Seizure® programs. The partnership is intended to help identify individuals who are eligible for the Company’s Phase 1/2 clinical trial evaluating TSHA-101 in patients with GM2 gangliosidosis and patient identification across the Company’s gene therapy pipeline.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period from September 20, 2019 (date of inception) through December 31, 2019 and the related Management’s Discussion and Analysis of Financial Condition and Results of Operations, included in our final prospectus dated September 23, 2020 and filed with the Securities and Exchange Commission, or SEC, on September 25, 2020, pursuant to Rule 424(b)(4) under the Securities Act of 1933, as amended, or the Securities Act. Unless the context requires otherwise, references in this Quarterly Report on Form 10-Q to “we,” “us,” and “our” refer to Taysha Gene Therapies, Inc. together with its consolidated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749"/>
        <w:spacing w:after="0" w:line="268" w:lineRule="auto"/>
        <w:rPr>
          <w:sz w:val="20"/>
          <w:szCs w:val="20"/>
          <w:color w:val="auto"/>
        </w:rPr>
      </w:pPr>
      <w:r>
        <w:rPr>
          <w:rFonts w:ascii="Arial" w:cs="Arial" w:eastAsia="Arial" w:hAnsi="Arial"/>
          <w:sz w:val="17"/>
          <w:szCs w:val="17"/>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capabilities, we believe we have created a powerful engine to develop transformative therapies to dramatically improve patients’ lives. We expect to initiate a Phase 1/2 clinical trial of TSHA-101 for the treatment of GM2 gangliosidosis, under a Clinical Trial Application,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(formerly ABO-202)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186" w:lineRule="exact"/>
        <w:rPr>
          <w:sz w:val="20"/>
          <w:szCs w:val="20"/>
          <w:color w:val="auto"/>
        </w:rPr>
      </w:pPr>
    </w:p>
    <w:p>
      <w:pPr>
        <w:ind w:right="240" w:firstLine="749"/>
        <w:spacing w:after="0" w:line="275" w:lineRule="auto"/>
        <w:rPr>
          <w:sz w:val="20"/>
          <w:szCs w:val="20"/>
          <w:color w:val="auto"/>
        </w:rPr>
      </w:pPr>
      <w:r>
        <w:rPr>
          <w:rFonts w:ascii="Arial" w:cs="Arial" w:eastAsia="Arial" w:hAnsi="Arial"/>
          <w:sz w:val="17"/>
          <w:szCs w:val="17"/>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preclinical testing stage. We do not have any product candidates approved for sale and have not generated any revenue from product sales. We have funded our operations through the sale of equity, raising an aggregate of $307.0 million of gross proceeds from our initial public offering and private placements of our convertible preferred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ind w:firstLine="749"/>
        <w:spacing w:after="0" w:line="259" w:lineRule="auto"/>
        <w:rPr>
          <w:sz w:val="20"/>
          <w:szCs w:val="20"/>
          <w:color w:val="auto"/>
        </w:rPr>
      </w:pPr>
      <w:r>
        <w:rPr>
          <w:rFonts w:ascii="Arial" w:cs="Arial" w:eastAsia="Arial" w:hAnsi="Arial"/>
          <w:sz w:val="18"/>
          <w:szCs w:val="18"/>
          <w:color w:val="auto"/>
        </w:rPr>
        <w:t>Since our inception, we have incurred significant operating losses. Our net losses were $1.1 million for the period from September 20, 2019 (date of inception) through December 31, 2019, and $41.7 million for the nine months ended September 30, 2020. As of September 30, 2020, we had an accumulated deficit of $42.8 million. We expect to continue to incur significant expenses and operating losses for the foreseeable future. We anticipate that our expenses will increase significantly in connection with our ongoing activities, as we:</w:t>
      </w:r>
    </w:p>
    <w:p>
      <w:pPr>
        <w:spacing w:after="0" w:line="79"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w:t>
      </w:r>
    </w:p>
    <w:p>
      <w:pPr>
        <w:spacing w:after="0" w:line="117"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planned clinical trial of TSHA-101, as well as initiate and complete additional clinical trials of TSHA-101, TSHA-118, TSHA-102, TSHA-103, TSHA-104 and future product candidates;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1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In November 2019, we entered into the UT Southwestern Agreement with The Board of Regents of the University of Texas System on behalf of UT Southwestern, as amended in April 2020.</w:t>
      </w:r>
    </w:p>
    <w:p>
      <w:pPr>
        <w:spacing w:after="0" w:line="170"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78"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In connection with the entry into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 at Kingston</w:t>
      </w:r>
    </w:p>
    <w:p>
      <w:pPr>
        <w:spacing w:after="0" w:line="117" w:lineRule="exact"/>
        <w:rPr>
          <w:sz w:val="20"/>
          <w:szCs w:val="20"/>
          <w:color w:val="auto"/>
        </w:rPr>
      </w:pPr>
    </w:p>
    <w:p>
      <w:pPr>
        <w:ind w:right="180" w:firstLine="749"/>
        <w:spacing w:after="0" w:line="273" w:lineRule="auto"/>
        <w:rPr>
          <w:sz w:val="20"/>
          <w:szCs w:val="20"/>
          <w:color w:val="auto"/>
        </w:rPr>
      </w:pPr>
      <w:r>
        <w:rPr>
          <w:rFonts w:ascii="Arial" w:cs="Arial" w:eastAsia="Arial" w:hAnsi="Arial"/>
          <w:sz w:val="17"/>
          <w:szCs w:val="17"/>
          <w:color w:val="auto"/>
        </w:rPr>
        <w:t>In February 2020, we entered into a license agreement, or the Queen’s University Agreement, with Queen’s University at Kingston, or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20" w:firstLine="749"/>
        <w:spacing w:after="0" w:line="290" w:lineRule="auto"/>
        <w:rPr>
          <w:sz w:val="20"/>
          <w:szCs w:val="20"/>
          <w:color w:val="auto"/>
        </w:rPr>
      </w:pPr>
      <w:r>
        <w:rPr>
          <w:rFonts w:ascii="Arial" w:cs="Arial" w:eastAsia="Arial" w:hAnsi="Arial"/>
          <w:sz w:val="16"/>
          <w:szCs w:val="16"/>
          <w:color w:val="auto"/>
        </w:rPr>
        <w:t>In connection with the Queen’s University Agreement, we paid Queen’s University a one-time fee of $3.0 million as an upfront fee and approximately $220,000 to reimburse Queen’s University for certain plasmid production costs. We are obligated to pay Queen’s University up to $10.0 million in the aggregate upon achievement of certain regulatory milestones and up to $10.0 million in the aggregate upon achievement of certain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165" w:lineRule="exact"/>
        <w:rPr>
          <w:sz w:val="20"/>
          <w:szCs w:val="20"/>
          <w:color w:val="auto"/>
        </w:rPr>
      </w:pPr>
    </w:p>
    <w:p>
      <w:pPr>
        <w:ind w:right="660" w:firstLine="749"/>
        <w:spacing w:after="0" w:line="277" w:lineRule="auto"/>
        <w:rPr>
          <w:sz w:val="20"/>
          <w:szCs w:val="20"/>
          <w:color w:val="auto"/>
        </w:rPr>
      </w:pPr>
      <w:r>
        <w:rPr>
          <w:rFonts w:ascii="Arial" w:cs="Arial" w:eastAsia="Arial" w:hAnsi="Arial"/>
          <w:sz w:val="18"/>
          <w:szCs w:val="18"/>
          <w:color w:val="auto"/>
        </w:rPr>
        <w:t>We were also obligated under the terms of a separate research grant agreement between us and Queen’s University to pay up to a total of $3.8 million to fund certain manufacturing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 (CLN1 Disease)</w:t>
      </w:r>
    </w:p>
    <w:p>
      <w:pPr>
        <w:spacing w:after="0" w:line="11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University of North Carolina at Chapel Hill and Abeona to research, develop, manufacture, have manufactured, use, and commercialize licensed products for gene therapy for the prevention, treatment, or diagnosis of CLN1 Disease (or infantile Batten disease) in humans.</w:t>
      </w:r>
    </w:p>
    <w:p>
      <w:pPr>
        <w:spacing w:after="0" w:line="188"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In connection with the license grant, we will pay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w:t>
      </w:r>
    </w:p>
    <w:p>
      <w:pPr>
        <w:spacing w:after="0" w:line="178"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43"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We have been actively monitoring the novel coronavirus, or COVID-19, situation and its impact globally. Our financial results for the three and nine months ended September 30, 2020 were not impacted by COVID-19, and we currently do not expect any material impact on our financial results for the remainder of 2020. We believe the remote working arrangements and travel restrictions imposed by various governmental jurisdictions have had limited impact on our ability to maintain internal operations during the nine months ended September 30, 2020. The extent to which COVID-19 may impact our business and operations will depend on future developments that are highly uncertain and cannot be predicted with confidence, such as the ultimate geographic spread of the disease, the duration of the outbreak and the effectiveness of actions to contain and treat COVID-19. We cannot presently predict the scope and severity of any potential business shutdowns or disruptions, including to our planned clinical trials and preclinical studies. Any such shutdowns or other business interruptions could result in material and negative effects to our ability to conduct our business in the manner and on the timelines presently planned, which could have a material adverse impact on our business, results of operation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84" w:lineRule="exact"/>
        <w:rPr>
          <w:sz w:val="20"/>
          <w:szCs w:val="20"/>
          <w:color w:val="auto"/>
        </w:rPr>
      </w:pPr>
    </w:p>
    <w:p>
      <w:pPr>
        <w:ind w:left="1120" w:right="62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120" w:right="66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62" w:lineRule="exact"/>
        <w:rPr>
          <w:rFonts w:ascii="Arial" w:cs="Arial" w:eastAsia="Arial" w:hAnsi="Arial"/>
          <w:sz w:val="18"/>
          <w:szCs w:val="18"/>
          <w:color w:val="auto"/>
        </w:rPr>
      </w:pPr>
    </w:p>
    <w:p>
      <w:pPr>
        <w:ind w:left="1120" w:right="78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120" w:right="68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17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Research and development activities are central to our business model. We do not currently track our research and development expenses on a program-by-program basis as such costs are deployed across multiple projects under development.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71" w:lineRule="exact"/>
        <w:rPr>
          <w:sz w:val="20"/>
          <w:szCs w:val="20"/>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development;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patient trial costs, including based on the number of doses that patients received;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who enroll in each trial;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17" w:lineRule="exact"/>
        <w:rPr>
          <w:rFonts w:ascii="Arial" w:cs="Arial" w:eastAsia="Arial" w:hAnsi="Arial"/>
          <w:sz w:val="18"/>
          <w:szCs w:val="18"/>
          <w:color w:val="auto"/>
        </w:rPr>
      </w:pPr>
    </w:p>
    <w:p>
      <w:pPr>
        <w:ind w:left="1120" w:right="24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manufacture of our product candidates;</w:t>
      </w:r>
    </w:p>
    <w:p>
      <w:pPr>
        <w:spacing w:after="0" w:line="117" w:lineRule="exact"/>
        <w:rPr>
          <w:rFonts w:ascii="Arial" w:cs="Arial" w:eastAsia="Arial" w:hAnsi="Arial"/>
          <w:sz w:val="18"/>
          <w:szCs w:val="18"/>
          <w:color w:val="auto"/>
        </w:rPr>
      </w:pPr>
    </w:p>
    <w:p>
      <w:pPr>
        <w:ind w:left="1120" w:right="100" w:hanging="370"/>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 We began paying salaries and related costs for personnel during the quarter ended June 30, 2020 and granted equity awards to employees and directors during the quarter ended September 30, 2020.</w:t>
      </w:r>
    </w:p>
    <w:p>
      <w:pPr>
        <w:spacing w:after="0" w:line="157"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We anticipate the additional costs for these services will increase our general and administrative expenses by between $6.0 million and $7.0 million on an annual basis, including the cost of director and officer liability insurance.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Results of Operations for the Three Months Ended September 30, 2020 and for the Period from September 20, 2019 (date of inception) through September 30, 2019</w:t>
      </w:r>
    </w:p>
    <w:p>
      <w:pPr>
        <w:spacing w:after="0" w:line="62"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2020 and the period from September 20, 2019 (date of inception) through September 30,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w:t>
            </w: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September 20,</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2019 (date of</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2"/>
                <w:szCs w:val="12"/>
                <w:color w:val="auto"/>
              </w:rPr>
            </w:pPr>
          </w:p>
        </w:tc>
        <w:tc>
          <w:tcPr>
            <w:tcW w:w="14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8"/>
              <w:spacing w:after="0"/>
              <w:rPr>
                <w:sz w:val="20"/>
                <w:szCs w:val="20"/>
                <w:color w:val="auto"/>
              </w:rPr>
            </w:pPr>
            <w:r>
              <w:rPr>
                <w:rFonts w:ascii="Arial" w:cs="Arial" w:eastAsia="Arial" w:hAnsi="Arial"/>
                <w:sz w:val="18"/>
                <w:szCs w:val="18"/>
                <w:color w:val="auto"/>
              </w:rPr>
              <w:t>11,057</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8"/>
              <w:spacing w:after="0"/>
              <w:rPr>
                <w:sz w:val="20"/>
                <w:szCs w:val="20"/>
                <w:color w:val="auto"/>
              </w:rPr>
            </w:pPr>
            <w:r>
              <w:rPr>
                <w:rFonts w:ascii="Arial" w:cs="Arial" w:eastAsia="Arial" w:hAnsi="Arial"/>
                <w:sz w:val="18"/>
                <w:szCs w:val="18"/>
                <w:color w:val="auto"/>
              </w:rPr>
              <w:t>3,984</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15,041</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(15,041)</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(15,042)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Research and development expenses were $11.1 million for the three months ended September 30, 2020, compared to no expenses for the period from September 20, 2019 (date of inception) through September 30, 2019. The $11.1 million was primarily attributable to $7.0 million of expenses recognized pursuant to the Abeona CLN1 Agreement, as well as $2.8 million in other sponsored research agreements for our various product candidates. Additionally, we incurred regulatory and clinical consulting expenses of $0.6 million and employee compensation and benefits expenses of $0.7 million, which included $0.4 million of non-cash stock-based compensation.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General and administrative expenses were $4.0 million for the three months ended September 30, 2020, compared to less than $0.1 million for the period from September 20, 2019 (date of inception) through September 30, 2019. The increase of approximately $4.0 million was primarily attributable to $2.1 million of compensation and benefits related to new hires, which included $0.9 million of non-cash stock-based compensation, $1.4 million in consulting fees, $0.3 million of legal expenses related to general corporate matters and approximately $0.2 million related to insurance and other administrative expenses.</w:t>
      </w:r>
    </w:p>
    <w:p>
      <w:pPr>
        <w:spacing w:after="0" w:line="29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Results of Operations for the Nine Months Ended September 30, 2020 and for the Period from September 20, 2019 (date of inception) through September 30, 2019</w:t>
      </w:r>
    </w:p>
    <w:p>
      <w:pPr>
        <w:spacing w:after="0" w:line="62"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2020 and the period from September 20, 2019 (date of inception) through September 30,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78"/>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w:t>
            </w:r>
          </w:p>
        </w:tc>
        <w:tc>
          <w:tcPr>
            <w:tcW w:w="220" w:type="dxa"/>
            <w:vAlign w:val="bottom"/>
          </w:tcPr>
          <w:p>
            <w:pPr>
              <w:spacing w:after="0"/>
              <w:rPr>
                <w:sz w:val="12"/>
                <w:szCs w:val="12"/>
                <w:color w:val="auto"/>
              </w:rPr>
            </w:pPr>
          </w:p>
        </w:tc>
        <w:tc>
          <w:tcPr>
            <w:tcW w:w="146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1"/>
              </w:rPr>
              <w:t>September 20,</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3"/>
              </w:rPr>
              <w:t>2019 (date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220" w:type="dxa"/>
            <w:vAlign w:val="bottom"/>
          </w:tcPr>
          <w:p>
            <w:pPr>
              <w:spacing w:after="0"/>
              <w:rPr>
                <w:sz w:val="12"/>
                <w:szCs w:val="12"/>
                <w:color w:val="auto"/>
              </w:rPr>
            </w:pPr>
          </w:p>
        </w:tc>
        <w:tc>
          <w:tcPr>
            <w:tcW w:w="146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6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46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19,633</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7"/>
              <w:spacing w:after="0"/>
              <w:rPr>
                <w:sz w:val="20"/>
                <w:szCs w:val="20"/>
                <w:color w:val="auto"/>
              </w:rPr>
            </w:pPr>
            <w:r>
              <w:rPr>
                <w:rFonts w:ascii="Arial" w:cs="Arial" w:eastAsia="Arial" w:hAnsi="Arial"/>
                <w:sz w:val="18"/>
                <w:szCs w:val="18"/>
                <w:color w:val="auto"/>
              </w:rPr>
              <w:t>5,002</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24,635</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(24,635)</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(17,030)</w:t>
            </w:r>
          </w:p>
        </w:tc>
        <w:tc>
          <w:tcPr>
            <w:tcW w:w="16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FFFF"/>
            </w:tcBorders>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FFFF"/>
          </w:tcPr>
          <w:p>
            <w:pPr>
              <w:ind w:left="26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(17,058)</w:t>
            </w:r>
          </w:p>
        </w:tc>
        <w:tc>
          <w:tcPr>
            <w:tcW w:w="160" w:type="dxa"/>
            <w:vAlign w:val="bottom"/>
            <w:shd w:val="clear" w:color="auto" w:fill="CCFFFF"/>
          </w:tcPr>
          <w:p>
            <w:pPr>
              <w:spacing w:after="0"/>
              <w:rPr>
                <w:sz w:val="19"/>
                <w:szCs w:val="19"/>
                <w:color w:val="auto"/>
              </w:rPr>
            </w:pPr>
          </w:p>
        </w:tc>
        <w:tc>
          <w:tcPr>
            <w:tcW w:w="220" w:type="dxa"/>
            <w:vAlign w:val="bottom"/>
            <w:tcBorders>
              <w:bottom w:val="single" w:sz="8" w:color="auto"/>
            </w:tcBorders>
            <w:shd w:val="clear" w:color="auto" w:fill="CCFFFF"/>
          </w:tcPr>
          <w:p>
            <w:pPr>
              <w:spacing w:after="0"/>
              <w:rPr>
                <w:sz w:val="19"/>
                <w:szCs w:val="19"/>
                <w:color w:val="auto"/>
              </w:rPr>
            </w:pPr>
          </w:p>
        </w:tc>
        <w:tc>
          <w:tcPr>
            <w:tcW w:w="1460" w:type="dxa"/>
            <w:vAlign w:val="bottom"/>
            <w:tcBorders>
              <w:bottom w:val="single" w:sz="8" w:color="auto"/>
            </w:tcBorders>
            <w:shd w:val="clear" w:color="auto" w:fill="CCFFFF"/>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(41,693)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Research and development expenses were $19.6 million for the nine months ended September 30, 2020, compared to no expenses for the period from September 20, 2019 (date of inception) through September 30, 2019. The $19.6 million was primarily attributable to $10.0 million of expenses recognized pursuant to the Queen’s University Agreement and the Abeona CLN1 Agreement, $4.1 million related to the manufacture of clinical trial material and $3.9 million in other sponsored research agreements for our various product candidates. Additionally, we incurred regulatory and clinical consulting expenses of $0.8 million and employee compensation and benefits expenses of $0.8 million, which included $0.4 million of non-cash stock-based compensation.</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General and administrative expenses were $5.0 million for the nine months ended September 30, 2020, compared to less than $0.1 million for the period from September 20, 2019 (date of inception) through September 30, 2019. The increase of approximately $5.0 million was primarily attributable to $2.7 million of compensation and benefits related to new hires, which included $0.9 million of non-cash stock-based compensation, $1.7 million in consulting fees, $0.5 million of legal expenses related to general corporate matters and $0.1 million related to insurance and other administrative expenses.</w:t>
      </w:r>
    </w:p>
    <w:p>
      <w:pPr>
        <w:spacing w:after="0" w:line="2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 in Fair Value of Preferred Stock Tranche Liability</w:t>
      </w:r>
    </w:p>
    <w:p>
      <w:pPr>
        <w:spacing w:after="0" w:line="117"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18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On June 30, 2020, ahead of the anticipated closing of the Series B preferred stock financing at a purchase price of $17.00 per share on July 2, 2020, certain investors elected to exercise in full their options to purchase their pro-rata portion of the milestone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220"/>
        <w:spacing w:after="0" w:line="311" w:lineRule="auto"/>
        <w:rPr>
          <w:sz w:val="20"/>
          <w:szCs w:val="20"/>
          <w:color w:val="auto"/>
        </w:rPr>
      </w:pPr>
      <w:r>
        <w:rPr>
          <w:rFonts w:ascii="Arial" w:cs="Arial" w:eastAsia="Arial" w:hAnsi="Arial"/>
          <w:sz w:val="16"/>
          <w:szCs w:val="16"/>
          <w:color w:val="auto"/>
        </w:rPr>
        <w:t>shares prior to our achievement of the clinical milestones and purchased 200,000 shares of Series A convertible preferred stock. We remeasured the fair value of the entire tranche liability at June 30, 2020, and recognized a non-cash expense of approximately $17.0 million. The tranche liability was extinguished upon the issuance of the Series A milestone shares on July 1, 2020 and July 2, 2020, and no additional changes in fair value were recorded.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Since our inception, we have not generated any revenue and have incurred significant operating losses. As of September 30, 2020, we had cash and cash equivalents of $278.6 million. We have funded our operations through equity financings, raising an aggregate of $307.0 million in gross proceeds from our initial public offering and private placements of convertible preferred stock.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In addition, if we obtain approval for any of our product candidates, we expect to incur significant commercialization expenses related to sales, marketing, manufacturing and distribution. Furthermore, we expect to incur additional costs associated with operating as a public company.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85"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We believe that our existing cash and cash equivalents will enable us to fund our operating expenses and capital requirements into 2023. We intend to devote our existing cash and cash equivalents to the clinical and preclinical development of our product candidates. We have based this estimate on assumptions that may prove to be imprecise, and we could utilize our available capital resources sooner than we expect.</w:t>
      </w:r>
    </w:p>
    <w:p>
      <w:pPr>
        <w:spacing w:after="0" w:line="16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1120" w:right="4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62" w:lineRule="exact"/>
        <w:rPr>
          <w:rFonts w:ascii="Arial" w:cs="Arial" w:eastAsia="Arial" w:hAnsi="Arial"/>
          <w:sz w:val="18"/>
          <w:szCs w:val="18"/>
          <w:color w:val="auto"/>
        </w:rPr>
      </w:pPr>
    </w:p>
    <w:p>
      <w:pPr>
        <w:ind w:left="1120" w:right="46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62" w:lineRule="exact"/>
        <w:rPr>
          <w:rFonts w:ascii="Arial" w:cs="Arial" w:eastAsia="Arial" w:hAnsi="Arial"/>
          <w:sz w:val="18"/>
          <w:szCs w:val="18"/>
          <w:color w:val="auto"/>
        </w:rPr>
      </w:pPr>
    </w:p>
    <w:p>
      <w:pPr>
        <w:ind w:left="1120" w:right="62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120" w:right="94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1120" w:right="18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120" w:right="14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182"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right="120" w:firstLine="749"/>
        <w:spacing w:after="0" w:line="263" w:lineRule="auto"/>
        <w:rPr>
          <w:sz w:val="20"/>
          <w:szCs w:val="20"/>
          <w:color w:val="auto"/>
        </w:rPr>
      </w:pPr>
      <w:r>
        <w:rPr>
          <w:rFonts w:ascii="Arial" w:cs="Arial" w:eastAsia="Arial" w:hAnsi="Arial"/>
          <w:sz w:val="18"/>
          <w:szCs w:val="18"/>
          <w:color w:val="auto"/>
        </w:rPr>
        <w:t>Prior to the issuance and sale of our Series A convertible preferred stock in March 2020, we had no cash. Outstanding accrued expenses of $0.2 million as of December 31, 2019 were paid in 2020 following the receipt of the proceeds from the issuance and sale of our Series A convertible preferred stock.</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2020 (in thousands):</w:t>
      </w:r>
    </w:p>
    <w:p>
      <w:pPr>
        <w:spacing w:after="0" w:line="325"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Nine Months</w:t>
      </w:r>
    </w:p>
    <w:p>
      <w:pPr>
        <w:spacing w:after="0" w:line="1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Net change in cash and cash equivalents</w:t>
      </w:r>
    </w:p>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ind w:left="1305" w:hanging="1305"/>
        <w:spacing w:after="0"/>
        <w:tabs>
          <w:tab w:leader="none" w:pos="1305" w:val="left"/>
        </w:tabs>
        <w:numPr>
          <w:ilvl w:val="0"/>
          <w:numId w:val="9"/>
        </w:numPr>
        <w:rPr>
          <w:rFonts w:ascii="Arial" w:cs="Arial" w:eastAsia="Arial" w:hAnsi="Arial"/>
          <w:sz w:val="17"/>
          <w:szCs w:val="17"/>
          <w:color w:val="auto"/>
        </w:rPr>
      </w:pPr>
      <w:r>
        <w:rPr>
          <w:rFonts w:ascii="Arial" w:cs="Arial" w:eastAsia="Arial" w:hAnsi="Arial"/>
          <w:sz w:val="17"/>
          <w:szCs w:val="17"/>
          <w:color w:val="auto"/>
        </w:rPr>
        <w:t>(10,881)</w:t>
      </w:r>
    </w:p>
    <w:p>
      <w:pPr>
        <w:spacing w:after="0" w:line="32" w:lineRule="exact"/>
        <w:rPr>
          <w:rFonts w:ascii="Arial" w:cs="Arial" w:eastAsia="Arial" w:hAnsi="Arial"/>
          <w:sz w:val="17"/>
          <w:szCs w:val="17"/>
          <w:color w:val="auto"/>
        </w:rPr>
      </w:pPr>
    </w:p>
    <w:p>
      <w:pPr>
        <w:ind w:left="1405"/>
        <w:spacing w:after="0"/>
        <w:rPr>
          <w:rFonts w:ascii="Arial" w:cs="Arial" w:eastAsia="Arial" w:hAnsi="Arial"/>
          <w:sz w:val="17"/>
          <w:szCs w:val="17"/>
          <w:color w:val="auto"/>
        </w:rPr>
      </w:pPr>
      <w:r>
        <w:rPr>
          <w:rFonts w:ascii="Arial" w:cs="Arial" w:eastAsia="Arial" w:hAnsi="Arial"/>
          <w:sz w:val="17"/>
          <w:szCs w:val="17"/>
          <w:color w:val="auto"/>
        </w:rPr>
        <w:t>(3,031)</w:t>
      </w:r>
    </w:p>
    <w:p>
      <w:pPr>
        <w:spacing w:after="0" w:line="34" w:lineRule="exact"/>
        <w:rPr>
          <w:sz w:val="20"/>
          <w:szCs w:val="20"/>
          <w:color w:val="auto"/>
        </w:rPr>
      </w:pPr>
    </w:p>
    <w:p>
      <w:pPr>
        <w:ind w:left="1285"/>
        <w:spacing w:after="0"/>
        <w:rPr>
          <w:sz w:val="20"/>
          <w:szCs w:val="20"/>
          <w:color w:val="auto"/>
        </w:rPr>
      </w:pPr>
      <w:r>
        <w:rPr>
          <w:rFonts w:ascii="Arial" w:cs="Arial" w:eastAsia="Arial" w:hAnsi="Arial"/>
          <w:sz w:val="18"/>
          <w:szCs w:val="18"/>
          <w:color w:val="auto"/>
        </w:rPr>
        <w:t>292,546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60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5" w:lineRule="exact"/>
        <w:rPr>
          <w:sz w:val="20"/>
          <w:szCs w:val="20"/>
          <w:color w:val="auto"/>
        </w:rPr>
      </w:pPr>
    </w:p>
    <w:p>
      <w:pPr>
        <w:ind w:left="1285" w:hanging="1285"/>
        <w:spacing w:after="0"/>
        <w:tabs>
          <w:tab w:leader="none" w:pos="12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278,634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60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2604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8535" w:space="720"/>
            <w:col w:w="1965"/>
          </w:cols>
          <w:pgMar w:left="320" w:top="449" w:right="359" w:bottom="1440" w:gutter="0" w:footer="0" w:header="0"/>
          <w:type w:val="continuous"/>
        </w:sectPr>
      </w:pPr>
    </w:p>
    <w:p>
      <w:pPr>
        <w:ind w:firstLine="749"/>
        <w:spacing w:after="0" w:line="254" w:lineRule="auto"/>
        <w:rPr>
          <w:sz w:val="20"/>
          <w:szCs w:val="20"/>
          <w:color w:val="auto"/>
        </w:rPr>
      </w:pPr>
      <w:r>
        <w:rPr>
          <w:rFonts w:ascii="Arial" w:cs="Arial" w:eastAsia="Arial" w:hAnsi="Arial"/>
          <w:sz w:val="18"/>
          <w:szCs w:val="18"/>
          <w:color w:val="auto"/>
        </w:rPr>
        <w:t>For the nine months ended September 30, 2020 our net cash used in operating activities of $10.9 million primarily consisted of a net loss of $41.7 million, primarily attributable to our spending on research and development expenses. The net loss of $41.7 million was partially offset by changes in working capital of $6.4 million, which was primarily due to increases in accounts payable related to the Abeona clinical materials and development costs of $4.0 million, and $24.4 million in adjustments for non-cash items, primarily the change in the fair value of the preferred stock tranche liability of $17.0 million, the upfront payment to acquire the license rights pursuant to the Queen’s University Agreement for $3.0 million, the upfront expense related to the Abeona CLN1 license agreement for $3.0 million, both of which were recorded as a component of research and development expenses, and stock-based compensation expense of $1.3 million.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27" w:name="page28"/>
    <w:bookmarkEnd w:id="27"/>
    <w:p>
      <w:pPr>
        <w:ind w:left="7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During the nine months ended September 30, 2020, investing activities used $3.0 million of cash attributable to the upfront fee paid pursuant to the Queen’s University Agreement.</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During the nine months ended September 30, 2020, financing activities provided $292.5 million of cash, which was primarily attributable to the receipt of $167.1 million in net proceeds from our initial public offering, $95.8 million in net proceeds from the sale of our Series B convertible preferred stock and $29.6 million in net proceeds from the sale of our Series A convertible preferred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360" w:firstLine="749"/>
        <w:spacing w:after="0" w:line="263" w:lineRule="auto"/>
        <w:rPr>
          <w:sz w:val="20"/>
          <w:szCs w:val="20"/>
          <w:color w:val="auto"/>
        </w:rPr>
      </w:pPr>
      <w:r>
        <w:rPr>
          <w:rFonts w:ascii="Arial" w:cs="Arial" w:eastAsia="Arial" w:hAnsi="Arial"/>
          <w:sz w:val="18"/>
          <w:szCs w:val="18"/>
          <w:color w:val="auto"/>
        </w:rPr>
        <w:t>As of December 31, 2019, we did not have any commitments or contractual obligations. In addition, we enter into agreements in the normal course of business with CROs, CMOs and other vendors for research and development services for operating purposes, which are generally cancelable upon written notice. These payments are therefore not included in our contractual obligations herein.</w:t>
      </w:r>
    </w:p>
    <w:p>
      <w:pPr>
        <w:spacing w:after="0" w:line="184"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We have not included milestone or royalty payments or other contractual payment obligations as the timing and amount of such obligations are unknown or uncertain, and are contingent upon the initiation and successful completion of future activities. See Notes 4 and 11 to our unaudited condensed consolidated financial statements located in “Part I – Financial Information, Item 1. Financial Statements” in this Quarterly Report on Form 10-Q.</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accrued expenses, the preferred stock tranche liability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340" w:firstLine="749"/>
        <w:spacing w:after="0" w:line="296" w:lineRule="auto"/>
        <w:rPr>
          <w:sz w:val="20"/>
          <w:szCs w:val="20"/>
          <w:color w:val="auto"/>
        </w:rPr>
      </w:pPr>
      <w:r>
        <w:rPr>
          <w:rFonts w:ascii="Arial" w:cs="Arial" w:eastAsia="Arial" w:hAnsi="Arial"/>
          <w:sz w:val="16"/>
          <w:szCs w:val="16"/>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unaudited condensed consolidated financial statements located in “Part I – Financial Information, Item 1. Financial Statements” in this Quarterly Report on Form 10-Q, we believe the following are the critical accounting policies used in the preparation of our financial statements that require significant estimates and judgments.</w:t>
      </w:r>
    </w:p>
    <w:p>
      <w:pPr>
        <w:spacing w:after="0" w:line="161"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There were no material changes to our critical accounting policies that are disclosed in our audited financial statements for the period from September 20, 2019 (date of inception) through December 31, 2019 included in our final prospectus dated September 23, 2020, and filed with the SEC on September 25, 2020 pursuant to Rule 424(b)(4).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760" w:firstLine="749"/>
        <w:spacing w:after="0" w:line="342" w:lineRule="auto"/>
        <w:rPr>
          <w:sz w:val="20"/>
          <w:szCs w:val="20"/>
          <w:color w:val="auto"/>
        </w:rPr>
      </w:pPr>
      <w:r>
        <w:rPr>
          <w:rFonts w:ascii="Arial" w:cs="Arial" w:eastAsia="Arial" w:hAnsi="Arial"/>
          <w:sz w:val="16"/>
          <w:szCs w:val="16"/>
          <w:color w:val="auto"/>
        </w:rPr>
        <w:t>See Note 2 to our unaudited condensed consolidated financial statements located in “Part I – Financial Information, Item 1. Financial Statements” in this Quarterly Report on Form 10-Q for a description of recent accounting pronouncements applicable to our financial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76"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62" w:lineRule="exact"/>
        <w:rPr>
          <w:sz w:val="20"/>
          <w:szCs w:val="20"/>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exception from compliance with the auditor attestation requirements of Section 404 of the Sarbanes-Oxley Act of 2002, as amended;</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40" w:lineRule="exact"/>
        <w:rPr>
          <w:rFonts w:ascii="Arial" w:cs="Arial" w:eastAsia="Arial" w:hAnsi="Arial"/>
          <w:sz w:val="16"/>
          <w:szCs w:val="16"/>
          <w:color w:val="auto"/>
        </w:rPr>
      </w:pPr>
    </w:p>
    <w:p>
      <w:pPr>
        <w:ind w:left="1120" w:right="8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70"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66" w:lineRule="exact"/>
        <w:rPr>
          <w:sz w:val="20"/>
          <w:szCs w:val="20"/>
          <w:color w:val="auto"/>
        </w:rPr>
      </w:pPr>
    </w:p>
    <w:p>
      <w:pPr>
        <w:ind w:right="180" w:firstLine="7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ind w:right="60" w:firstLine="8"/>
        <w:spacing w:after="0" w:line="252"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of our investments, including cash equivalents, which may be in the form of a money market fund.</w:t>
      </w:r>
    </w:p>
    <w:p>
      <w:pPr>
        <w:spacing w:after="0" w:line="170" w:lineRule="exact"/>
        <w:rPr>
          <w:sz w:val="20"/>
          <w:szCs w:val="20"/>
          <w:color w:val="auto"/>
        </w:rPr>
      </w:pPr>
    </w:p>
    <w:p>
      <w:pPr>
        <w:jc w:val="both"/>
        <w:ind w:right="140" w:firstLine="749"/>
        <w:spacing w:after="0" w:line="257" w:lineRule="auto"/>
        <w:rPr>
          <w:sz w:val="20"/>
          <w:szCs w:val="20"/>
          <w:color w:val="auto"/>
        </w:rPr>
      </w:pPr>
      <w:r>
        <w:rPr>
          <w:rFonts w:ascii="Arial" w:cs="Arial" w:eastAsia="Arial" w:hAnsi="Arial"/>
          <w:sz w:val="18"/>
          <w:szCs w:val="18"/>
          <w:color w:val="auto"/>
        </w:rPr>
        <w:t>We occasionally contract with vendors globally. We may be subject to fluctuations in foreign currency rates in connection with certain of these agreements. Transactions denominated in currencies other than the United States dollar are recorded based on exchange rates at the time such transactions arise. We have not engaged in the hedging of our foreign currency transactions to date. As of September 30, 2020, substantially all of our total assets and liabilities were denominated in the United States dollar. We therefore believe that the risk of a significant impact on our loss from operations from foreign currency fluctuations is not substantial.</w:t>
      </w:r>
    </w:p>
    <w:p>
      <w:pPr>
        <w:spacing w:after="0" w:line="188"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nine months ended September 30, 2020 and the period from September 20, 2019 (date of inception) through September 30,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September 30, 2020,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8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117"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62" w:lineRule="exact"/>
        <w:rPr>
          <w:sz w:val="20"/>
          <w:szCs w:val="20"/>
          <w:color w:val="auto"/>
        </w:rPr>
      </w:pPr>
    </w:p>
    <w:p>
      <w:pPr>
        <w:ind w:left="1120" w:right="38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62" w:lineRule="exact"/>
        <w:rPr>
          <w:rFonts w:ascii="Arial" w:cs="Arial" w:eastAsia="Arial" w:hAnsi="Arial"/>
          <w:sz w:val="18"/>
          <w:szCs w:val="18"/>
          <w:color w:val="auto"/>
        </w:rPr>
      </w:pPr>
    </w:p>
    <w:p>
      <w:pPr>
        <w:ind w:left="1120" w:right="40" w:hanging="370"/>
        <w:spacing w:after="0" w:line="308"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38" w:lineRule="exact"/>
        <w:rPr>
          <w:rFonts w:ascii="Arial" w:cs="Arial" w:eastAsia="Arial" w:hAnsi="Arial"/>
          <w:sz w:val="17"/>
          <w:szCs w:val="17"/>
          <w:color w:val="auto"/>
        </w:rPr>
      </w:pPr>
    </w:p>
    <w:p>
      <w:pPr>
        <w:ind w:left="1120" w:right="6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were founded in 2019. We have a limited operating history and no history of commercializing products, which may make it difficult for an investor to evaluate the success of our business to date and to assess our future viability.</w:t>
      </w:r>
    </w:p>
    <w:p>
      <w:pPr>
        <w:spacing w:after="0" w:line="62" w:lineRule="exact"/>
        <w:rPr>
          <w:rFonts w:ascii="Arial" w:cs="Arial" w:eastAsia="Arial" w:hAnsi="Arial"/>
          <w:sz w:val="18"/>
          <w:szCs w:val="18"/>
          <w:color w:val="auto"/>
        </w:rPr>
      </w:pPr>
    </w:p>
    <w:p>
      <w:pPr>
        <w:ind w:left="1120" w:right="540" w:hanging="370"/>
        <w:spacing w:after="0" w:line="311"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very early in our development efforts and all of our product candidates are in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40" w:lineRule="exact"/>
        <w:rPr>
          <w:rFonts w:ascii="Arial" w:cs="Arial" w:eastAsia="Arial" w:hAnsi="Arial"/>
          <w:sz w:val="16"/>
          <w:szCs w:val="16"/>
          <w:color w:val="auto"/>
        </w:rPr>
      </w:pPr>
    </w:p>
    <w:p>
      <w:pPr>
        <w:ind w:left="1120" w:right="60" w:hanging="370"/>
        <w:spacing w:after="0" w:line="263"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75" w:lineRule="exact"/>
        <w:rPr>
          <w:rFonts w:ascii="Arial" w:cs="Arial" w:eastAsia="Arial" w:hAnsi="Arial"/>
          <w:sz w:val="18"/>
          <w:szCs w:val="18"/>
          <w:color w:val="auto"/>
        </w:rPr>
      </w:pPr>
    </w:p>
    <w:p>
      <w:pPr>
        <w:ind w:left="1120" w:right="34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intend to identify and develop novel gene therapy product candidates, which makes it difficult to predict the time, cost and potential success of product candidate development.</w:t>
      </w:r>
    </w:p>
    <w:p>
      <w:pPr>
        <w:spacing w:after="0" w:line="62" w:lineRule="exact"/>
        <w:rPr>
          <w:rFonts w:ascii="Arial" w:cs="Arial" w:eastAsia="Arial" w:hAnsi="Arial"/>
          <w:sz w:val="18"/>
          <w:szCs w:val="18"/>
          <w:color w:val="auto"/>
        </w:rPr>
      </w:pPr>
    </w:p>
    <w:p>
      <w:pPr>
        <w:ind w:left="1120" w:right="160" w:hanging="370"/>
        <w:spacing w:after="0" w:line="263"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the FDA, European Medicines Agency, or the EMA, and comparable foreign authorities are lengthy, time consuming and inherently unpredictable. If we are not able to obtain required regulatory approval for our product candidates, our business will be substantially harmed.</w:t>
      </w:r>
    </w:p>
    <w:p>
      <w:pPr>
        <w:spacing w:after="0" w:line="75" w:lineRule="exact"/>
        <w:rPr>
          <w:rFonts w:ascii="Arial" w:cs="Arial" w:eastAsia="Arial" w:hAnsi="Arial"/>
          <w:sz w:val="18"/>
          <w:szCs w:val="18"/>
          <w:color w:val="auto"/>
        </w:rPr>
      </w:pPr>
    </w:p>
    <w:p>
      <w:pPr>
        <w:ind w:left="1120" w:right="14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not yet tested any product candidates in clinical trials. Success in preclinical studies or earlier clinical trials may not be indicative of results in future clinical trials.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not be successful in our efforts to build a pipeline of additional product candidates or our next-generation platform technologies.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17" w:lineRule="exact"/>
        <w:rPr>
          <w:rFonts w:ascii="Arial" w:cs="Arial" w:eastAsia="Arial" w:hAnsi="Arial"/>
          <w:sz w:val="18"/>
          <w:szCs w:val="18"/>
          <w:color w:val="auto"/>
        </w:rPr>
      </w:pPr>
    </w:p>
    <w:p>
      <w:pPr>
        <w:ind w:left="1120" w:right="26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left="1120" w:right="60" w:hanging="370"/>
        <w:spacing w:after="0" w:line="279"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63" w:lineRule="exact"/>
        <w:rPr>
          <w:rFonts w:ascii="Arial" w:cs="Arial" w:eastAsia="Arial" w:hAnsi="Arial"/>
          <w:sz w:val="17"/>
          <w:szCs w:val="17"/>
          <w:color w:val="auto"/>
        </w:rPr>
      </w:pPr>
    </w:p>
    <w:p>
      <w:pPr>
        <w:ind w:left="1120" w:hanging="370"/>
        <w:spacing w:after="0" w:line="263"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75" w:lineRule="exact"/>
        <w:rPr>
          <w:rFonts w:ascii="Arial" w:cs="Arial" w:eastAsia="Arial" w:hAnsi="Arial"/>
          <w:sz w:val="18"/>
          <w:szCs w:val="18"/>
          <w:color w:val="auto"/>
        </w:rPr>
      </w:pPr>
    </w:p>
    <w:p>
      <w:pPr>
        <w:ind w:left="1120" w:right="22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62" w:lineRule="exact"/>
        <w:rPr>
          <w:rFonts w:ascii="Arial" w:cs="Arial" w:eastAsia="Arial" w:hAnsi="Arial"/>
          <w:sz w:val="18"/>
          <w:szCs w:val="18"/>
          <w:color w:val="auto"/>
        </w:rPr>
      </w:pPr>
    </w:p>
    <w:p>
      <w:pPr>
        <w:ind w:left="1120" w:right="14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62" w:lineRule="exact"/>
        <w:rPr>
          <w:rFonts w:ascii="Arial" w:cs="Arial" w:eastAsia="Arial" w:hAnsi="Arial"/>
          <w:sz w:val="18"/>
          <w:szCs w:val="18"/>
          <w:color w:val="auto"/>
        </w:rPr>
      </w:pPr>
    </w:p>
    <w:p>
      <w:pPr>
        <w:ind w:left="1120" w:right="60" w:hanging="370"/>
        <w:spacing w:after="0" w:line="259"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We are aware of issued patent or patents issued to REGENXBIO Inc., or REGENX, that claim AAV vectors that have an AAV9 capsid serotype. If we commercialize any of our product candidates prior to the expiry of those patents in 2026 without a license, REGENX could bring an action claiming infringement.</w:t>
      </w:r>
    </w:p>
    <w:p>
      <w:pPr>
        <w:spacing w:after="0" w:line="78" w:lineRule="exact"/>
        <w:rPr>
          <w:rFonts w:ascii="Arial" w:cs="Arial" w:eastAsia="Arial" w:hAnsi="Arial"/>
          <w:sz w:val="18"/>
          <w:szCs w:val="18"/>
          <w:color w:val="auto"/>
        </w:rPr>
      </w:pPr>
    </w:p>
    <w:p>
      <w:pPr>
        <w:ind w:left="1120" w:right="36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related to any of our product candidates, we may not be able to compete effectively in our market.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Since our inception, we have incurred significant net losses, and we expect to continue to incur significant expenses and operating losses for the foreseeable future. Our net losses were $1.1 million and $41.7 million for the period from September 20, 2019 (the date of our inception) through December 31, 2019 and for the nine months ended September 30, 2020, respectively. As of September 30, 2020, we had an accumulated deficit of $42.8 million. We have financed our operations with $307.0 million in gross proceeds from equity financings, including from our initial public offering and private placements of convertible preferred stock. We have no products approved for commercialization and have never generated any revenue from product sales.</w:t>
      </w:r>
    </w:p>
    <w:p>
      <w:pPr>
        <w:spacing w:after="0" w:line="192" w:lineRule="exact"/>
        <w:rPr>
          <w:sz w:val="20"/>
          <w:szCs w:val="20"/>
          <w:color w:val="auto"/>
        </w:rPr>
      </w:pPr>
    </w:p>
    <w:p>
      <w:pPr>
        <w:ind w:right="320" w:firstLine="749"/>
        <w:spacing w:after="0" w:line="286" w:lineRule="auto"/>
        <w:rPr>
          <w:sz w:val="20"/>
          <w:szCs w:val="20"/>
          <w:color w:val="auto"/>
        </w:rPr>
      </w:pPr>
      <w:r>
        <w:rPr>
          <w:rFonts w:ascii="Arial" w:cs="Arial" w:eastAsia="Arial" w:hAnsi="Arial"/>
          <w:sz w:val="17"/>
          <w:szCs w:val="17"/>
          <w:color w:val="auto"/>
        </w:rPr>
        <w:t>All of our product candidates are still in the preclinical testing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57" w:lineRule="exact"/>
        <w:rPr>
          <w:sz w:val="20"/>
          <w:szCs w:val="20"/>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w:t>
      </w:r>
    </w:p>
    <w:p>
      <w:pPr>
        <w:spacing w:after="0" w:line="117" w:lineRule="exact"/>
        <w:rPr>
          <w:rFonts w:ascii="Arial" w:cs="Arial" w:eastAsia="Arial" w:hAnsi="Arial"/>
          <w:sz w:val="18"/>
          <w:szCs w:val="18"/>
          <w:color w:val="auto"/>
        </w:rPr>
      </w:pPr>
    </w:p>
    <w:p>
      <w:pPr>
        <w:ind w:left="1120" w:right="32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our planned clinical trials of TSHA-101 and TSHA-118, as well as initiate and complete additional clinical trials of TSHA-101, TSHA-118, TSHA-102, TSHA-103, TSHA-104 and future product candidates;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cGMP material for clinical trials or potential commercial sales;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1120" w:right="2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color w:val="auto"/>
        </w:rPr>
        <w:t>To date, we have not generated any revenue.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preclinical development. We may never succeed in these activities and, even if we do, may never generate any revenue or revenue that is significant enough to achieve profitability.</w:t>
      </w:r>
    </w:p>
    <w:p>
      <w:pPr>
        <w:spacing w:after="0" w:line="16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We are a preclinical-stage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right="520" w:firstLine="749"/>
        <w:spacing w:after="0" w:line="277"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7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38"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185" w:lineRule="exact"/>
        <w:rPr>
          <w:sz w:val="20"/>
          <w:szCs w:val="20"/>
          <w:color w:val="auto"/>
        </w:rPr>
      </w:pPr>
    </w:p>
    <w:p>
      <w:pPr>
        <w:ind w:right="260" w:firstLine="749"/>
        <w:spacing w:after="0" w:line="275" w:lineRule="auto"/>
        <w:rPr>
          <w:sz w:val="20"/>
          <w:szCs w:val="20"/>
          <w:color w:val="auto"/>
        </w:rPr>
      </w:pPr>
      <w:r>
        <w:rPr>
          <w:rFonts w:ascii="Arial" w:cs="Arial" w:eastAsia="Arial" w:hAnsi="Arial"/>
          <w:sz w:val="17"/>
          <w:szCs w:val="17"/>
          <w:color w:val="auto"/>
        </w:rPr>
        <w:t>As of September 30, 2020, we had cash and cash equivalents of $278.6 million. We believe that our existing cash and cash equivalents will be sufficient to fund our operating expenses and capital requirements into 2023.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68" w:lineRule="exact"/>
        <w:rPr>
          <w:sz w:val="20"/>
          <w:szCs w:val="20"/>
          <w:color w:val="auto"/>
        </w:rPr>
      </w:pPr>
    </w:p>
    <w:p>
      <w:pPr>
        <w:ind w:left="1120" w:right="60" w:hanging="370"/>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62" w:lineRule="exact"/>
        <w:rPr>
          <w:rFonts w:ascii="Arial" w:cs="Arial" w:eastAsia="Arial" w:hAnsi="Arial"/>
          <w:sz w:val="18"/>
          <w:szCs w:val="18"/>
          <w:color w:val="auto"/>
        </w:rPr>
      </w:pPr>
    </w:p>
    <w:p>
      <w:pPr>
        <w:ind w:left="1120" w:right="480" w:hanging="370"/>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1120" w:right="58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120" w:right="90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1120" w:right="14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120" w:right="10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2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are very early in our development efforts and all of our product candidates are in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57"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We are very early in our development efforts and all of our product candidates are still in preclinical development. We expect to commence a Phase 1/2 clinical trial of TSHA-101 by the end of 2020 under a Clinical Trial Agreement, or CTA, with Health Canada, and we intend to initiate a Phase 1/2 clinical trial of TSHA-118 under a currently open IND.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4" w:name="page35"/>
    <w:bookmarkEnd w:id="34"/>
    <w:p>
      <w:pPr>
        <w:jc w:val="both"/>
        <w:ind w:right="40" w:firstLine="749"/>
        <w:spacing w:after="0" w:line="311" w:lineRule="auto"/>
        <w:rPr>
          <w:sz w:val="20"/>
          <w:szCs w:val="20"/>
          <w:color w:val="auto"/>
        </w:rPr>
      </w:pPr>
      <w:r>
        <w:rPr>
          <w:rFonts w:ascii="Arial" w:cs="Arial" w:eastAsia="Arial" w:hAnsi="Arial"/>
          <w:sz w:val="16"/>
          <w:szCs w:val="16"/>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TSHA-101, TSHA-118, TSHA-102, TSHA-103, TSHA-104 or any other product candidates that we develop or otherwise may acquire will depend on several factors, including:</w:t>
      </w:r>
    </w:p>
    <w:p>
      <w:pPr>
        <w:spacing w:after="0" w:line="41" w:lineRule="exact"/>
        <w:rPr>
          <w:sz w:val="20"/>
          <w:szCs w:val="20"/>
          <w:color w:val="auto"/>
        </w:rPr>
      </w:pPr>
    </w:p>
    <w:p>
      <w:pPr>
        <w:ind w:left="1120" w:right="6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62" w:lineRule="exact"/>
        <w:rPr>
          <w:rFonts w:ascii="Arial" w:cs="Arial" w:eastAsia="Arial" w:hAnsi="Arial"/>
          <w:sz w:val="18"/>
          <w:szCs w:val="18"/>
          <w:color w:val="auto"/>
        </w:rPr>
      </w:pPr>
    </w:p>
    <w:p>
      <w:pPr>
        <w:ind w:left="1120" w:right="1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INDs from the U.S. Food and Drug Administration, or the FDA, or comparable foreign applications that allow commencement of our planned clinical trials or future clinical trials for our product candidates;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1120" w:right="3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GCPs, and current Good Laboratory Practices;</w:t>
      </w:r>
    </w:p>
    <w:p>
      <w:pPr>
        <w:spacing w:after="0" w:line="62" w:lineRule="exact"/>
        <w:rPr>
          <w:rFonts w:ascii="Arial" w:cs="Arial" w:eastAsia="Arial" w:hAnsi="Arial"/>
          <w:sz w:val="18"/>
          <w:szCs w:val="18"/>
          <w:color w:val="auto"/>
        </w:rPr>
      </w:pPr>
    </w:p>
    <w:p>
      <w:pPr>
        <w:ind w:left="1120" w:right="6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development of, or making arrangements with third-party manufacturers for, our commercial manufacturing processes for any of our product candidates that receive regulatory approval;</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products, if approved, whether alone or in collaboration with others;</w:t>
      </w:r>
    </w:p>
    <w:p>
      <w:pPr>
        <w:spacing w:after="0" w:line="117"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62" w:lineRule="exact"/>
        <w:rPr>
          <w:rFonts w:ascii="Arial" w:cs="Arial" w:eastAsia="Arial" w:hAnsi="Arial"/>
          <w:sz w:val="18"/>
          <w:szCs w:val="18"/>
          <w:color w:val="auto"/>
        </w:rPr>
      </w:pPr>
    </w:p>
    <w:p>
      <w:pPr>
        <w:ind w:left="1120" w:right="28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TSHA-101, TSHA-118, TSHA-102, TSHA-103, TSHA-104 or any other product candidates;</w:t>
      </w:r>
    </w:p>
    <w:p>
      <w:pPr>
        <w:spacing w:after="0" w:line="62" w:lineRule="exact"/>
        <w:rPr>
          <w:rFonts w:ascii="Arial" w:cs="Arial" w:eastAsia="Arial" w:hAnsi="Arial"/>
          <w:sz w:val="18"/>
          <w:szCs w:val="18"/>
          <w:color w:val="auto"/>
        </w:rPr>
      </w:pPr>
    </w:p>
    <w:p>
      <w:pPr>
        <w:ind w:left="1120" w:right="28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product candidate, and any indications for such product candidate, that we develop;</w:t>
      </w:r>
    </w:p>
    <w:p>
      <w:pPr>
        <w:spacing w:after="0" w:line="62" w:lineRule="exact"/>
        <w:rPr>
          <w:rFonts w:ascii="Arial" w:cs="Arial" w:eastAsia="Arial" w:hAnsi="Arial"/>
          <w:sz w:val="18"/>
          <w:szCs w:val="18"/>
          <w:color w:val="auto"/>
        </w:rPr>
      </w:pPr>
    </w:p>
    <w:p>
      <w:pPr>
        <w:ind w:left="1120" w:right="64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produce TSHA-101, TSHA-118, TSHA-102, TSHA-103, TSHA-104 or any other product candidates we develop on a commercial scale;</w:t>
      </w:r>
    </w:p>
    <w:p>
      <w:pPr>
        <w:spacing w:after="0" w:line="62"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 and complying effectively with other procedures;</w:t>
      </w:r>
    </w:p>
    <w:p>
      <w:pPr>
        <w:spacing w:after="0" w:line="117"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products following approval.</w:t>
      </w:r>
    </w:p>
    <w:p>
      <w:pPr>
        <w:spacing w:after="0" w:line="225" w:lineRule="exact"/>
        <w:rPr>
          <w:sz w:val="20"/>
          <w:szCs w:val="20"/>
          <w:color w:val="auto"/>
        </w:rPr>
      </w:pPr>
    </w:p>
    <w:p>
      <w:pPr>
        <w:jc w:val="both"/>
        <w:ind w:right="340" w:firstLine="749"/>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62"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Our strategy is to identify, develop and commercialize gene therapy product candidates using an adeno-associated virus serotype 9, or AAV9, capsid for intrathecal delivery of therapeutic transgenes to certain kinds of cells. Our future success depends on the successful development of these novel therapeutic approaches. To date, very few products that utilize gene transfer have been approved in the United States or Europe and no gene therapy products that utilize an intrathecal method of administration have been approved. There have been a limited number of clinical trials of gene transduction technologies, with only two product candidates ever approved by the FDA.</w:t>
      </w:r>
    </w:p>
    <w:p>
      <w:pPr>
        <w:spacing w:after="0" w:line="188"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20"/>
        <w:spacing w:after="0" w:line="271" w:lineRule="auto"/>
        <w:rPr>
          <w:sz w:val="20"/>
          <w:szCs w:val="20"/>
          <w:color w:val="auto"/>
        </w:rPr>
      </w:pPr>
      <w:r>
        <w:rPr>
          <w:rFonts w:ascii="Arial" w:cs="Arial" w:eastAsia="Arial" w:hAnsi="Arial"/>
          <w:sz w:val="17"/>
          <w:szCs w:val="17"/>
          <w:color w:val="auto"/>
        </w:rPr>
        <w:t>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8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76"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spacing w:after="0" w:line="192"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or NIH, gene therapy clinical trials are also subject to review and oversight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8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66"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delays, or other impediments to our research programs or the commercialization of resulting products. Further, approvals by one regulatory agency may not be indicative of what other regulatory agencies may require for approval.</w:t>
      </w:r>
    </w:p>
    <w:p>
      <w:pPr>
        <w:spacing w:after="0" w:line="170"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62"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All of our product candidates are in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66"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5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TSHA-101 for the treatment of GM2 gangliosidosis, TSHA-118 for the treatment of CLN1 disease (or infantile Batten disease), and TSHA-102 for the treatment of Rett syndrome, where the very small patient population makes it difficult or impossible to conduct two traditional, adequate and well-controlled studies, and therefore the FDA or comparable foreign regulatory authorities are often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To date, we have not initiated or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57"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17" w:lineRule="exact"/>
        <w:rPr>
          <w:rFonts w:ascii="Arial" w:cs="Arial" w:eastAsia="Arial" w:hAnsi="Arial"/>
          <w:sz w:val="18"/>
          <w:szCs w:val="18"/>
          <w:color w:val="auto"/>
        </w:rPr>
      </w:pPr>
    </w:p>
    <w:p>
      <w:pPr>
        <w:ind w:left="1120" w:right="200" w:hanging="370"/>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 including our natural history studies;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delays in reaching agreement with the FDA, EMA or other regulatory authorities as to the design or implementation of our clinical trials;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approval to commence a clinical trial;</w:t>
      </w:r>
    </w:p>
    <w:p>
      <w:pPr>
        <w:spacing w:after="0" w:line="117" w:lineRule="exact"/>
        <w:rPr>
          <w:rFonts w:ascii="Arial" w:cs="Arial" w:eastAsia="Arial" w:hAnsi="Arial"/>
          <w:sz w:val="18"/>
          <w:szCs w:val="18"/>
          <w:color w:val="auto"/>
        </w:rPr>
      </w:pPr>
    </w:p>
    <w:p>
      <w:pPr>
        <w:ind w:left="1120" w:right="4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an agreement on acceptable terms with clinical trial sites or prospective CROs, the terms of which can be subject to extensive negotiation and may vary significantly among different clinical trial sites;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IRB approval at each trial site;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perform in accordance with the FDA’s GCP requirements, or applicable regulatory guidelines in other countries;</w:t>
      </w:r>
    </w:p>
    <w:p>
      <w:pPr>
        <w:spacing w:after="0" w:line="117" w:lineRule="exact"/>
        <w:rPr>
          <w:rFonts w:ascii="Arial" w:cs="Arial" w:eastAsia="Arial" w:hAnsi="Arial"/>
          <w:sz w:val="18"/>
          <w:szCs w:val="18"/>
          <w:color w:val="auto"/>
        </w:rPr>
      </w:pPr>
    </w:p>
    <w:p>
      <w:pPr>
        <w:ind w:left="1120" w:right="10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25" w:lineRule="exact"/>
        <w:rPr>
          <w:sz w:val="20"/>
          <w:szCs w:val="20"/>
          <w:color w:val="auto"/>
        </w:rPr>
      </w:pPr>
    </w:p>
    <w:p>
      <w:pPr>
        <w:ind w:right="720" w:firstLine="749"/>
        <w:spacing w:after="0" w:line="308"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38" w:lineRule="exact"/>
        <w:rPr>
          <w:sz w:val="20"/>
          <w:szCs w:val="20"/>
          <w:color w:val="auto"/>
        </w:rPr>
      </w:pPr>
    </w:p>
    <w:p>
      <w:pPr>
        <w:ind w:left="1120" w:right="46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changes in regulatory requirements or guidance, or receive feedback from regulatory authorities that requires us to modify the design of our clinical trials;</w:t>
      </w:r>
    </w:p>
    <w:p>
      <w:pPr>
        <w:spacing w:after="0" w:line="62" w:lineRule="exact"/>
        <w:rPr>
          <w:rFonts w:ascii="Arial" w:cs="Arial" w:eastAsia="Arial" w:hAnsi="Arial"/>
          <w:sz w:val="18"/>
          <w:szCs w:val="18"/>
          <w:color w:val="auto"/>
        </w:rPr>
      </w:pPr>
    </w:p>
    <w:p>
      <w:pPr>
        <w:ind w:left="1120" w:right="20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62" w:lineRule="exact"/>
        <w:rPr>
          <w:rFonts w:ascii="Arial" w:cs="Arial" w:eastAsia="Arial" w:hAnsi="Arial"/>
          <w:sz w:val="18"/>
          <w:szCs w:val="18"/>
          <w:color w:val="auto"/>
        </w:rPr>
      </w:pPr>
    </w:p>
    <w:p>
      <w:pPr>
        <w:ind w:left="1120" w:right="320" w:hanging="370"/>
        <w:spacing w:after="0" w:line="342"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5" w:lineRule="exact"/>
        <w:rPr>
          <w:rFonts w:ascii="Arial" w:cs="Arial" w:eastAsia="Arial" w:hAnsi="Arial"/>
          <w:sz w:val="16"/>
          <w:szCs w:val="16"/>
          <w:color w:val="auto"/>
        </w:rPr>
      </w:pPr>
    </w:p>
    <w:p>
      <w:pPr>
        <w:ind w:left="112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20" w:right="480" w:hanging="370"/>
        <w:spacing w:after="0" w:line="286"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57" w:lineRule="exact"/>
        <w:rPr>
          <w:rFonts w:ascii="Arial" w:cs="Arial" w:eastAsia="Arial" w:hAnsi="Arial"/>
          <w:sz w:val="17"/>
          <w:szCs w:val="17"/>
          <w:color w:val="auto"/>
        </w:rPr>
      </w:pPr>
    </w:p>
    <w:p>
      <w:pPr>
        <w:ind w:left="1120" w:hanging="370"/>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28" w:lineRule="exact"/>
        <w:rPr>
          <w:rFonts w:ascii="Arial" w:cs="Arial" w:eastAsia="Arial" w:hAnsi="Arial"/>
          <w:sz w:val="17"/>
          <w:szCs w:val="17"/>
          <w:color w:val="auto"/>
        </w:rPr>
      </w:pPr>
    </w:p>
    <w:p>
      <w:pPr>
        <w:ind w:left="1120" w:right="48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28" w:lineRule="exact"/>
        <w:rPr>
          <w:rFonts w:ascii="Arial" w:cs="Arial" w:eastAsia="Arial" w:hAnsi="Arial"/>
          <w:sz w:val="17"/>
          <w:szCs w:val="17"/>
          <w:color w:val="auto"/>
        </w:rPr>
      </w:pPr>
    </w:p>
    <w:p>
      <w:pPr>
        <w:ind w:left="1120" w:right="24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70"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left="1120" w:right="620" w:hanging="370"/>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240" w:firstLine="749"/>
        <w:spacing w:after="0" w:line="27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8"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biologics license application, or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92"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7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16"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spacing w:after="0" w:line="182" w:lineRule="exact"/>
        <w:rPr>
          <w:sz w:val="20"/>
          <w:szCs w:val="20"/>
          <w:color w:val="auto"/>
        </w:rPr>
      </w:pPr>
    </w:p>
    <w:p>
      <w:pPr>
        <w:ind w:right="180" w:firstLine="749"/>
        <w:spacing w:after="0" w:line="273" w:lineRule="auto"/>
        <w:rPr>
          <w:sz w:val="20"/>
          <w:szCs w:val="20"/>
          <w:color w:val="auto"/>
        </w:rPr>
      </w:pPr>
      <w:r>
        <w:rPr>
          <w:rFonts w:ascii="Arial" w:cs="Arial" w:eastAsia="Arial" w:hAnsi="Arial"/>
          <w:sz w:val="17"/>
          <w:szCs w:val="17"/>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8"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40" w:firstLine="749"/>
        <w:spacing w:after="0" w:line="286" w:lineRule="auto"/>
        <w:rPr>
          <w:sz w:val="20"/>
          <w:szCs w:val="20"/>
          <w:color w:val="auto"/>
        </w:rPr>
      </w:pPr>
      <w:r>
        <w:rPr>
          <w:rFonts w:ascii="Arial" w:cs="Arial" w:eastAsia="Arial" w:hAnsi="Arial"/>
          <w:sz w:val="17"/>
          <w:szCs w:val="17"/>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TSHA-101, TSHA-118, TSHA-102, TSHA-103, TSHA-104 and any future product candidates in a timely manner.</w:t>
      </w:r>
    </w:p>
    <w:p>
      <w:pPr>
        <w:spacing w:after="0" w:line="165"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Even if we eventually complete clinical testing and receive approval of a BLA or foreign marketing application for TSHA-101, TSHA-118, TSHA-102, TSHA-103, TSHA-104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92"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not yet tested any product candidates in clinical trials. Success in preclinical studies or earlier clinical trials may not be indicative of results in future clinical trials.</w:t>
      </w:r>
    </w:p>
    <w:p>
      <w:pPr>
        <w:spacing w:after="0" w:line="62" w:lineRule="exact"/>
        <w:rPr>
          <w:sz w:val="20"/>
          <w:szCs w:val="20"/>
          <w:color w:val="auto"/>
        </w:rPr>
      </w:pPr>
    </w:p>
    <w:p>
      <w:pPr>
        <w:jc w:val="both"/>
        <w:ind w:right="140" w:firstLine="749"/>
        <w:spacing w:after="0" w:line="287" w:lineRule="auto"/>
        <w:rPr>
          <w:sz w:val="20"/>
          <w:szCs w:val="20"/>
          <w:color w:val="auto"/>
        </w:rPr>
      </w:pPr>
      <w:r>
        <w:rPr>
          <w:rFonts w:ascii="Arial" w:cs="Arial" w:eastAsia="Arial" w:hAnsi="Arial"/>
          <w:sz w:val="16"/>
          <w:szCs w:val="16"/>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w:t>
      </w:r>
    </w:p>
    <w:p>
      <w:pPr>
        <w:spacing w:after="0" w:line="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Further, both our planned Phase 1/2 clinical trial of TSHA-101 and our planned Phase 1/2 clinical trial of TSHA-118 will involve a small patient population.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168"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60"/>
        <w:spacing w:after="0" w:line="311" w:lineRule="auto"/>
        <w:rPr>
          <w:sz w:val="20"/>
          <w:szCs w:val="20"/>
          <w:color w:val="auto"/>
        </w:rPr>
      </w:pPr>
      <w:r>
        <w:rPr>
          <w:rFonts w:ascii="Arial" w:cs="Arial" w:eastAsia="Arial" w:hAnsi="Arial"/>
          <w:sz w:val="16"/>
          <w:szCs w:val="16"/>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41"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178" w:lineRule="exact"/>
        <w:rPr>
          <w:sz w:val="20"/>
          <w:szCs w:val="20"/>
          <w:color w:val="auto"/>
        </w:rPr>
      </w:pPr>
    </w:p>
    <w:p>
      <w:pPr>
        <w:jc w:val="both"/>
        <w:ind w:right="80" w:firstLine="749"/>
        <w:spacing w:after="0" w:line="279" w:lineRule="auto"/>
        <w:rPr>
          <w:sz w:val="20"/>
          <w:szCs w:val="20"/>
          <w:color w:val="auto"/>
        </w:rPr>
      </w:pPr>
      <w:r>
        <w:rPr>
          <w:rFonts w:ascii="Arial" w:cs="Arial" w:eastAsia="Arial" w:hAnsi="Arial"/>
          <w:sz w:val="17"/>
          <w:szCs w:val="17"/>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171"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dorsal root ganglia. If our vectors demonstrate a similar effect in other programs, we may decide or be required to perform additional preclinical studies or to halt or delay further clinical development of our product candidates.</w:t>
      </w:r>
    </w:p>
    <w:p>
      <w:pPr>
        <w:spacing w:after="0" w:line="195"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72"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17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62" w:lineRule="exact"/>
        <w:rPr>
          <w:sz w:val="20"/>
          <w:szCs w:val="20"/>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17" w:lineRule="exact"/>
        <w:rPr>
          <w:rFonts w:ascii="Arial" w:cs="Arial" w:eastAsia="Arial" w:hAnsi="Arial"/>
          <w:sz w:val="18"/>
          <w:szCs w:val="18"/>
          <w:color w:val="auto"/>
        </w:rPr>
      </w:pPr>
    </w:p>
    <w:p>
      <w:pPr>
        <w:ind w:left="1120" w:right="300" w:hanging="370"/>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1" w:name="page42"/>
    <w:bookmarkEnd w:id="41"/>
    <w:p>
      <w:pPr>
        <w:ind w:left="1120" w:hanging="370"/>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As an organization, we are preparing to conduct our first Phase 1/2 clinical trial, and have never conducted pivotal clinical trials, and may be unable to do so for any product candidates we may develop, including TSHA-101, TSHA-118, TSHA-102, TSHA-103 and TSHA-104.</w:t>
      </w:r>
    </w:p>
    <w:p>
      <w:pPr>
        <w:spacing w:after="0" w:line="38"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We will need to successfully complete our ongoing and planned clinical trials, including pivotal clinical trials, in order to obtain FDA approval to market our product candidates. Carrying out later-stage clinical trials and the submission of a successful BLA is a complicated process. As an organization, we are preparing to conduct our first Phase 1/2 clinical trial, have not previously conducted any later stage or pivotal clinical trials, have limited experience in preparing, submitting and prosecuting regulatory filings and have not previously submitted a BLA for any product candidate.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76"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GM2 gangliosidosis, the target indication for TSHA-101, is approximately 1 in 150,000 live births,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166" w:lineRule="exact"/>
        <w:rPr>
          <w:sz w:val="20"/>
          <w:szCs w:val="20"/>
          <w:color w:val="auto"/>
        </w:rPr>
      </w:pPr>
    </w:p>
    <w:p>
      <w:pPr>
        <w:ind w:right="300" w:firstLine="749"/>
        <w:spacing w:after="0" w:line="259"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79" w:lineRule="exact"/>
        <w:rPr>
          <w:sz w:val="20"/>
          <w:szCs w:val="20"/>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1120" w:right="620" w:hanging="370"/>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AAV9-based gene therapy approaches and intrathecal delivery systems;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120" w:right="260" w:hanging="370"/>
        <w:spacing w:after="0" w:line="263"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left="1120" w:hanging="370"/>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71"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Furthermore, even if we are able to enroll a sufficient number of patients for our clinical trials, we may have difficulty maintaining enrollment of such patients in our clinical trials.</w:t>
      </w:r>
    </w:p>
    <w:p>
      <w:pPr>
        <w:spacing w:after="0" w:line="27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76"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188"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166"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We have obtained orphan drug designation from the FDA for TSHA-101 for treatment of GM2 gangliosidosis, TSHA-102 for the treatment of Rett syndrome, TSHA-103 for the treatment of SLC6A1-related disorder and TSHA-104 for the treatment of SURF1 deficiency. In addition, TSHA-118 has received orphan drug designation for the treatment of CLN1 disease from the FDA and EMA.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We have received rare pediatric disease designation for TSHA-101 for the treatment of GM2 gangliosidosis, TSHA-118 for the treatment of CLN1 disease, TSHA-102 for the treatment of Rett syndrome, TSHA-103 for the treatment of SLC6A1 haploinsufficiency and TSHA-104 for the treatment of SURF1 deficiency. However, a marketing application for TSHA-101, TSHA-118, TSHA-102, TSHA-103 and TSHA-104, if approved, may not meet the eligibility criteria for a priority review voucher or the rare pediatric disease designation program may sunset before FDA is able consider us for a voucher.</w:t>
      </w:r>
    </w:p>
    <w:p>
      <w:pPr>
        <w:spacing w:after="0" w:line="8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We have received rare pediatric disease designation for TSHA-101 for the treatment of GM2 gangliosidosis (Tay-Sachs Disease and Sandhoff Disease), TSHA-118 for the treatment of CLN1 disease, TSHA-102 for the treatment of Rett syndrome, TSHA-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spacing w:after="0" w:line="273" w:lineRule="auto"/>
        <w:rPr>
          <w:sz w:val="20"/>
          <w:szCs w:val="20"/>
          <w:color w:val="auto"/>
        </w:rPr>
      </w:pPr>
      <w:r>
        <w:rPr>
          <w:rFonts w:ascii="Arial" w:cs="Arial" w:eastAsia="Arial" w:hAnsi="Arial"/>
          <w:sz w:val="17"/>
          <w:szCs w:val="17"/>
          <w:color w:val="auto"/>
        </w:rPr>
        <w:t>103 for the treatment of SLC6A1 haploinsufficiency and TSHA-104 for the treatment of SURF1 deficiency. Designation of a drug or biologic as a product for a rare pediatric disease does not guarantee that a BLA for such drug or biologic will meet the eligibility criteria for a rare pediatric disease priority review voucher at the time the application is approved. Under the Federal Food, Drug, and Cosmetic Act, we will need to request a rare pediatric disease priority review voucher in our original BLA for TSHA-101, TSHA-118, TSHA-102, TSHA-103, TSHA-104 and any other candidates for which we submit a marketing application. The FDA may determine that a BLA for TSHA-101, TSHA-118, TSHA-102, TSHA-103 or TSHA-104, if approved, does not meet the eligibility criteria for a priority review voucher, including for the following reasons:</w:t>
      </w:r>
    </w:p>
    <w:p>
      <w:pPr>
        <w:spacing w:after="0" w:line="70" w:lineRule="exact"/>
        <w:rPr>
          <w:sz w:val="20"/>
          <w:szCs w:val="20"/>
          <w:color w:val="auto"/>
        </w:rPr>
      </w:pPr>
    </w:p>
    <w:p>
      <w:pPr>
        <w:ind w:left="1120" w:right="240" w:hanging="370"/>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GM2 gangliosidosis, CLN1 disease, Rett syndrome, SLC6A1 haploinsufficiency or SURF1 deficiency no longer meet the definition of a rare pediatric disease;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BLA contains an active ingredient (including any ester or salt of the active ingredient) that has been previously approved in a BLA;</w:t>
      </w:r>
    </w:p>
    <w:p>
      <w:pPr>
        <w:spacing w:after="0" w:line="128" w:lineRule="exact"/>
        <w:rPr>
          <w:rFonts w:ascii="Arial" w:cs="Arial" w:eastAsia="Arial" w:hAnsi="Arial"/>
          <w:sz w:val="17"/>
          <w:szCs w:val="17"/>
          <w:color w:val="auto"/>
        </w:rPr>
      </w:pPr>
    </w:p>
    <w:p>
      <w:pPr>
        <w:ind w:left="1120" w:hanging="370"/>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BLA is not deemed eligible for priority review;</w:t>
      </w:r>
    </w:p>
    <w:p>
      <w:pPr>
        <w:spacing w:after="0" w:line="117" w:lineRule="exact"/>
        <w:rPr>
          <w:rFonts w:ascii="Arial" w:cs="Arial" w:eastAsia="Arial" w:hAnsi="Arial"/>
          <w:sz w:val="18"/>
          <w:szCs w:val="18"/>
          <w:color w:val="auto"/>
        </w:rPr>
      </w:pPr>
    </w:p>
    <w:p>
      <w:pPr>
        <w:ind w:left="1120" w:right="260" w:hanging="370"/>
        <w:spacing w:after="0" w:line="263"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75" w:lineRule="exact"/>
        <w:rPr>
          <w:rFonts w:ascii="Arial" w:cs="Arial" w:eastAsia="Arial" w:hAnsi="Arial"/>
          <w:sz w:val="18"/>
          <w:szCs w:val="18"/>
          <w:color w:val="auto"/>
        </w:rPr>
      </w:pPr>
    </w:p>
    <w:p>
      <w:pPr>
        <w:ind w:left="1120" w:right="220" w:hanging="370"/>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BLA is approved for a different adult indication than the rare pediatric disease for which TSHA-101, TSHA-118, TSHA-102, TSHA-103 or TSHA-104 are designated.</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authority for the FDA to award rare pediatric disease priority review vouchers for drugs that have received rare pediatric disease designation prior to December 11, 2020 currently expires on December 11, 2022. If the BLA for TSHA-101, TSHA-118, TSHA-102, TSHA-103 or TSHA-104 is not approved prior to December 11, 2022 for any reason, regardless of whether it meets the criteria for a rare pediatric disease priority review voucher, it will not be eligible for a priority review voucher. However, it is also possible the authority for FDA to award rare pediatric disease priority review vouchers will be further extended through Federal lawmaking.</w:t>
      </w:r>
    </w:p>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have received fast track designation for TSHA-118 for the treatment of CLN1 disease, and we may seek fast track designation for our other product candidates. Even if received, fast track designation may not actually lead to a faster review or approval process and does not increase the likelihood that our product candidates will receive marketing approval.</w:t>
      </w:r>
    </w:p>
    <w:p>
      <w:pPr>
        <w:spacing w:after="0" w:line="76"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have received fast track designation for TSHA-118 for the treatment of neurocognitive manifestations of the patients with CLN1 disease, and we may seek fast track designation for our other product candidates. If a drug or biologic is intended for the treatment of a serious or life-threatening condition and the product demonstrates the potential to address unmet medical needs for this condition, the sponsor may apply for FDA fast track designation for a particular indication. There is no assurance that the FDA will grant this status to any of our other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at any time if it believes that the designation is no longer supported by data from our clinical development program.</w:t>
      </w:r>
    </w:p>
    <w:p>
      <w:pPr>
        <w:spacing w:after="0" w:line="2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indications. As such, we are currently primarily focused on the development of our first five programs: TSHA-101 (GM2 gangliosidosis), TSHA-118 (CLN1 disease), TSHA-102 (Rett syndrome), TSHA-103 (SLC6A1 haploinsufficiency) and TSHA-104 (SURF1 deficiency).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4" w:name="page45"/>
    <w:bookmarkEnd w:id="44"/>
    <w:p>
      <w:pPr>
        <w:ind w:right="360"/>
        <w:spacing w:after="0" w:line="277" w:lineRule="auto"/>
        <w:rPr>
          <w:sz w:val="20"/>
          <w:szCs w:val="20"/>
          <w:color w:val="auto"/>
        </w:rPr>
      </w:pPr>
      <w:r>
        <w:rPr>
          <w:rFonts w:ascii="Arial" w:cs="Arial" w:eastAsia="Arial" w:hAnsi="Arial"/>
          <w:sz w:val="18"/>
          <w:szCs w:val="18"/>
          <w:color w:val="auto"/>
        </w:rPr>
        <w:t>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w:t>
      </w:r>
    </w:p>
    <w:p>
      <w:pPr>
        <w:spacing w:after="0" w:line="62"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plan to conduct a clinical trial in Canada and may in the future choose to conduct additional clinical trials outside the United States, including in Australia, Europe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17"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Our business model is centered on developing therapies for patients with rare, monogenic central nervous system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62"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17"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Our business and operations may be adversely affected by the effects of the recent and evolving COVID-19 virus, which was declared by the World Health Organization as a global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80"/>
        <w:spacing w:after="0" w:line="277" w:lineRule="auto"/>
        <w:rPr>
          <w:sz w:val="20"/>
          <w:szCs w:val="20"/>
          <w:color w:val="auto"/>
        </w:rPr>
      </w:pPr>
      <w:r>
        <w:rPr>
          <w:rFonts w:ascii="Arial" w:cs="Arial" w:eastAsia="Arial" w:hAnsi="Arial"/>
          <w:sz w:val="18"/>
          <w:szCs w:val="18"/>
          <w:color w:val="auto"/>
        </w:rPr>
        <w:t>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17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Although our planned clinical trials have not been impacted by the COVID-19 pandemic to date, we may experience related disruptions in the future that could severely impact our clinical trials, including:</w:t>
      </w:r>
    </w:p>
    <w:p>
      <w:pPr>
        <w:spacing w:after="0" w:line="62" w:lineRule="exact"/>
        <w:rPr>
          <w:sz w:val="20"/>
          <w:szCs w:val="20"/>
          <w:color w:val="auto"/>
        </w:rPr>
      </w:pPr>
    </w:p>
    <w:p>
      <w:pPr>
        <w:ind w:left="1120" w:right="360" w:hanging="370"/>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w:t>
      </w:r>
    </w:p>
    <w:p>
      <w:pPr>
        <w:spacing w:after="0" w:line="117" w:lineRule="exact"/>
        <w:rPr>
          <w:rFonts w:ascii="Arial" w:cs="Arial" w:eastAsia="Arial" w:hAnsi="Arial"/>
          <w:sz w:val="18"/>
          <w:szCs w:val="18"/>
          <w:color w:val="auto"/>
        </w:rPr>
      </w:pPr>
    </w:p>
    <w:p>
      <w:pPr>
        <w:ind w:left="1120" w:right="280" w:hanging="370"/>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120" w:right="260" w:hanging="370"/>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1120" w:right="360" w:hanging="370"/>
        <w:spacing w:after="0" w:line="308"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38" w:lineRule="exact"/>
        <w:rPr>
          <w:rFonts w:ascii="Arial" w:cs="Arial" w:eastAsia="Arial" w:hAnsi="Arial"/>
          <w:sz w:val="17"/>
          <w:szCs w:val="17"/>
          <w:color w:val="auto"/>
        </w:rPr>
      </w:pPr>
    </w:p>
    <w:p>
      <w:pPr>
        <w:ind w:left="1120" w:right="340" w:hanging="370"/>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rFonts w:ascii="Arial" w:cs="Arial" w:eastAsia="Arial" w:hAnsi="Arial"/>
          <w:sz w:val="18"/>
          <w:szCs w:val="18"/>
          <w:color w:val="auto"/>
        </w:rPr>
      </w:pPr>
    </w:p>
    <w:p>
      <w:pPr>
        <w:ind w:left="1120" w:right="180" w:hanging="370"/>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ind w:right="200" w:firstLine="749"/>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Quarterly Report on Form 10-Q,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66"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the United Kingdom will be subject to a transition period until December 31, 2020, or the Transition Period, during which European Union rules will continue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88"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Since a significant proportion of the regulatory framework in the United Kingdom is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6"/>
          <w:szCs w:val="16"/>
          <w:color w:val="auto"/>
        </w:rPr>
        <w:t>Brexit, the EMA relocated to Amsterdam from London. Following the Transition Period, the United Kingdom will no longer be covered by the centralized procedures for obtaining European Union-wide marketing and manufacturing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62" w:lineRule="exact"/>
        <w:rPr>
          <w:sz w:val="20"/>
          <w:szCs w:val="20"/>
          <w:color w:val="auto"/>
        </w:rPr>
      </w:pPr>
    </w:p>
    <w:p>
      <w:pPr>
        <w:ind w:right="520" w:firstLine="749"/>
        <w:spacing w:after="0" w:line="277" w:lineRule="auto"/>
        <w:rPr>
          <w:sz w:val="20"/>
          <w:szCs w:val="20"/>
          <w:color w:val="auto"/>
        </w:rPr>
      </w:pPr>
      <w:r>
        <w:rPr>
          <w:rFonts w:ascii="Arial" w:cs="Arial" w:eastAsia="Arial" w:hAnsi="Arial"/>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w:t>
      </w:r>
    </w:p>
    <w:p>
      <w:pPr>
        <w:spacing w:after="0" w:line="170"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color w:val="auto"/>
        </w:rPr>
        <w:t>We currently rely on the UT Southwestern Gene Therapy program to manufacture our product candidates. Although we intend to establish our own manufacturing facility to provide clinical and commercial supply of our product candidates, we expect to rely on UT Southwestern for our manufacturing needs for the foreseeable future. To date, UT Southwestern has met our manufacturing requirements and quality standards for our program materials, and we expect that UT Southwestern will be capable of providing sufficient quantities of our program materials to meet anticipated clinical trial scale demands.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195"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The manufacturers of pharmaceutical products must comply with strictly enforced cGMP requirements, state and federal regulations, as well as foreign requirements when applicable. Any failure of us or our CMOs to adhere to or document compliance to such regulatory requirements could lead to a delay or interruption in the availability of our program materials for clinical trials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6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80"/>
        <w:spacing w:after="0" w:line="263" w:lineRule="auto"/>
        <w:rPr>
          <w:sz w:val="20"/>
          <w:szCs w:val="20"/>
          <w:color w:val="auto"/>
        </w:rPr>
      </w:pPr>
      <w:r>
        <w:rPr>
          <w:rFonts w:ascii="Arial" w:cs="Arial" w:eastAsia="Arial" w:hAnsi="Arial"/>
          <w:sz w:val="18"/>
          <w:szCs w:val="18"/>
          <w:b w:val="1"/>
          <w:bCs w:val="1"/>
          <w:i w:val="1"/>
          <w:iCs w:val="1"/>
          <w:color w:val="auto"/>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76"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92"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CMOs for components of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CMOs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do not pass such audit or inspections. If these facilities do not pass a pre-approval plant inspection, FDA approval of the products will not be granted.</w:t>
      </w:r>
    </w:p>
    <w:p>
      <w:pPr>
        <w:spacing w:after="0" w:line="171"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7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62"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ind w:right="140"/>
        <w:spacing w:after="0" w:line="259" w:lineRule="auto"/>
        <w:rPr>
          <w:sz w:val="20"/>
          <w:szCs w:val="20"/>
          <w:color w:val="auto"/>
        </w:rPr>
      </w:pPr>
      <w:r>
        <w:rPr>
          <w:rFonts w:ascii="Arial" w:cs="Arial" w:eastAsia="Arial" w:hAnsi="Arial"/>
          <w:sz w:val="18"/>
          <w:szCs w:val="18"/>
          <w:color w:val="auto"/>
        </w:rPr>
        <w:t>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38"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9" w:lineRule="exact"/>
        <w:rPr>
          <w:sz w:val="20"/>
          <w:szCs w:val="20"/>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120" w:right="740" w:hanging="370"/>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120" w:right="280" w:hanging="370"/>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TSHA-101, TSHA-118, TSHA-102, TSHA-103, TSHA-104 and any other product candidates, once approved;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60"/>
        <w:spacing w:after="0" w:line="277" w:lineRule="auto"/>
        <w:rPr>
          <w:sz w:val="20"/>
          <w:szCs w:val="20"/>
          <w:color w:val="auto"/>
        </w:rPr>
      </w:pPr>
      <w:r>
        <w:rPr>
          <w:rFonts w:ascii="Arial" w:cs="Arial" w:eastAsia="Arial" w:hAnsi="Arial"/>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6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95"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 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TSHA-104,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8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TSHA-101, TSHA-118, TSHA-102, TSHA-103, TSHA-104 or any other product candidate that may receive regulatory approval, we may not be successful in commercializing those product candidates if and when they are approved.</w:t>
      </w:r>
    </w:p>
    <w:p>
      <w:pPr>
        <w:spacing w:after="0" w:line="76"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We do not have sales or marketing infrastructure. To achieve commercial success for TSHA-101, TSHA-118, TSHA-102, TSHA-103, TSHA-104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17" w:lineRule="exact"/>
        <w:rPr>
          <w:sz w:val="20"/>
          <w:szCs w:val="20"/>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140" w:lineRule="exact"/>
        <w:rPr>
          <w:rFonts w:ascii="Arial" w:cs="Arial" w:eastAsia="Arial" w:hAnsi="Arial"/>
          <w:sz w:val="16"/>
          <w:szCs w:val="16"/>
          <w:color w:val="auto"/>
        </w:rPr>
      </w:pPr>
    </w:p>
    <w:p>
      <w:pPr>
        <w:ind w:left="1120" w:right="80" w:hanging="370"/>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ind w:right="200"/>
        <w:spacing w:after="0" w:line="259" w:lineRule="auto"/>
        <w:rPr>
          <w:sz w:val="20"/>
          <w:szCs w:val="20"/>
          <w:color w:val="auto"/>
        </w:rPr>
      </w:pPr>
      <w:r>
        <w:rPr>
          <w:rFonts w:ascii="Arial" w:cs="Arial" w:eastAsia="Arial" w:hAnsi="Arial"/>
          <w:sz w:val="18"/>
          <w:szCs w:val="18"/>
          <w:color w:val="auto"/>
        </w:rPr>
        <w:t>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19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Quarterly Report on Form 10-Q should be viewed with caution. Further, the data and statistical information used in this Quarterly Report on Form 10-Q, including estimates derived from them, may differ from information and estimates made by our competitors or from current or future studies conducted by independent sources.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157"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believe that the majority of our programs will face limited competition as there are no approved disease-modifying therapies for the treatment of the GM2 gangliosidosis, CLN1 disease, Rett syndrome, SLC6A1 haploinsufficiency disorder, SURF1 deficiency, SLC13A5 disorder, Fragile X syndrome, Angelman syndrome or the other development programs in our pipeline. However, we are aware that our competitors are developing product candidates for the treatment of diseases that our product candidates will target. With respect to TSHA-101, we are aware that Axovant Gene Therapies is developing AXO-AAV-GM2 for the treatment of GM2 gangliosidosis, and with respect to TSHA-102, we are aware that Novartis is developing AVXS-201 for the treatment of Rett syndrome. We are also aware that the Rett Syndrome Research Trust, Amicus Therapeutics, or Amicus, and Sarepta Therapeutics have disclosed the existence of discovery-stage gene therapy programs for the treatment of Rett syndrome. With respect to TSHA-118, we are aware that Amicus, in collaboration with Nationwide Children’s Hospital, is developing a gene therapy product candidate for CLN1 disease.</w:t>
      </w:r>
    </w:p>
    <w:p>
      <w:pPr>
        <w:spacing w:after="0" w:line="165"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 marketing. Mergers and acquisitions in the pharmaceutical and biotechnology industries could result in even more resources being concentrated among a small number of our competitors.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300" w:firstLine="749"/>
        <w:spacing w:after="0" w:line="263"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76" w:lineRule="exact"/>
        <w:rPr>
          <w:sz w:val="20"/>
          <w:szCs w:val="20"/>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 and commercialize drugs that are superior to other products in the market;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237" w:lineRule="exact"/>
        <w:rPr>
          <w:sz w:val="20"/>
          <w:szCs w:val="20"/>
          <w:color w:val="auto"/>
        </w:rPr>
      </w:pPr>
    </w:p>
    <w:p>
      <w:pPr>
        <w:jc w:val="both"/>
        <w:ind w:right="60" w:firstLine="749"/>
        <w:spacing w:after="0" w:line="279" w:lineRule="auto"/>
        <w:rPr>
          <w:sz w:val="20"/>
          <w:szCs w:val="20"/>
          <w:color w:val="auto"/>
        </w:rPr>
      </w:pPr>
      <w:r>
        <w:rPr>
          <w:rFonts w:ascii="Arial" w:cs="Arial" w:eastAsia="Arial" w:hAnsi="Arial"/>
          <w:sz w:val="17"/>
          <w:szCs w:val="17"/>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7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may face competition sooner than anticipated.</w:t>
      </w:r>
    </w:p>
    <w:p>
      <w:pPr>
        <w:spacing w:after="0" w:line="117"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68"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62"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believe our success depends on obtaining and maintaining coverage and adequate reimbursement for our product candidates, including TSHA-101 for the treatment of GM2 gangliosidosis, TSHA-118 for the treatment of CLN1 disease, TSHA-102</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2" w:name="page53"/>
    <w:bookmarkEnd w:id="52"/>
    <w:p>
      <w:pPr>
        <w:ind w:right="20"/>
        <w:spacing w:after="0" w:line="269" w:lineRule="auto"/>
        <w:rPr>
          <w:sz w:val="20"/>
          <w:szCs w:val="20"/>
          <w:color w:val="auto"/>
        </w:rPr>
      </w:pPr>
      <w:r>
        <w:rPr>
          <w:rFonts w:ascii="Arial" w:cs="Arial" w:eastAsia="Arial" w:hAnsi="Arial"/>
          <w:sz w:val="17"/>
          <w:szCs w:val="17"/>
          <w:color w:val="auto"/>
        </w:rPr>
        <w:t>for the treatment of Rett syndrome, TSHA-103 for the treatment of SLC6A1 haploinsufficiency and TSHA-104 for the treatment of SURF1 deficiency,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179"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92"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79"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84"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There can be no assurance that TSHA-101, TSHA-118, TSHA-102, TSHA-103, TSHA-104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jc w:val="both"/>
        <w:ind w:right="320" w:firstLine="749"/>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41" w:lineRule="exact"/>
        <w:rPr>
          <w:sz w:val="20"/>
          <w:szCs w:val="20"/>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129"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117"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In May 2018, a new privacy regime, the General Data Protection Regulation, or the GDPR, took effect in the European Economic Area, or the EEA. The GDPR governs the collection, use, disclosure, transfer or other processing of personal data of European persons.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171"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on June 28, 2018, and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80"/>
        <w:spacing w:after="0" w:line="291" w:lineRule="auto"/>
        <w:rPr>
          <w:sz w:val="20"/>
          <w:szCs w:val="20"/>
          <w:color w:val="auto"/>
        </w:rPr>
      </w:pPr>
      <w:r>
        <w:rPr>
          <w:rFonts w:ascii="Arial" w:cs="Arial" w:eastAsia="Arial" w:hAnsi="Arial"/>
          <w:sz w:val="16"/>
          <w:szCs w:val="16"/>
          <w:color w:val="auto"/>
        </w:rPr>
        <w:t>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may increase our compliance costs and potential liability. While there is currently an exception for protected health information that is subject to HIPAA and clinical trial regulations, as currently written, the CCPA may impact certain of our business activities. Some observers have noted that the CCPA could mark the beginning of a trend toward more stringent privacy legislation in the United States. Other states are beginning to pass similar laws. For example, an amendment to Nevada’s privacy laws, which went into effect October 1, 2019, requires us to offer to consumers the right to opt-out of the sale of their personal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63" w:lineRule="exact"/>
        <w:rPr>
          <w:sz w:val="20"/>
          <w:szCs w:val="20"/>
          <w:color w:val="auto"/>
        </w:rPr>
      </w:pPr>
    </w:p>
    <w:p>
      <w:pPr>
        <w:ind w:right="140" w:firstLine="749"/>
        <w:spacing w:after="0" w:line="286" w:lineRule="auto"/>
        <w:rPr>
          <w:sz w:val="20"/>
          <w:szCs w:val="20"/>
          <w:color w:val="auto"/>
        </w:rPr>
      </w:pPr>
      <w:r>
        <w:rPr>
          <w:rFonts w:ascii="Arial" w:cs="Arial" w:eastAsia="Arial" w:hAnsi="Arial"/>
          <w:sz w:val="16"/>
          <w:szCs w:val="16"/>
          <w:color w:val="auto"/>
        </w:rPr>
        <w:t>Our collaboration with UT Southwestern is critical to our business. We have entered into a Research, Collaboration and License Agreement, or the UT Southwestern Agreement, with UT Southwestern to discover and develop certain AAV vector-based therapeutics, and the product candidates developed under such collaboration currently represent all of our pipeline and discovery programs. We currently rely exclusively on UT Southwestern for all of our preclinical research and development capabilities, and in particular the UT Southwestern Gene Therapy Program under the direction of</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 regulatory authorities. Although we plan to be the sponsor for each product candidate’s IND, UT Southwestern will be the holder of the Health Canada CTA for TSHA-101.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168"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The term of the research funding portion of the UT Southwestern Agreement, under which we have the ability to acquire exclusive rights to additional gene therapy products for rare, monogenic central nervous system indications, expires in November 2021, subject to mutual agreement to extend research funding pursuant to sponsored research agreements. If we seek to extend the research portion of our collaboration, we will need to negotiate a new or amended agreement, which may not be available to us on equally favorable terms, if at all.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168"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86" w:lineRule="exact"/>
        <w:rPr>
          <w:sz w:val="20"/>
          <w:szCs w:val="20"/>
          <w:color w:val="auto"/>
        </w:rPr>
      </w:pPr>
    </w:p>
    <w:p>
      <w:pPr>
        <w:ind w:right="840"/>
        <w:spacing w:after="0" w:line="375" w:lineRule="auto"/>
        <w:rPr>
          <w:sz w:val="20"/>
          <w:szCs w:val="20"/>
          <w:color w:val="auto"/>
        </w:rPr>
      </w:pPr>
      <w:r>
        <w:rPr>
          <w:rFonts w:ascii="Arial" w:cs="Arial" w:eastAsia="Arial" w:hAnsi="Arial"/>
          <w:sz w:val="15"/>
          <w:szCs w:val="15"/>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1"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intend to engage CROs to conduct our planned clinical trials, including our planned Phase 1/2 trials of TSHA-101 and TSHA-118. We expect to continue to rely on third parties, including clinical data management organizations, medical institutions and clinical investigators, to conduct those clinical trials. Any of these third parties may terminate their engagements with us, some in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7"/>
          <w:szCs w:val="17"/>
          <w:color w:val="auto"/>
        </w:rPr>
        <w:t>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the ongoing COVID-19 pandemic, including due to travel or quarantine policies, heightened exposure of CRO staff who are healthcare providers to COVID-19 or prioritization of resources toward the pandemic.</w:t>
      </w:r>
    </w:p>
    <w:p>
      <w:pPr>
        <w:spacing w:after="0" w:line="178" w:lineRule="exact"/>
        <w:rPr>
          <w:sz w:val="20"/>
          <w:szCs w:val="20"/>
          <w:color w:val="auto"/>
        </w:rPr>
      </w:pPr>
    </w:p>
    <w:p>
      <w:pPr>
        <w:ind w:right="120" w:firstLine="749"/>
        <w:spacing w:after="0" w:line="272" w:lineRule="auto"/>
        <w:rPr>
          <w:sz w:val="20"/>
          <w:szCs w:val="20"/>
          <w:color w:val="auto"/>
        </w:rPr>
      </w:pPr>
      <w:r>
        <w:rPr>
          <w:rFonts w:ascii="Arial" w:cs="Arial" w:eastAsia="Arial" w:hAnsi="Arial"/>
          <w:sz w:val="17"/>
          <w:szCs w:val="17"/>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7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68"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TSHA-101, TSHA-118, TSHA-102, TSHA-103, TSHA-104 or any other product candidates.</w:t>
      </w:r>
    </w:p>
    <w:p>
      <w:pPr>
        <w:spacing w:after="0" w:line="178"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ind w:right="300" w:firstLine="749"/>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left="7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1120" w:hanging="370"/>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jc w:val="both"/>
        <w:ind w:left="1120" w:right="160" w:hanging="370"/>
        <w:spacing w:after="0" w:line="311"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40" w:lineRule="exact"/>
        <w:rPr>
          <w:rFonts w:ascii="Arial" w:cs="Arial" w:eastAsia="Arial" w:hAnsi="Arial"/>
          <w:sz w:val="16"/>
          <w:szCs w:val="16"/>
          <w:color w:val="auto"/>
        </w:rPr>
      </w:pPr>
    </w:p>
    <w:p>
      <w:pPr>
        <w:ind w:left="1120" w:right="380" w:hanging="370"/>
        <w:spacing w:after="0" w:line="308"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120" w:right="380" w:hanging="370"/>
        <w:spacing w:after="0" w:line="263"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120" w:right="600" w:hanging="370"/>
        <w:spacing w:after="0" w:line="342"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15" w:lineRule="exact"/>
        <w:rPr>
          <w:rFonts w:ascii="Arial" w:cs="Arial" w:eastAsia="Arial" w:hAnsi="Arial"/>
          <w:sz w:val="16"/>
          <w:szCs w:val="16"/>
          <w:color w:val="auto"/>
        </w:rPr>
      </w:pPr>
    </w:p>
    <w:p>
      <w:pPr>
        <w:ind w:left="1120" w:right="380" w:hanging="370"/>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2" w:lineRule="exact"/>
        <w:rPr>
          <w:rFonts w:ascii="Arial" w:cs="Arial" w:eastAsia="Arial" w:hAnsi="Arial"/>
          <w:sz w:val="18"/>
          <w:szCs w:val="18"/>
          <w:color w:val="auto"/>
        </w:rPr>
      </w:pPr>
    </w:p>
    <w:p>
      <w:pPr>
        <w:ind w:left="1120" w:right="120" w:hanging="370"/>
        <w:spacing w:after="0" w:line="259"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120" w:right="80" w:hanging="370"/>
        <w:spacing w:after="0" w:line="263"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28" w:lineRule="exact"/>
        <w:rPr>
          <w:rFonts w:ascii="Arial" w:cs="Arial" w:eastAsia="Arial" w:hAnsi="Arial"/>
          <w:sz w:val="17"/>
          <w:szCs w:val="17"/>
          <w:color w:val="auto"/>
        </w:rPr>
      </w:pPr>
    </w:p>
    <w:p>
      <w:pPr>
        <w:ind w:left="1120" w:right="100" w:hanging="370"/>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spacing w:after="0" w:line="311" w:lineRule="auto"/>
        <w:rPr>
          <w:sz w:val="20"/>
          <w:szCs w:val="20"/>
          <w:color w:val="auto"/>
        </w:rPr>
      </w:pPr>
      <w:r>
        <w:rPr>
          <w:rFonts w:ascii="Arial" w:cs="Arial" w:eastAsia="Arial" w:hAnsi="Arial"/>
          <w:sz w:val="16"/>
          <w:szCs w:val="16"/>
          <w:color w:val="auto"/>
        </w:rPr>
        <w:t>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62" w:lineRule="exact"/>
        <w:rPr>
          <w:sz w:val="20"/>
          <w:szCs w:val="20"/>
          <w:color w:val="auto"/>
        </w:rPr>
      </w:pPr>
    </w:p>
    <w:p>
      <w:pPr>
        <w:jc w:val="both"/>
        <w:ind w:right="220" w:firstLine="749"/>
        <w:spacing w:after="0" w:line="263"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184" w:lineRule="exact"/>
        <w:rPr>
          <w:sz w:val="20"/>
          <w:szCs w:val="20"/>
          <w:color w:val="auto"/>
        </w:rPr>
      </w:pPr>
    </w:p>
    <w:p>
      <w:pPr>
        <w:ind w:right="140" w:firstLine="749"/>
        <w:spacing w:after="0" w:line="269" w:lineRule="auto"/>
        <w:rPr>
          <w:sz w:val="20"/>
          <w:szCs w:val="20"/>
          <w:color w:val="auto"/>
        </w:rPr>
      </w:pPr>
      <w:r>
        <w:rPr>
          <w:rFonts w:ascii="Arial" w:cs="Arial" w:eastAsia="Arial" w:hAnsi="Arial"/>
          <w:sz w:val="17"/>
          <w:szCs w:val="17"/>
          <w:color w:val="auto"/>
        </w:rPr>
        <w:t>As of September 23, 2020, we in-license one Patent Cooperation Treaty application, 14 pending foreign patent applications, 14 patent applications pending in the United States, of which two are United States utility patent applications, both of which, if issued, are expected to expire in 2037, and 12 are United States provisional patent applications where patent applications claiming priority to these provision patent applications, if issued, are expected to expire between 2040 and 2041.</w:t>
      </w:r>
      <w:r>
        <w:rPr>
          <w:rFonts w:ascii="Arial" w:cs="Arial" w:eastAsia="Arial" w:hAnsi="Arial"/>
          <w:sz w:val="14"/>
          <w:szCs w:val="14"/>
          <w:color w:val="auto"/>
        </w:rPr>
        <w:t>1</w:t>
      </w:r>
      <w:r>
        <w:rPr>
          <w:rFonts w:ascii="Arial" w:cs="Arial" w:eastAsia="Arial" w:hAnsi="Arial"/>
          <w:sz w:val="17"/>
          <w:szCs w:val="17"/>
          <w:color w:val="auto"/>
        </w:rPr>
        <w:t xml:space="preserve">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85"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64"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4"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w:t>
      </w:r>
    </w:p>
    <w:p>
      <w:pPr>
        <w:spacing w:after="0" w:line="124"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To be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100"/>
        <w:spacing w:after="0" w:line="277" w:lineRule="auto"/>
        <w:rPr>
          <w:sz w:val="20"/>
          <w:szCs w:val="20"/>
          <w:color w:val="auto"/>
        </w:rPr>
      </w:pPr>
      <w:r>
        <w:rPr>
          <w:rFonts w:ascii="Arial" w:cs="Arial" w:eastAsia="Arial" w:hAnsi="Arial"/>
          <w:sz w:val="18"/>
          <w:szCs w:val="18"/>
          <w:color w:val="auto"/>
        </w:rPr>
        <w:t>secret protection, we may not be able to establish or maintain a competitive advantage in our market, which could materially adversely affect our business, results of operations and financial condition.</w:t>
      </w:r>
    </w:p>
    <w:p>
      <w:pPr>
        <w:spacing w:after="0" w:line="2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6"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62"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We are heavily reliant upon licenses to certain patent rights and proprietary technology for the development of our product candidates, in particular the UT Southwestern Agreement and our license agreements with Queen’s University and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19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185"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87"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340"/>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62" w:lineRule="exact"/>
        <w:rPr>
          <w:sz w:val="20"/>
          <w:szCs w:val="20"/>
          <w:color w:val="auto"/>
        </w:rPr>
      </w:pPr>
    </w:p>
    <w:p>
      <w:pPr>
        <w:ind w:right="280" w:firstLine="749"/>
        <w:spacing w:after="0" w:line="257" w:lineRule="auto"/>
        <w:rPr>
          <w:sz w:val="20"/>
          <w:szCs w:val="20"/>
          <w:color w:val="auto"/>
        </w:rPr>
      </w:pPr>
      <w:r>
        <w:rPr>
          <w:rFonts w:ascii="Arial" w:cs="Arial" w:eastAsia="Arial" w:hAnsi="Arial"/>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88"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76"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17"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0" w:name="page61"/>
    <w:bookmarkEnd w:id="60"/>
    <w:p>
      <w:pPr>
        <w:ind w:right="120" w:firstLine="749"/>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jc w:val="both"/>
        <w:ind w:right="100" w:firstLine="74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w:t>
      </w:r>
    </w:p>
    <w:p>
      <w:pPr>
        <w:spacing w:after="0" w:line="15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TSHA-101, TSHA-118, TSHA-102, TSHA-103, TSHA-104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8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firstLine="749"/>
        <w:spacing w:after="0" w:line="285" w:lineRule="auto"/>
        <w:rPr>
          <w:sz w:val="20"/>
          <w:szCs w:val="20"/>
          <w:color w:val="auto"/>
        </w:rPr>
      </w:pPr>
      <w:r>
        <w:rPr>
          <w:rFonts w:ascii="Arial" w:cs="Arial" w:eastAsia="Arial" w:hAnsi="Arial"/>
          <w:sz w:val="16"/>
          <w:szCs w:val="16"/>
          <w:color w:val="auto"/>
        </w:rPr>
        <w:t>We are aware of issued patent or patents issued to REGENXBIO Inc., or REGENX, that claim AAV vectors that have an AAV9 capsid serotype. If we commercialize any of our product candidates prior to the expiry of those patents in 2026 without a license, the patent owner could bring an action claiming infringement. In August 2020, we received a letter from REGENX that stated REGENX is the owner of or has exclusive licenses to various issued patents or patent applications regarding the use of AAV9 vectors and offered to discuss licensing the applicable patents from them. We intend to review their letter in detail and to take appropriate actions based on our review, which may include, if we deem it appropriate, speaking with REGENX regarding their letter.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76"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1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40"/>
        <w:spacing w:after="0" w:line="254" w:lineRule="auto"/>
        <w:rPr>
          <w:sz w:val="20"/>
          <w:szCs w:val="20"/>
          <w:color w:val="auto"/>
        </w:rPr>
      </w:pPr>
      <w:r>
        <w:rPr>
          <w:rFonts w:ascii="Arial" w:cs="Arial" w:eastAsia="Arial" w:hAnsi="Arial"/>
          <w:sz w:val="18"/>
          <w:szCs w:val="18"/>
          <w:color w:val="auto"/>
        </w:rPr>
        <w:t>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9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188"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71"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2"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20" w:firstLine="749"/>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29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Any trademarks we have obtained or may obtain may be infringed or otherwise violated, or successfully challenged, resulting in harm to our business.</w:t>
      </w:r>
    </w:p>
    <w:p>
      <w:pPr>
        <w:spacing w:after="0" w:line="152"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120" w:right="40" w:hanging="370"/>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our current or future patents;</w:t>
      </w:r>
    </w:p>
    <w:p>
      <w:pPr>
        <w:spacing w:after="0" w:line="62" w:lineRule="exact"/>
        <w:rPr>
          <w:rFonts w:ascii="Arial" w:cs="Arial" w:eastAsia="Arial" w:hAnsi="Arial"/>
          <w:sz w:val="18"/>
          <w:szCs w:val="18"/>
          <w:color w:val="auto"/>
        </w:rPr>
      </w:pPr>
    </w:p>
    <w:p>
      <w:pPr>
        <w:ind w:left="1120" w:right="640" w:hanging="370"/>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62"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make the inventions covered by our issued or future issued patents or our pending patent applications;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28" w:lineRule="exact"/>
        <w:rPr>
          <w:rFonts w:ascii="Arial" w:cs="Arial" w:eastAsia="Arial" w:hAnsi="Arial"/>
          <w:sz w:val="17"/>
          <w:szCs w:val="17"/>
          <w:color w:val="auto"/>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17" w:lineRule="exact"/>
        <w:rPr>
          <w:rFonts w:ascii="Arial" w:cs="Arial" w:eastAsia="Arial" w:hAnsi="Arial"/>
          <w:sz w:val="18"/>
          <w:szCs w:val="18"/>
          <w:color w:val="auto"/>
        </w:rPr>
      </w:pPr>
    </w:p>
    <w:p>
      <w:pPr>
        <w:ind w:left="1120" w:right="620" w:hanging="370"/>
        <w:spacing w:after="0" w:line="308"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2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b w:val="1"/>
          <w:bCs w:val="1"/>
          <w:i w:val="1"/>
          <w:iCs w:val="1"/>
          <w:color w:val="auto"/>
        </w:rPr>
        <w:t>Our relationships with customers, healthcare providers, including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41"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84" w:lineRule="exact"/>
        <w:rPr>
          <w:sz w:val="20"/>
          <w:szCs w:val="20"/>
          <w:color w:val="auto"/>
        </w:rPr>
      </w:pPr>
    </w:p>
    <w:p>
      <w:pPr>
        <w:ind w:left="1120" w:hanging="370"/>
        <w:spacing w:after="0" w:line="287"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ACA signed into law in 2010, provides that the government may assert that a claim including items or services resulting from a violation of the federal Anti-Kickback Statute constitutes a false or fraudulent claim for purposes of the federal False Claims Act;</w:t>
      </w:r>
    </w:p>
    <w:p>
      <w:pPr>
        <w:spacing w:after="0" w:line="63" w:lineRule="exact"/>
        <w:rPr>
          <w:rFonts w:ascii="Arial" w:cs="Arial" w:eastAsia="Arial" w:hAnsi="Arial"/>
          <w:sz w:val="16"/>
          <w:szCs w:val="16"/>
          <w:color w:val="auto"/>
        </w:rPr>
      </w:pPr>
    </w:p>
    <w:p>
      <w:pPr>
        <w:ind w:left="1120" w:right="100" w:hanging="370"/>
        <w:spacing w:after="0" w:line="289"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58" w:lineRule="exact"/>
        <w:rPr>
          <w:rFonts w:ascii="Arial" w:cs="Arial" w:eastAsia="Arial" w:hAnsi="Arial"/>
          <w:sz w:val="16"/>
          <w:szCs w:val="16"/>
          <w:color w:val="auto"/>
        </w:rPr>
      </w:pPr>
    </w:p>
    <w:p>
      <w:pPr>
        <w:ind w:left="1120" w:hanging="370"/>
        <w:spacing w:after="0" w:line="255"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4" w:lineRule="exact"/>
        <w:rPr>
          <w:rFonts w:ascii="Arial" w:cs="Arial" w:eastAsia="Arial" w:hAnsi="Arial"/>
          <w:sz w:val="18"/>
          <w:szCs w:val="18"/>
          <w:color w:val="auto"/>
        </w:rPr>
      </w:pPr>
    </w:p>
    <w:p>
      <w:pPr>
        <w:ind w:left="1120" w:right="40" w:hanging="370"/>
        <w:spacing w:after="0" w:line="255"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as well as their covered subcontractors. HITECH also created new tiers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left="1120" w:right="160"/>
        <w:spacing w:after="0" w:line="263" w:lineRule="auto"/>
        <w:rPr>
          <w:sz w:val="20"/>
          <w:szCs w:val="20"/>
          <w:color w:val="auto"/>
        </w:rPr>
      </w:pPr>
      <w:r>
        <w:rPr>
          <w:rFonts w:ascii="Arial" w:cs="Arial" w:eastAsia="Arial" w:hAnsi="Arial"/>
          <w:sz w:val="18"/>
          <w:szCs w:val="18"/>
          <w:color w:val="auto"/>
        </w:rPr>
        <w:t>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76" w:lineRule="exact"/>
        <w:rPr>
          <w:sz w:val="20"/>
          <w:szCs w:val="20"/>
          <w:color w:val="auto"/>
        </w:rPr>
      </w:pPr>
    </w:p>
    <w:p>
      <w:pPr>
        <w:ind w:left="1120" w:right="140" w:hanging="370"/>
        <w:spacing w:after="0" w:line="286"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w:t>
      </w:r>
    </w:p>
    <w:p>
      <w:pPr>
        <w:spacing w:after="0" w:line="1" w:lineRule="exact"/>
        <w:rPr>
          <w:rFonts w:ascii="Arial" w:cs="Arial" w:eastAsia="Arial" w:hAnsi="Arial"/>
          <w:sz w:val="16"/>
          <w:szCs w:val="16"/>
          <w:color w:val="auto"/>
        </w:rPr>
      </w:pPr>
    </w:p>
    <w:p>
      <w:pPr>
        <w:ind w:left="1120" w:right="140"/>
        <w:spacing w:after="0" w:line="255" w:lineRule="auto"/>
        <w:rPr>
          <w:rFonts w:ascii="Arial" w:cs="Arial" w:eastAsia="Arial" w:hAnsi="Arial"/>
          <w:sz w:val="16"/>
          <w:szCs w:val="16"/>
          <w:color w:val="auto"/>
        </w:rPr>
      </w:pPr>
      <w:r>
        <w:rPr>
          <w:rFonts w:ascii="Arial" w:cs="Arial" w:eastAsia="Arial" w:hAnsi="Arial"/>
          <w:sz w:val="18"/>
          <w:szCs w:val="18"/>
          <w:color w:val="auto"/>
        </w:rPr>
        <w:t>(ii)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 and</w:t>
      </w:r>
    </w:p>
    <w:p>
      <w:pPr>
        <w:spacing w:after="0" w:line="81" w:lineRule="exact"/>
        <w:rPr>
          <w:rFonts w:ascii="Arial" w:cs="Arial" w:eastAsia="Arial" w:hAnsi="Arial"/>
          <w:sz w:val="16"/>
          <w:szCs w:val="16"/>
          <w:color w:val="auto"/>
        </w:rPr>
      </w:pPr>
    </w:p>
    <w:p>
      <w:pPr>
        <w:ind w:left="1120" w:right="40" w:hanging="370"/>
        <w:spacing w:after="0" w:line="272" w:lineRule="auto"/>
        <w:tabs>
          <w:tab w:leader="none" w:pos="11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77"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96"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TSHA-101, TSHA-118, TSHA-102, TSHA-103, TSHA-104 or any future product candidates, they will remain subject to ongoing regulatory oversight.</w:t>
      </w:r>
    </w:p>
    <w:p>
      <w:pPr>
        <w:spacing w:after="0" w:line="62"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Even if we obtain any regulatory approval for TSHA-101, TSHA-118, TSHA-102, TSHA-103, TSHA-104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TSHA-101, TSHA-118, TSHA-102, TSHA-103, TSHA-104 or any future product candidates may also be subject to REMS,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96"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jc w:val="both"/>
        <w:ind w:right="140"/>
        <w:spacing w:after="0" w:line="263" w:lineRule="auto"/>
        <w:rPr>
          <w:sz w:val="20"/>
          <w:szCs w:val="20"/>
          <w:color w:val="auto"/>
        </w:rPr>
      </w:pPr>
      <w:r>
        <w:rPr>
          <w:rFonts w:ascii="Arial" w:cs="Arial" w:eastAsia="Arial" w:hAnsi="Arial"/>
          <w:sz w:val="18"/>
          <w:szCs w:val="18"/>
          <w:color w:val="auto"/>
        </w:rPr>
        <w:t>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84"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92"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If we fail to comply with applicable regulatory requirements following approval of TSHA-101, TSHA-118, TSHA-102, TSHA-103, TSHA-104 or any future product candidates, a regulatory authority may:</w:t>
      </w:r>
    </w:p>
    <w:p>
      <w:pPr>
        <w:spacing w:after="0" w:line="62" w:lineRule="exact"/>
        <w:rPr>
          <w:sz w:val="20"/>
          <w:szCs w:val="20"/>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right="440" w:firstLine="749"/>
        <w:spacing w:after="0" w:line="311"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TSHA-101, TSHA-118, TSHA-102, TSHA-103, TSHA-104 or any future product candidates and harm our business, financial condition, results of operations and prospects.</w:t>
      </w:r>
    </w:p>
    <w:p>
      <w:pPr>
        <w:spacing w:after="0" w:line="25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38"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17" w:lineRule="exact"/>
        <w:rPr>
          <w:sz w:val="20"/>
          <w:szCs w:val="20"/>
          <w:color w:val="auto"/>
        </w:rPr>
      </w:pPr>
    </w:p>
    <w:p>
      <w:pPr>
        <w:jc w:val="both"/>
        <w:ind w:right="100" w:firstLine="749"/>
        <w:spacing w:after="0" w:line="286" w:lineRule="auto"/>
        <w:rPr>
          <w:sz w:val="20"/>
          <w:szCs w:val="20"/>
          <w:color w:val="auto"/>
        </w:rPr>
      </w:pPr>
      <w:r>
        <w:rPr>
          <w:rFonts w:ascii="Arial" w:cs="Arial" w:eastAsia="Arial" w:hAnsi="Arial"/>
          <w:sz w:val="17"/>
          <w:szCs w:val="17"/>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65"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 (vi) 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 innovative payment and service delivery models to lower Medicare and Medicaid spending, potentially including prescription drug.</w:t>
      </w:r>
    </w:p>
    <w:p>
      <w:pPr>
        <w:spacing w:after="0" w:line="188" w:lineRule="exact"/>
        <w:rPr>
          <w:sz w:val="20"/>
          <w:szCs w:val="20"/>
          <w:color w:val="auto"/>
        </w:rPr>
      </w:pPr>
    </w:p>
    <w:p>
      <w:pPr>
        <w:ind w:right="60" w:firstLine="749"/>
        <w:spacing w:after="0" w:line="285"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Trump administration to repeal or replace certain aspects of the ACA. While Congress has not passed comprehensive repeal legislation, several bills affecting the implementation of certain taxes under the ACA have been signed into law. The Tax Cuts and Jobs Act of 2017, or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The Bipartisan Budget Act of 2018, or the BBA, among other things, amended the ACA, effective January 1, 2019, to close the coverage gap in most Medicare drug plans, commonly referred to as the “donut hole.” In December 2018, CMS published a new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On December 14, 2018, a Texas United States District Court Judge ruled that the ACA is unconstitutional in its entirety because the “individual mandate” was repealed by Congress as part of the Tax Act. Additionally, on December 18, 2019, the United States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It is unclear how such litigation and other efforts to repeal and replace the ACA will impact the ACA and our business.</w:t>
      </w:r>
    </w:p>
    <w:p>
      <w:pPr>
        <w:spacing w:after="0" w:line="176"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healthcare funding, which could have an adverse effect on customers for our product candidates, if approved, and, accordingly, our financial operations.</w:t>
      </w:r>
    </w:p>
    <w:p>
      <w:pPr>
        <w:spacing w:after="0" w:line="248"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 xml:space="preserve">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(over a period of time)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has implemented others under its existing authority. On July 24, 2020, President Trump announced four executive orders related to prescription drug pricing that attempt to implement several of the Administration’s proposals, including a policy that would tie certain Medicare Part B drug prices to international drug prices, or the “most favored nation price,” the details of which were released on September 13, 2020 </w:t>
      </w:r>
      <w:r>
        <w:rPr>
          <w:rFonts w:ascii="Arial" w:cs="Arial" w:eastAsia="Arial" w:hAnsi="Arial"/>
          <w:sz w:val="16"/>
          <w:szCs w:val="16"/>
          <w:color w:val="auto"/>
        </w:rPr>
        <w:t>and</w:t>
      </w:r>
      <w:r>
        <w:rPr>
          <w:rFonts w:ascii="Arial" w:cs="Arial" w:eastAsia="Arial" w:hAnsi="Arial"/>
          <w:sz w:val="17"/>
          <w:szCs w:val="17"/>
          <w:color w:val="auto"/>
        </w:rPr>
        <w:t xml:space="preserve"> </w:t>
      </w:r>
      <w:r>
        <w:rPr>
          <w:rFonts w:ascii="Arial" w:cs="Arial" w:eastAsia="Arial" w:hAnsi="Arial"/>
          <w:sz w:val="16"/>
          <w:szCs w:val="16"/>
          <w:color w:val="auto"/>
        </w:rPr>
        <w:t>also expanded the policy to cover certain Part D drugs; one that directs HHS to finalize the Canadian drug importation proposed rule previously issued by HHS and makes other changes allowing for personal importation of drugs from Canada; one that directs HHS to finalize the rulemaking process on modifying the anti-kickback law safe harbors for plans, pharmacies, and pharmaceutical benefit managers; and one that reduces costs of insulin and epipens to patients of federally qualified health centers. The probability of success of these newly announced policies and their impact on the U.S. prescription drug marketplace is unknown. While some of these and other measures may require additional authorization to become effective, Congress and the Trump administration have indicated that they will continue to seek new legislative and/or administrative measures to control drug costs. The FDA also recently released a final rule, effective November 30, 2020, implementing a portion of the importation executive order providing guidance for states to build and submit importation plans for drugs from Canada.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8"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88"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In addition, FDA regulations and guidance may be revised or reinterpreted by the FDA in ways that may significantly affect our business and our products. The Trump administration has also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requirements will be interpreted and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Any new regulations or guidance, or revisions or reinterpretations of existing regulations or guidance, may impose additional costs or lengthen FDA review times for TSHA-101, TSHA-118, TSHA-102, TSHA-103, TSHA-104 or any future product candidates. We cannot determine how changes in regulations, statutes, policies, or interpretations when and if issued, enacted or adopted, may affect our business in the future. Such changes could, among other things, require:</w:t>
      </w:r>
    </w:p>
    <w:p>
      <w:pPr>
        <w:spacing w:after="0" w:line="86" w:lineRule="exact"/>
        <w:rPr>
          <w:sz w:val="20"/>
          <w:szCs w:val="20"/>
          <w:color w:val="auto"/>
        </w:rPr>
      </w:pPr>
    </w:p>
    <w:p>
      <w:pPr>
        <w:ind w:left="1120" w:hanging="370"/>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jc w:val="both"/>
        <w:ind w:right="40" w:firstLine="749"/>
        <w:spacing w:after="0" w:line="259" w:lineRule="auto"/>
        <w:rPr>
          <w:sz w:val="20"/>
          <w:szCs w:val="20"/>
          <w:color w:val="auto"/>
        </w:rPr>
      </w:pPr>
      <w:r>
        <w:rPr>
          <w:rFonts w:ascii="Arial" w:cs="Arial" w:eastAsia="Arial" w:hAnsi="Arial"/>
          <w:sz w:val="18"/>
          <w:szCs w:val="18"/>
          <w:color w:val="auto"/>
        </w:rPr>
        <w:t>Such changes would likely require substantial time and impose significant costs, or could reduce the potential commercial value of TSHA-101, TSHA-118, TSHA-102, TSHA-103, TSHA-104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activities will be subject to the Foreign Corrupt Practices Act, or FCPA, and similar anti-bribery and anti-corruption laws.</w:t>
      </w:r>
    </w:p>
    <w:p>
      <w:pPr>
        <w:spacing w:after="0" w:line="129"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8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Separately, in response to the COVID-19 pandemic, on March 10, 2020 the FDA announced its intention to postpone most inspections of foreign manufacturing facilities and products while local, national and international conditions warrant. The FDA has developed a rating system to assist in determining when and where it is safest to conduct prioritized domestic inspections. Regulatory authorities outside the U.S. may adopt similar restrictions or other policy measures in response to the COVID-19 pandemic and may experience delays in their regulatory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particularly RA Session II, our President and Chief Executive Officer. Each of our executive officers may currently terminate their employment with us at any time. We do not maintain “key person” insurance for any of our executives or employees.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0" w:name="page71"/>
    <w:bookmarkEnd w:id="70"/>
    <w:p>
      <w:pPr>
        <w:ind w:right="20" w:firstLine="749"/>
        <w:spacing w:after="0" w:line="269"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currently have a limited number of employees, and we rely on PBM Capital Group, LLC to provide various administrative and management services.</w:t>
      </w:r>
    </w:p>
    <w:p>
      <w:pPr>
        <w:spacing w:after="0" w:line="62"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We currently rely on the support and administrative services provided by PBM Capital Group, LLC, which, together with its affiliate PBM TGT Holdings, LLC, is a holder of more than 5% of our capital stock, pursuant to our services agreement with PBM Capital Group, LLC. We do not expect personnel and support staff that provide services to us under these services agreements will have as their primary responsibility the management and administration of our business or act exclusively for us. As a result, such individuals will not allocate all of their time and resources to us.</w:t>
      </w:r>
    </w:p>
    <w:p>
      <w:pPr>
        <w:spacing w:after="0" w:line="157" w:lineRule="exact"/>
        <w:rPr>
          <w:sz w:val="20"/>
          <w:szCs w:val="20"/>
          <w:color w:val="auto"/>
        </w:rPr>
      </w:pPr>
    </w:p>
    <w:p>
      <w:pPr>
        <w:jc w:val="both"/>
        <w:ind w:right="40" w:firstLine="749"/>
        <w:spacing w:after="0" w:line="279" w:lineRule="auto"/>
        <w:rPr>
          <w:sz w:val="20"/>
          <w:szCs w:val="20"/>
          <w:color w:val="auto"/>
        </w:rPr>
      </w:pPr>
      <w:r>
        <w:rPr>
          <w:rFonts w:ascii="Arial" w:cs="Arial" w:eastAsia="Arial" w:hAnsi="Arial"/>
          <w:sz w:val="17"/>
          <w:szCs w:val="17"/>
          <w:color w:val="auto"/>
        </w:rPr>
        <w:t>If PBM Capital Group, LLC fails to perform their obligations in accordance with the terms of the services agreements, it could be difficult for us to operate our business. Any failure by PBM Capital Group, LLC to effectively manage administrative or other services that they provide to us could harm our business, financial condition and results of operations. In addition, the termination of our relationship with PBM Capital Group, LLC and any delay in appointing or finding a suitable replacement provider (if one exists) could make it difficult for us to operate our business.</w:t>
      </w:r>
    </w:p>
    <w:p>
      <w:pPr>
        <w:spacing w:after="0" w:line="171"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Additionally, over time we will need to transition from receiving the services that PBM Capital Group, LLC is currently providing to performing such activities internally. If we do not have adequate financial resources or personnel and systems in place at the time that we assume responsibilities for such services, we may not be successful in effectively or efficiently transitioning these services from PBM Capital Group, LLC, which could disrupt our business and have a material adverse effect on our financial condition and results of operations. Even if we are able to successfully transition these services, they may be more expensive or less efficient than the services we are receiving from PBM Capital Group, LLC during the transition period.</w:t>
      </w:r>
    </w:p>
    <w:p>
      <w:pPr>
        <w:spacing w:after="0" w:line="26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38"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As of September 30, 2020, we had 12 employees. As our development progresses, we expect to experience significant growth in the number of our employees and the scope of our operations, particularly in the areas of clinical product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62"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120"/>
        <w:spacing w:after="0" w:line="269" w:lineRule="auto"/>
        <w:rPr>
          <w:sz w:val="20"/>
          <w:szCs w:val="20"/>
          <w:color w:val="auto"/>
        </w:rPr>
      </w:pPr>
      <w:r>
        <w:rPr>
          <w:rFonts w:ascii="Arial" w:cs="Arial" w:eastAsia="Arial" w:hAnsi="Arial"/>
          <w:sz w:val="17"/>
          <w:szCs w:val="17"/>
          <w:color w:val="auto"/>
        </w:rPr>
        <w:t>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86" w:lineRule="exact"/>
        <w:rPr>
          <w:sz w:val="20"/>
          <w:szCs w:val="20"/>
          <w:color w:val="auto"/>
        </w:rPr>
      </w:pPr>
    </w:p>
    <w:p>
      <w:pPr>
        <w:ind w:right="4200"/>
        <w:spacing w:after="0" w:line="425" w:lineRule="auto"/>
        <w:rPr>
          <w:sz w:val="20"/>
          <w:szCs w:val="20"/>
          <w:color w:val="auto"/>
        </w:rPr>
      </w:pPr>
      <w:r>
        <w:rPr>
          <w:rFonts w:ascii="Arial" w:cs="Arial" w:eastAsia="Arial" w:hAnsi="Arial"/>
          <w:sz w:val="16"/>
          <w:szCs w:val="16"/>
          <w:b w:val="1"/>
          <w:bCs w:val="1"/>
          <w:color w:val="auto"/>
        </w:rPr>
        <w:t xml:space="preserve">Risks Related to Ownership of our Common Stock and our Status as a Public Company </w:t>
      </w:r>
      <w:r>
        <w:rPr>
          <w:rFonts w:ascii="Arial" w:cs="Arial" w:eastAsia="Arial" w:hAnsi="Arial"/>
          <w:sz w:val="16"/>
          <w:szCs w:val="16"/>
          <w:b w:val="1"/>
          <w:bCs w:val="1"/>
          <w:i w:val="1"/>
          <w:iCs w:val="1"/>
          <w:color w:val="auto"/>
        </w:rPr>
        <w:t>An active trading market for our common stock may not continue to be developed or sustained.</w:t>
      </w:r>
    </w:p>
    <w:p>
      <w:pPr>
        <w:ind w:right="60" w:firstLine="749"/>
        <w:spacing w:after="0" w:line="263" w:lineRule="auto"/>
        <w:rPr>
          <w:sz w:val="20"/>
          <w:szCs w:val="20"/>
          <w:color w:val="auto"/>
        </w:rPr>
      </w:pPr>
      <w:r>
        <w:rPr>
          <w:rFonts w:ascii="Arial" w:cs="Arial" w:eastAsia="Arial" w:hAnsi="Arial"/>
          <w:sz w:val="18"/>
          <w:szCs w:val="18"/>
          <w:color w:val="auto"/>
        </w:rPr>
        <w:t>Prior to our initial public offering, there was no public market for our common stock. Although our common stock is listed on The Nasdaq Global Market, an active trading market for our shares may never develop or be sustained. If an active market for our common stock does not develop or is not sustained, it may be difficult for you to sell shares of our common stock at an attractive price or at all.</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common stock may be volatile, and purchasers of our common stock could incur substantial losses.</w:t>
      </w:r>
    </w:p>
    <w:p>
      <w:pPr>
        <w:spacing w:after="0" w:line="129"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41" w:lineRule="exact"/>
        <w:rPr>
          <w:sz w:val="20"/>
          <w:szCs w:val="20"/>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reporting of unfavorable preclinical results;</w:t>
      </w:r>
    </w:p>
    <w:p>
      <w:pPr>
        <w:spacing w:after="0" w:line="117" w:lineRule="exact"/>
        <w:rPr>
          <w:rFonts w:ascii="Arial" w:cs="Arial" w:eastAsia="Arial" w:hAnsi="Arial"/>
          <w:sz w:val="18"/>
          <w:szCs w:val="18"/>
          <w:color w:val="auto"/>
        </w:rPr>
      </w:pPr>
    </w:p>
    <w:p>
      <w:pPr>
        <w:ind w:left="1120" w:right="120" w:hanging="370"/>
        <w:spacing w:after="0" w:line="277"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our clinical trials of TSHA-101, TSHA-118, TSHA-102, TSHA-103, TSHA-104 or any future clinical trials we may conduct, or changes in the development status of our product candidates;</w:t>
      </w:r>
    </w:p>
    <w:p>
      <w:pPr>
        <w:spacing w:after="0" w:line="62" w:lineRule="exact"/>
        <w:rPr>
          <w:rFonts w:ascii="Arial" w:cs="Arial" w:eastAsia="Arial" w:hAnsi="Arial"/>
          <w:sz w:val="18"/>
          <w:szCs w:val="18"/>
          <w:color w:val="auto"/>
        </w:rPr>
      </w:pPr>
    </w:p>
    <w:p>
      <w:pPr>
        <w:ind w:left="1120" w:right="160" w:hanging="370"/>
        <w:spacing w:after="0" w:line="286" w:lineRule="auto"/>
        <w:tabs>
          <w:tab w:leader="none" w:pos="11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delay in our regulatory filings for TSHA-101, TSHA-118, TSHA-102, TSHA-103, TSHA-104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57" w:lineRule="exact"/>
        <w:rPr>
          <w:rFonts w:ascii="Arial" w:cs="Arial" w:eastAsia="Arial" w:hAnsi="Arial"/>
          <w:sz w:val="17"/>
          <w:szCs w:val="17"/>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17"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TSHA-101, TSHA-118, TSHA-102, TSHA-103, TSHA-104 or any other product candidate;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120" w:right="680" w:hanging="370"/>
        <w:spacing w:after="0" w:line="277"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62" w:lineRule="exact"/>
        <w:rPr>
          <w:rFonts w:ascii="Arial" w:cs="Arial" w:eastAsia="Arial" w:hAnsi="Arial"/>
          <w:sz w:val="18"/>
          <w:szCs w:val="18"/>
          <w:color w:val="auto"/>
        </w:rPr>
      </w:pPr>
    </w:p>
    <w:p>
      <w:pPr>
        <w:ind w:left="1120" w:right="380" w:hanging="370"/>
        <w:spacing w:after="0" w:line="277"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120" w:right="120" w:hanging="370"/>
        <w:spacing w:after="0" w:line="27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7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jc w:val="both"/>
        <w:ind w:right="60" w:firstLine="74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4"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As of November 12, 2020, we have outstanding 37,761,435 shares of common stock. Of these shares, approximately 9.1 million shares are freely tradable and the remaining shares of common stock will be available for sale in the public market beginning in March 2021 following the expiration</w:t>
      </w:r>
    </w:p>
    <w:p>
      <w:pPr>
        <w:ind w:right="20"/>
        <w:spacing w:after="0" w:line="255" w:lineRule="auto"/>
        <w:rPr>
          <w:sz w:val="20"/>
          <w:szCs w:val="20"/>
          <w:color w:val="auto"/>
        </w:rPr>
      </w:pPr>
      <w:r>
        <w:rPr>
          <w:rFonts w:ascii="Arial" w:cs="Arial" w:eastAsia="Arial" w:hAnsi="Arial"/>
          <w:sz w:val="18"/>
          <w:szCs w:val="18"/>
          <w:color w:val="auto"/>
        </w:rPr>
        <w:t>of lock-up agreements between some of our stockholders and the underwriters entered into in connection with our initial public offering. Goldman Sachs &amp; Co. LLC, Morgan Stanley &amp; Co. LLC and Jefferies LLC may release these stockholders from their lock-up agreements with the underwriters at any time and without notice, which would allow for earlier sales of shares in the public market.</w:t>
      </w:r>
    </w:p>
    <w:p>
      <w:pPr>
        <w:spacing w:after="0" w:line="190"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addition, we have filed a registration statement on Form S-8 under the Securities Act of 1933, as amended, or the Securities Act, registering the issuance of approximately 7.6 million shares of common stock subject to options or other equity awards issued or reserved for future issuance under our equity incentive plans. Shares registered under this registration statement on Form 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240"/>
        <w:spacing w:after="0" w:line="277" w:lineRule="auto"/>
        <w:rPr>
          <w:sz w:val="20"/>
          <w:szCs w:val="20"/>
          <w:color w:val="auto"/>
        </w:rPr>
      </w:pPr>
      <w:r>
        <w:rPr>
          <w:rFonts w:ascii="Arial" w:cs="Arial" w:eastAsia="Arial" w:hAnsi="Arial"/>
          <w:sz w:val="18"/>
          <w:szCs w:val="18"/>
          <w:color w:val="auto"/>
        </w:rPr>
        <w:t>8 will be available for sale in the public market subject to vesting arrangements and exercise of options, the lock-up agreements described above and the restrictions of Rule 144 in the case of our affiliates.</w:t>
      </w:r>
    </w:p>
    <w:p>
      <w:pPr>
        <w:spacing w:after="0" w:line="170"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Additionally, the holders of an aggregate of approximately 25.6 million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65" w:lineRule="exact"/>
        <w:rPr>
          <w:sz w:val="20"/>
          <w:szCs w:val="20"/>
          <w:color w:val="auto"/>
        </w:rPr>
      </w:pPr>
    </w:p>
    <w:p>
      <w:pPr>
        <w:ind w:right="80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120" w:hanging="370"/>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 2/3% vote and only for cause;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a majority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87" w:lineRule="exact"/>
        <w:rPr>
          <w:sz w:val="20"/>
          <w:szCs w:val="20"/>
          <w:color w:val="auto"/>
        </w:rPr>
      </w:pPr>
    </w:p>
    <w:p>
      <w:pPr>
        <w:ind w:right="440" w:firstLine="749"/>
        <w:spacing w:after="0" w:line="259"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26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1"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62" w:lineRule="exact"/>
        <w:rPr>
          <w:sz w:val="20"/>
          <w:szCs w:val="20"/>
          <w:color w:val="auto"/>
        </w:rPr>
      </w:pPr>
    </w:p>
    <w:p>
      <w:pPr>
        <w:ind w:left="1120" w:hanging="370"/>
        <w:spacing w:after="0"/>
        <w:tabs>
          <w:tab w:leader="none" w:pos="11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120" w:right="360" w:hanging="370"/>
        <w:spacing w:after="0" w:line="263"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40" w:lineRule="exact"/>
        <w:rPr>
          <w:rFonts w:ascii="Arial" w:cs="Arial" w:eastAsia="Arial" w:hAnsi="Arial"/>
          <w:sz w:val="16"/>
          <w:szCs w:val="16"/>
          <w:color w:val="auto"/>
        </w:rPr>
      </w:pPr>
    </w:p>
    <w:p>
      <w:pPr>
        <w:ind w:left="1120" w:right="600" w:hanging="370"/>
        <w:spacing w:after="0" w:line="277"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which we have total annual gross revenue of at least $1.07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spacing w:after="0" w:line="164" w:lineRule="exact"/>
        <w:rPr>
          <w:sz w:val="20"/>
          <w:szCs w:val="20"/>
          <w:color w:val="auto"/>
        </w:rPr>
      </w:pPr>
    </w:p>
    <w:p>
      <w:pPr>
        <w:ind w:right="480" w:firstLine="749"/>
        <w:spacing w:after="0" w:line="263" w:lineRule="auto"/>
        <w:rPr>
          <w:sz w:val="20"/>
          <w:szCs w:val="20"/>
          <w:color w:val="auto"/>
        </w:rPr>
      </w:pPr>
      <w:r>
        <w:rPr>
          <w:rFonts w:ascii="Arial" w:cs="Arial" w:eastAsia="Arial" w:hAnsi="Arial"/>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We are subject to the reporting requirements of the Securities Exchange Act of 1934,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84"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Commencing with our fiscal year ending December 31, 2021,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initial public offering, we have never been required to test our internal control within a specified period, and, as a result, we may experience difficulty in meeting these reporting requirements in a timely manner.</w:t>
      </w:r>
    </w:p>
    <w:p>
      <w:pPr>
        <w:spacing w:after="0" w:line="19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other regulatory authorities.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We have broad discretion in the use our cash and cash equivalents, including the net proceeds from our initial public offering.</w:t>
      </w:r>
    </w:p>
    <w:p>
      <w:pPr>
        <w:spacing w:after="0" w:line="117" w:lineRule="exact"/>
        <w:rPr>
          <w:sz w:val="20"/>
          <w:szCs w:val="20"/>
          <w:color w:val="auto"/>
        </w:rPr>
      </w:pPr>
    </w:p>
    <w:p>
      <w:pPr>
        <w:ind w:right="260" w:firstLine="749"/>
        <w:spacing w:after="0" w:line="301" w:lineRule="auto"/>
        <w:rPr>
          <w:sz w:val="20"/>
          <w:szCs w:val="20"/>
          <w:color w:val="auto"/>
        </w:rPr>
      </w:pPr>
      <w:r>
        <w:rPr>
          <w:rFonts w:ascii="Arial" w:cs="Arial" w:eastAsia="Arial" w:hAnsi="Arial"/>
          <w:sz w:val="16"/>
          <w:szCs w:val="16"/>
          <w:color w:val="auto"/>
        </w:rPr>
        <w:t>We have broad discretion over the use of our cash and cash equivalents, including the net proceeds from our recent initial public offering.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w:t>
      </w:r>
    </w:p>
    <w:p>
      <w:pPr>
        <w:spacing w:after="0" w:line="11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expect to generate significant federal and state net operating loss, or NOL, carryforwards in the future. These NOL carryforwards could expire unused and be unavailable to offset future income tax liabilities. Under the Tax Act, as modified by the CARES Act, federal NOLs incurred in taxable years beginning after December 31, 2017 and in future taxable years may be carried forward indefinitely, but the deductibility of such federal NOLs incurred in the taxable year beginning after December 31, 2020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our recent initial public offering, together with private placements and other transactions that have occurred since our inception, may trigger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being a public company.</w:t>
      </w:r>
    </w:p>
    <w:p>
      <w:pPr>
        <w:spacing w:after="0" w:line="11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costs, which we anticipate will be between $6.0 million and $7.0 million annually,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1" w:lineRule="exact"/>
        <w:rPr>
          <w:sz w:val="20"/>
          <w:szCs w:val="20"/>
          <w:color w:val="auto"/>
        </w:rPr>
      </w:pPr>
    </w:p>
    <w:p>
      <w:pPr>
        <w:ind w:right="320" w:firstLine="749"/>
        <w:spacing w:after="0" w:line="263"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retain qualified persons to serve on our board of directors, on committees of our board of directors or as members of senior management.</w:t>
      </w:r>
    </w:p>
    <w:p>
      <w:pPr>
        <w:spacing w:after="0" w:line="33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62" w:lineRule="exact"/>
        <w:rPr>
          <w:sz w:val="20"/>
          <w:szCs w:val="20"/>
          <w:color w:val="auto"/>
        </w:rPr>
      </w:pPr>
    </w:p>
    <w:p>
      <w:pPr>
        <w:ind w:left="1120" w:hanging="370"/>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1120" w:right="600" w:hanging="370"/>
        <w:spacing w:after="0" w:line="277"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62" w:lineRule="exact"/>
        <w:rPr>
          <w:rFonts w:ascii="Arial" w:cs="Arial" w:eastAsia="Arial" w:hAnsi="Arial"/>
          <w:sz w:val="18"/>
          <w:szCs w:val="18"/>
          <w:color w:val="auto"/>
        </w:rPr>
      </w:pPr>
    </w:p>
    <w:p>
      <w:pPr>
        <w:ind w:left="1120" w:right="420" w:hanging="370"/>
        <w:spacing w:after="0" w:line="277"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62"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6"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Issuances of Preferred Stock</w:t>
      </w:r>
    </w:p>
    <w:p>
      <w:pPr>
        <w:spacing w:after="0" w:line="11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In July 2020, we issued an aggregate of 3,800,000 shares of our Series A convertible preferred stock at a purchase price of $3.00 per share, for aggregate consideration of $11.4 million.</w:t>
      </w:r>
    </w:p>
    <w:p>
      <w:pPr>
        <w:spacing w:after="0" w:line="17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In July and August 2020, we issued an aggregate of 5,647,048 shares of our Series B convertible preferred stock at a purchase price of $17.00 per share, for aggregate consideration of $96.0 million.</w:t>
      </w:r>
    </w:p>
    <w:p>
      <w:pPr>
        <w:spacing w:after="0" w:line="170"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issuance of such shares of Series A convertible preferred stock and Series B convertible preferred stock was exempt from registration under Section 4(a)(2) of the Securities Act (and Regulation D promulgated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left="760"/>
        <w:spacing w:after="0"/>
        <w:rPr>
          <w:sz w:val="20"/>
          <w:szCs w:val="20"/>
          <w:color w:val="auto"/>
        </w:rPr>
      </w:pPr>
      <w:r>
        <w:rPr>
          <w:rFonts w:ascii="Arial" w:cs="Arial" w:eastAsia="Arial" w:hAnsi="Arial"/>
          <w:sz w:val="18"/>
          <w:szCs w:val="18"/>
          <w:b w:val="1"/>
          <w:bCs w:val="1"/>
          <w:i w:val="1"/>
          <w:iCs w:val="1"/>
          <w:color w:val="auto"/>
        </w:rPr>
        <w:t>Common Stock Issued upon Conversion of Preferred Stock</w:t>
      </w:r>
    </w:p>
    <w:p>
      <w:pPr>
        <w:spacing w:after="0" w:line="117" w:lineRule="exact"/>
        <w:rPr>
          <w:sz w:val="20"/>
          <w:szCs w:val="20"/>
          <w:color w:val="auto"/>
        </w:rPr>
      </w:pPr>
    </w:p>
    <w:p>
      <w:pPr>
        <w:jc w:val="both"/>
        <w:ind w:right="540" w:firstLine="749"/>
        <w:spacing w:after="0" w:line="263" w:lineRule="auto"/>
        <w:rPr>
          <w:sz w:val="20"/>
          <w:szCs w:val="20"/>
          <w:color w:val="auto"/>
        </w:rPr>
      </w:pPr>
      <w:r>
        <w:rPr>
          <w:rFonts w:ascii="Arial" w:cs="Arial" w:eastAsia="Arial" w:hAnsi="Arial"/>
          <w:sz w:val="18"/>
          <w:szCs w:val="18"/>
          <w:color w:val="auto"/>
        </w:rPr>
        <w:t>On September 28, 2020, upon the closing of our initial public offering, all shares of our then-outstanding convertible preferred stock were automatically converted into 17,047,378 shares of common stock. The issuance of such shares of common stock was exempt from registration under Section 3(a)(9) of the Securities Act.</w:t>
      </w:r>
    </w:p>
    <w:p>
      <w:pPr>
        <w:spacing w:after="0" w:line="28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On September 23, 2020, our Registration Statement on Form S-1, as amended (File No. 333-248559), was declared effective in connection with our initial public offering, pursuant to which we sold an aggregate of 9,050,000 shares of our common stock, including the full exercise of the underwriters’ option to purchase additional shares, at a price to the public of $20.00 per share. Goldman Sachs &amp; Co. LLC, Morgan Stanley &amp; Co. LLC and Jefferies LLC acted as joint book-running managers and Chardan Capital Markets, LLC acted as lead manager for the offering.</w:t>
      </w:r>
    </w:p>
    <w:p>
      <w:pPr>
        <w:spacing w:after="0" w:line="171"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initial public offering closed on September 28, 2020 with respect to 7,869,566 shares of common stock. On September 29, 2020, the offering closed with respect to an additional 1,180,434 shares purchased by the underwriters pursuant to the underwriters’ option to purchase additional shares. The aggregate net proceeds from our initial public offering, after underwriting discounts and commissions, and other offering expenses of $2.4 million, were $165.9 million. In connection with our initial public offering, no payments were made by us to directors, officers or persons owning ten percent or more of our common stock or to their associates or to our affiliates. There has been no material change in the planned use of proceeds from our initial public offering as described in our prospectus filed pursuant to Rule 424(b)(4) under the Securities Act with the SEC on September 25, 2020.</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On November 10, 2020, we entered into an amended and restated executive employment agreement with RA Session II, our President and Chief Executive Officer, pursuant to which Mr. Session will receive an initial annual base salary of $542,800, which is subject to adjustment at the discretion of our board of directors, and an annual bonus target equal to 50% of Mr. Session’s annual base salary based upon the achievement of individual and company performance goals as determined by our board of directors. Such compensation terms became effective as of the effectiveness of our Registration Statement on Form S-1 (File No. 333-248559) relating to our initial public offering on September 23, 2020. Pursuant to the amended and restated executive employment agreement, if we terminate Mr. Session’s employment without “cause,” or if Mr. Session terminates his employment for “good reason” (each, as defined in the amended and restated executive employment agreement), he will be entitled to continued payment of his base salary for 12 months. Such severance benefits are conditioned upon Mr. Session’s execution of and compliance with an effective and irrevocable general release, compliance with certain non-competition and non-solicitation obligations, resignation from all positions with us and return of all our property. The amended and restated executive employment agreement further provides that Mr. Session will be entitled to the severance benefits under our Change in Control Severance Plan. The foregoing description of the amended and restated executive employment agreement is not complete and is qualified in its entirety by reference to the agreement filed as Exhibit 10.7 to this Quarterly Report on Form 10-Q.</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0500" w:type="dxa"/>
            <w:vAlign w:val="bottom"/>
            <w:gridSpan w:val="28"/>
          </w:tcPr>
          <w:p>
            <w:pPr>
              <w:ind w:left="20"/>
              <w:spacing w:after="0"/>
              <w:rPr>
                <w:sz w:val="20"/>
                <w:szCs w:val="20"/>
                <w:color w:val="auto"/>
              </w:rPr>
            </w:pPr>
            <w:r>
              <w:rPr>
                <w:rFonts w:ascii="Arial" w:cs="Arial" w:eastAsia="Arial" w:hAnsi="Arial"/>
                <w:sz w:val="18"/>
                <w:szCs w:val="18"/>
                <w:color w:val="auto"/>
              </w:rPr>
              <w:t>The exhibits listed on the Exhibit Index are either filed or furnished with this report or incorporated herein by reference.</w:t>
            </w:r>
          </w:p>
        </w:tc>
      </w:tr>
      <w:tr>
        <w:trPr>
          <w:trHeight w:val="454"/>
        </w:trPr>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18"/>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80" w:type="dxa"/>
            <w:vAlign w:val="bottom"/>
            <w:tcBorders>
              <w:bottom w:val="single" w:sz="8" w:color="0000EE"/>
            </w:tcBorders>
            <w:gridSpan w:val="19"/>
          </w:tcPr>
          <w:p>
            <w:pPr>
              <w:spacing w:after="0" w:line="182"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Certificate of Incorporation (incorporated by reference to Exhibit 3.1 to the Company’s Current Report on Form 8-K</w:t>
              </w:r>
            </w:hyperlink>
          </w:p>
        </w:tc>
        <w:tc>
          <w:tcPr>
            <w:tcW w:w="220" w:type="dxa"/>
            <w:vAlign w:val="bottom"/>
            <w:gridSpan w:val="6"/>
          </w:tcPr>
          <w:p>
            <w:pPr>
              <w:spacing w:after="0"/>
              <w:rPr>
                <w:sz w:val="15"/>
                <w:szCs w:val="15"/>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(File No. 001-39536), filed with the Securities and Exchange Commission on September 29, 2020).</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00" w:type="dxa"/>
            <w:vAlign w:val="bottom"/>
            <w:tcBorders>
              <w:bottom w:val="single" w:sz="8" w:color="0000EE"/>
            </w:tcBorders>
            <w:gridSpan w:val="25"/>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Amended and Restated Bylaws (incorporated by reference to Exhibit 3.2 to the Company’s Current Report on Form 8-K (File No. 001-39536),</w:t>
              </w:r>
            </w:hyperlink>
          </w:p>
        </w:tc>
        <w:tc>
          <w:tcPr>
            <w:tcW w:w="2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 xml:space="preserve">filed with the </w:t>
              </w:r>
              <w:r>
                <w:rPr>
                  <w:rFonts w:ascii="Arial" w:cs="Arial" w:eastAsia="Arial" w:hAnsi="Arial"/>
                  <w:sz w:val="18"/>
                  <w:szCs w:val="18"/>
                  <w:color w:val="0000EE"/>
                  <w:highlight w:val="white"/>
                  <w:w w:val="90"/>
                </w:rPr>
                <w:t>Securities and Exchange Commission on September 29, 2020).</w:t>
              </w:r>
            </w:hyperlink>
          </w:p>
        </w:tc>
        <w:tc>
          <w:tcPr>
            <w:tcW w:w="4780" w:type="dxa"/>
            <w:vAlign w:val="bottom"/>
            <w:gridSpan w:val="17"/>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87"/>
              </w:rPr>
              <w:t>10.1+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7"/>
              </w:rPr>
            </w:pPr>
            <w:hyperlink r:id="rId108">
              <w:r>
                <w:rPr>
                  <w:rFonts w:ascii="Arial" w:cs="Arial" w:eastAsia="Arial" w:hAnsi="Arial"/>
                  <w:sz w:val="18"/>
                  <w:szCs w:val="18"/>
                  <w:color w:val="0000EE"/>
                  <w:w w:val="97"/>
                </w:rPr>
                <w:t>2020 Stock Incentive Plan and Forms of Stock Option Grant Notice, Stock Option Agreement, Restricted Stock Unit Grant Notice and</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Restricted Stock Unit Award Agreement (incorporated by reference to Exhibit 10.6 to the Company’s Registration Statement on Form S-1</w:t>
              </w:r>
            </w:hyperlink>
          </w:p>
        </w:tc>
        <w:tc>
          <w:tcPr>
            <w:tcW w:w="380" w:type="dxa"/>
            <w:vAlign w:val="bottom"/>
            <w:gridSpan w:val="9"/>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 xml:space="preserve">(File No. 333-248559), filed with the </w:t>
              </w:r>
              <w:r>
                <w:rPr>
                  <w:rFonts w:ascii="Arial" w:cs="Arial" w:eastAsia="Arial" w:hAnsi="Arial"/>
                  <w:sz w:val="18"/>
                  <w:szCs w:val="18"/>
                  <w:color w:val="0000EE"/>
                  <w:highlight w:val="white"/>
                </w:rPr>
                <w:t>Securities and Exchange Commission on September 17, 2020).</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87"/>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60" w:type="dxa"/>
            <w:vAlign w:val="bottom"/>
            <w:tcBorders>
              <w:bottom w:val="single" w:sz="8" w:color="0000EE"/>
            </w:tcBorders>
            <w:gridSpan w:val="19"/>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2020 Employee Stock Purchase Plan (incorporated by reference to Exhibit 10.7 to the Company’s Registration Statement on Form S-1 (File</w:t>
              </w:r>
            </w:hyperlink>
          </w:p>
        </w:tc>
        <w:tc>
          <w:tcPr>
            <w:tcW w:w="260" w:type="dxa"/>
            <w:vAlign w:val="bottom"/>
            <w:gridSpan w:val="7"/>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No. 333-248559), filed with the Securities and Exchange Commission on September 17, 2020).</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87"/>
              </w:rPr>
              <w:t>10.3+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6"/>
              </w:rPr>
            </w:pPr>
            <w:hyperlink r:id="rId110">
              <w:r>
                <w:rPr>
                  <w:rFonts w:ascii="Arial" w:cs="Arial" w:eastAsia="Arial" w:hAnsi="Arial"/>
                  <w:sz w:val="18"/>
                  <w:szCs w:val="18"/>
                  <w:color w:val="0000EE"/>
                  <w:w w:val="96"/>
                </w:rPr>
                <w:t>Form of Indemnification Agreement with Executive Officers and Directors ((incorporated by reference to Exhibit 10.8 to the Company’s</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26"/>
          </w:tcPr>
          <w:p>
            <w:pPr>
              <w:spacing w:after="0"/>
              <w:rPr>
                <w:rFonts w:ascii="Arial" w:cs="Arial" w:eastAsia="Arial" w:hAnsi="Arial"/>
                <w:sz w:val="18"/>
                <w:szCs w:val="18"/>
                <w:u w:val="single" w:color="auto"/>
                <w:color w:val="0000EE"/>
                <w:w w:val="94"/>
              </w:rPr>
            </w:pPr>
            <w:hyperlink r:id="rId110">
              <w:r>
                <w:rPr>
                  <w:rFonts w:ascii="Arial" w:cs="Arial" w:eastAsia="Arial" w:hAnsi="Arial"/>
                  <w:sz w:val="18"/>
                  <w:szCs w:val="18"/>
                  <w:u w:val="single" w:color="auto"/>
                  <w:color w:val="0000EE"/>
                  <w:w w:val="94"/>
                </w:rPr>
                <w:t>Registration Statement on Form S-1 (File No. 333-248559), filed with the Securities and Exchange Commission on September 17, 2020).</w:t>
              </w:r>
            </w:hyperlink>
          </w:p>
        </w:tc>
      </w:tr>
      <w:tr>
        <w:trPr>
          <w:trHeight w:val="190"/>
        </w:trPr>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87"/>
              </w:rPr>
              <w:t>10.4+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6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Non-Employee Director Compensation Policy (incorporated by reference to Exhibit 10.10 to the Company’s Registration Statement on Form</w:t>
              </w:r>
            </w:hyperlink>
          </w:p>
        </w:tc>
        <w:tc>
          <w:tcPr>
            <w:tcW w:w="160" w:type="dxa"/>
            <w:vAlign w:val="bottom"/>
            <w:gridSpan w:val="5"/>
          </w:tcPr>
          <w:p>
            <w:pPr>
              <w:spacing w:after="0"/>
              <w:rPr>
                <w:sz w:val="16"/>
                <w:szCs w:val="16"/>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 xml:space="preserve">S-1 (File No. 333-248559), filed with the </w:t>
              </w:r>
              <w:r>
                <w:rPr>
                  <w:rFonts w:ascii="Arial" w:cs="Arial" w:eastAsia="Arial" w:hAnsi="Arial"/>
                  <w:sz w:val="18"/>
                  <w:szCs w:val="18"/>
                  <w:color w:val="0000EE"/>
                  <w:highlight w:val="white"/>
                </w:rPr>
                <w:t>Securities and Exchange Commission on September 17, 2020).</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87"/>
              </w:rPr>
              <w:t>10.5+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6"/>
              </w:rPr>
            </w:pPr>
            <w:hyperlink r:id="rId112">
              <w:r>
                <w:rPr>
                  <w:rFonts w:ascii="Arial" w:cs="Arial" w:eastAsia="Arial" w:hAnsi="Arial"/>
                  <w:sz w:val="18"/>
                  <w:szCs w:val="18"/>
                  <w:color w:val="0000EE"/>
                  <w:w w:val="96"/>
                </w:rPr>
                <w:t>Change in Control Severance Plan and Form of Participation Agreement (incorporated by reference to Exhibit 10.11 to the Company’s</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26"/>
          </w:tcPr>
          <w:p>
            <w:pPr>
              <w:spacing w:after="0"/>
              <w:rPr>
                <w:rFonts w:ascii="Arial" w:cs="Arial" w:eastAsia="Arial" w:hAnsi="Arial"/>
                <w:sz w:val="18"/>
                <w:szCs w:val="18"/>
                <w:u w:val="single" w:color="auto"/>
                <w:color w:val="0000EE"/>
                <w:w w:val="94"/>
              </w:rPr>
            </w:pPr>
            <w:hyperlink r:id="rId112">
              <w:r>
                <w:rPr>
                  <w:rFonts w:ascii="Arial" w:cs="Arial" w:eastAsia="Arial" w:hAnsi="Arial"/>
                  <w:sz w:val="18"/>
                  <w:szCs w:val="18"/>
                  <w:u w:val="single" w:color="auto"/>
                  <w:color w:val="0000EE"/>
                  <w:w w:val="94"/>
                </w:rPr>
                <w:t>Registration Statement on Form S-1 (File No. 333-248559), filed with the Securities and Exchange Commission on September 17, 2020).</w:t>
              </w:r>
            </w:hyperlink>
          </w:p>
        </w:tc>
      </w:tr>
      <w:tr>
        <w:trPr>
          <w:trHeight w:val="190"/>
        </w:trPr>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87"/>
              </w:rPr>
              <w:t>10.6+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20" w:type="dxa"/>
            <w:vAlign w:val="bottom"/>
            <w:gridSpan w:val="26"/>
          </w:tcPr>
          <w:p>
            <w:pPr>
              <w:spacing w:after="0" w:line="190" w:lineRule="exact"/>
              <w:rPr>
                <w:rFonts w:ascii="Arial" w:cs="Arial" w:eastAsia="Arial" w:hAnsi="Arial"/>
                <w:sz w:val="18"/>
                <w:szCs w:val="18"/>
                <w:color w:val="0000EE"/>
                <w:w w:val="97"/>
              </w:rPr>
            </w:pPr>
            <w:hyperlink r:id="rId113">
              <w:r>
                <w:rPr>
                  <w:rFonts w:ascii="Arial" w:cs="Arial" w:eastAsia="Arial" w:hAnsi="Arial"/>
                  <w:sz w:val="18"/>
                  <w:szCs w:val="18"/>
                  <w:color w:val="0000EE"/>
                  <w:w w:val="97"/>
                </w:rPr>
                <w:t>Form of Amended and Restated Offer Letter, to be entered into by and between the Company and the Company’s Executive Officers</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0" w:type="dxa"/>
            <w:vAlign w:val="bottom"/>
            <w:gridSpan w:val="6"/>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w w:val="96"/>
              </w:rPr>
            </w:pPr>
            <w:hyperlink r:id="rId113">
              <w:r>
                <w:rPr>
                  <w:rFonts w:ascii="Arial" w:cs="Arial" w:eastAsia="Arial" w:hAnsi="Arial"/>
                  <w:sz w:val="18"/>
                  <w:szCs w:val="18"/>
                  <w:color w:val="0000EE"/>
                  <w:w w:val="96"/>
                </w:rPr>
                <w:t>(incorporated by reference to Exhibit 10.12 to the Company’s Registration Statement on Form S-1 (File No. 333-248559), filed with the</w:t>
              </w:r>
            </w:hyperlink>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Securities and Exchange Commission on September 17, 2020).</w:t>
              </w:r>
            </w:hyperlink>
          </w:p>
        </w:tc>
        <w:tc>
          <w:tcPr>
            <w:tcW w:w="5300" w:type="dxa"/>
            <w:vAlign w:val="bottom"/>
            <w:tcBorders>
              <w:top w:val="single" w:sz="8" w:color="0000EE"/>
            </w:tcBorders>
            <w:gridSpan w:val="8"/>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8"/>
              </w:rPr>
              <w:t>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Amended and Restated Executive Employment Agreement, effective as of September 24, 2020, by and between the Company and RA Session</w:t>
              </w:r>
            </w:hyperlink>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II.</w:t>
              </w:r>
            </w:hyperlink>
          </w:p>
        </w:tc>
        <w:tc>
          <w:tcPr>
            <w:tcW w:w="10100" w:type="dxa"/>
            <w:vAlign w:val="bottom"/>
            <w:tcBorders>
              <w:top w:val="single" w:sz="8" w:color="0000EE"/>
            </w:tcBorders>
            <w:gridSpan w:val="21"/>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40" w:type="dxa"/>
            <w:vAlign w:val="bottom"/>
            <w:gridSpan w:val="2"/>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Pursuant to Section 302 of the Sarbanes-Oxley Act of 2002.</w:t>
              </w:r>
            </w:hyperlink>
          </w:p>
        </w:tc>
        <w:tc>
          <w:tcPr>
            <w:tcW w:w="6000" w:type="dxa"/>
            <w:vAlign w:val="bottom"/>
            <w:gridSpan w:val="19"/>
          </w:tcPr>
          <w:p>
            <w:pPr>
              <w:spacing w:after="0"/>
              <w:rPr>
                <w:sz w:val="17"/>
                <w:szCs w:val="17"/>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15"/>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2"/>
              </w:rPr>
              <w:t>32.1*#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80" w:type="dxa"/>
            <w:vAlign w:val="bottom"/>
            <w:gridSpan w:val="8"/>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Act of 2002.</w:t>
              </w:r>
            </w:hyperlink>
          </w:p>
        </w:tc>
        <w:tc>
          <w:tcPr>
            <w:tcW w:w="9420" w:type="dxa"/>
            <w:vAlign w:val="bottom"/>
            <w:gridSpan w:val="22"/>
          </w:tcPr>
          <w:p>
            <w:pPr>
              <w:spacing w:after="0"/>
              <w:rPr>
                <w:sz w:val="17"/>
                <w:szCs w:val="17"/>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92"/>
              </w:rPr>
              <w:t>32.2*#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0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2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of 2002.</w:t>
              </w:r>
            </w:hyperlink>
          </w:p>
        </w:tc>
        <w:tc>
          <w:tcPr>
            <w:tcW w:w="9720" w:type="dxa"/>
            <w:vAlign w:val="bottom"/>
            <w:gridSpan w:val="23"/>
          </w:tcPr>
          <w:p>
            <w:pPr>
              <w:spacing w:after="0"/>
              <w:rPr>
                <w:sz w:val="17"/>
                <w:szCs w:val="17"/>
                <w:color w:val="auto"/>
              </w:rPr>
            </w:pPr>
          </w:p>
        </w:tc>
      </w:tr>
      <w:tr>
        <w:trPr>
          <w:trHeight w:val="249"/>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2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855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right="320" w:hanging="492"/>
        <w:spacing w:after="0" w:line="286"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57"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3040" w:type="dxa"/>
            <w:vAlign w:val="bottom"/>
            <w:gridSpan w:val="2"/>
          </w:tcPr>
          <w:p>
            <w:pPr>
              <w:ind w:left="1660"/>
              <w:spacing w:after="0"/>
              <w:rPr>
                <w:sz w:val="20"/>
                <w:szCs w:val="20"/>
                <w:color w:val="auto"/>
              </w:rPr>
            </w:pPr>
            <w:r>
              <w:rPr>
                <w:rFonts w:ascii="Arial" w:cs="Arial" w:eastAsia="Arial" w:hAnsi="Arial"/>
                <w:sz w:val="18"/>
                <w:szCs w:val="18"/>
                <w:color w:val="auto"/>
              </w:rPr>
              <w:t>Company Name</w:t>
            </w:r>
          </w:p>
        </w:tc>
        <w:tc>
          <w:tcPr>
            <w:tcW w:w="4680" w:type="dxa"/>
            <w:vAlign w:val="bottom"/>
          </w:tcPr>
          <w:p>
            <w:pPr>
              <w:spacing w:after="0"/>
              <w:rPr>
                <w:sz w:val="20"/>
                <w:szCs w:val="20"/>
                <w:color w:val="auto"/>
              </w:rPr>
            </w:pP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November 12, 2020</w:t>
            </w:r>
          </w:p>
        </w:tc>
        <w:tc>
          <w:tcPr>
            <w:tcW w:w="3040" w:type="dxa"/>
            <w:vAlign w:val="bottom"/>
            <w:gridSpan w:val="2"/>
          </w:tcPr>
          <w:p>
            <w:pPr>
              <w:ind w:left="166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ind w:right="850"/>
              <w:spacing w:after="0"/>
              <w:rPr>
                <w:sz w:val="20"/>
                <w:szCs w:val="20"/>
                <w:color w:val="auto"/>
              </w:rPr>
            </w:pPr>
            <w:r>
              <w:rPr>
                <w:rFonts w:ascii="Arial" w:cs="Arial" w:eastAsia="Arial" w:hAnsi="Arial"/>
                <w:sz w:val="18"/>
                <w:szCs w:val="18"/>
                <w:color w:val="auto"/>
                <w:w w:val="91"/>
              </w:rPr>
              <w:t>/s/ RA Session II</w:t>
            </w:r>
          </w:p>
        </w:tc>
      </w:tr>
      <w:tr>
        <w:trPr>
          <w:trHeight w:val="218"/>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b w:val="1"/>
                <w:bCs w:val="1"/>
                <w:color w:val="auto"/>
                <w:w w:val="92"/>
              </w:rPr>
              <w:t>RA Session II</w:t>
            </w:r>
          </w:p>
        </w:tc>
      </w:tr>
      <w:tr>
        <w:trPr>
          <w:trHeight w:val="220"/>
        </w:trPr>
        <w:tc>
          <w:tcPr>
            <w:tcW w:w="35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8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30"/>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80" w:type="dxa"/>
            <w:vAlign w:val="bottom"/>
          </w:tcPr>
          <w:p>
            <w:pPr>
              <w:jc w:val="center"/>
              <w:ind w:right="85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November 12, 2020</w:t>
            </w:r>
          </w:p>
        </w:tc>
        <w:tc>
          <w:tcPr>
            <w:tcW w:w="3040" w:type="dxa"/>
            <w:vAlign w:val="bottom"/>
            <w:gridSpan w:val="2"/>
          </w:tcPr>
          <w:p>
            <w:pPr>
              <w:ind w:left="166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ind w:right="870"/>
              <w:spacing w:after="0"/>
              <w:rPr>
                <w:sz w:val="20"/>
                <w:szCs w:val="20"/>
                <w:color w:val="auto"/>
              </w:rPr>
            </w:pPr>
            <w:r>
              <w:rPr>
                <w:rFonts w:ascii="Arial" w:cs="Arial" w:eastAsia="Arial" w:hAnsi="Arial"/>
                <w:sz w:val="18"/>
                <w:szCs w:val="18"/>
                <w:color w:val="auto"/>
                <w:w w:val="93"/>
              </w:rPr>
              <w:t>/s/ Kamran Alam</w:t>
            </w:r>
          </w:p>
        </w:tc>
      </w:tr>
      <w:tr>
        <w:trPr>
          <w:trHeight w:val="218"/>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b w:val="1"/>
                <w:bCs w:val="1"/>
                <w:color w:val="auto"/>
                <w:w w:val="96"/>
              </w:rPr>
              <w:t>Kamran Alam</w:t>
            </w:r>
          </w:p>
        </w:tc>
      </w:tr>
      <w:tr>
        <w:trPr>
          <w:trHeight w:val="220"/>
        </w:trPr>
        <w:tc>
          <w:tcPr>
            <w:tcW w:w="35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80" w:type="dxa"/>
            <w:vAlign w:val="bottom"/>
          </w:tcPr>
          <w:p>
            <w:pPr>
              <w:jc w:val="center"/>
              <w:ind w:right="8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80" w:type="dxa"/>
            <w:vAlign w:val="bottom"/>
          </w:tcPr>
          <w:p>
            <w:pPr>
              <w:jc w:val="center"/>
              <w:ind w:right="870"/>
              <w:spacing w:after="0"/>
              <w:rPr>
                <w:sz w:val="20"/>
                <w:szCs w:val="20"/>
                <w:color w:val="auto"/>
              </w:rPr>
            </w:pPr>
            <w:r>
              <w:rPr>
                <w:rFonts w:ascii="Arial" w:cs="Arial" w:eastAsia="Arial" w:hAnsi="Arial"/>
                <w:sz w:val="18"/>
                <w:szCs w:val="18"/>
                <w:i w:val="1"/>
                <w:iCs w:val="1"/>
                <w:color w:val="auto"/>
                <w:w w:val="95"/>
              </w:rPr>
              <w:t>(Principal Financial and Accounting Officer)</w:t>
            </w:r>
          </w:p>
        </w:tc>
      </w:tr>
      <w:tr>
        <w:trPr>
          <w:trHeight w:val="675"/>
        </w:trPr>
        <w:tc>
          <w:tcPr>
            <w:tcW w:w="3520" w:type="dxa"/>
            <w:vAlign w:val="bottom"/>
          </w:tcPr>
          <w:p>
            <w:pPr>
              <w:spacing w:after="0"/>
              <w:rPr>
                <w:sz w:val="24"/>
                <w:szCs w:val="24"/>
                <w:color w:val="auto"/>
              </w:rPr>
            </w:pPr>
          </w:p>
        </w:tc>
        <w:tc>
          <w:tcPr>
            <w:tcW w:w="3040" w:type="dxa"/>
            <w:vAlign w:val="bottom"/>
            <w:gridSpan w:val="2"/>
          </w:tcPr>
          <w:p>
            <w:pPr>
              <w:jc w:val="right"/>
              <w:ind w:right="840"/>
              <w:spacing w:after="0"/>
              <w:rPr>
                <w:sz w:val="20"/>
                <w:szCs w:val="20"/>
                <w:color w:val="auto"/>
              </w:rPr>
            </w:pPr>
            <w:r>
              <w:rPr>
                <w:rFonts w:ascii="Arial" w:cs="Arial" w:eastAsia="Arial" w:hAnsi="Arial"/>
                <w:sz w:val="18"/>
                <w:szCs w:val="18"/>
                <w:color w:val="auto"/>
              </w:rPr>
              <w:t>78</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EXECUTIVE EMPLOYMENT AGREEMENT</w:t>
      </w:r>
    </w:p>
    <w:p>
      <w:pPr>
        <w:spacing w:after="0" w:line="20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AMENDED AND RESTATED EXECUTIVE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signed and effective as of September 24,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Taysha Gene Therapies,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R.A. Session II, an individual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Executive has been performing services for the Company pursuant to an Employment Agreement dated April 1, 2020 (the “</w:t>
      </w:r>
      <w:r>
        <w:rPr>
          <w:rFonts w:ascii="Arial" w:cs="Arial" w:eastAsia="Arial" w:hAnsi="Arial"/>
          <w:sz w:val="22"/>
          <w:szCs w:val="22"/>
          <w:u w:val="single" w:color="auto"/>
          <w:color w:val="auto"/>
        </w:rPr>
        <w:t>Original Employment Agreement</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the parties desire to enter into this Agreement, setting forth the terms and conditions of Executive’s continued employment with the Company;</w:t>
      </w:r>
    </w:p>
    <w:p>
      <w:pPr>
        <w:spacing w:after="0" w:line="17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Whereas. The parties agree that this Agreement supersedes and replaces in its entirety the Original Employment Agreement;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NOW, THEREFORE, in consideration of their mutual promises and agreements and subject to the terms and conditions set forth below, effective from and after the Effective Date, the parties agree as follows:</w:t>
      </w:r>
    </w:p>
    <w:p>
      <w:pPr>
        <w:spacing w:after="0" w:line="175" w:lineRule="exact"/>
        <w:rPr>
          <w:sz w:val="20"/>
          <w:szCs w:val="20"/>
          <w:color w:val="auto"/>
        </w:rPr>
      </w:pPr>
    </w:p>
    <w:p>
      <w:pPr>
        <w:jc w:val="both"/>
        <w:ind w:firstLine="872"/>
        <w:spacing w:after="0" w:line="238" w:lineRule="auto"/>
        <w:tabs>
          <w:tab w:leader="none" w:pos="199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 The Executive shall continue to serve as the Company’s Chief Executive Officer and President. The Executive shall perform those duties generally required of persons in such position as well as such other duties assigned to Executive from time to time by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or its designee. The Executive shall be subject to the authority of the Board and shall comply with all Company policies.</w:t>
      </w:r>
    </w:p>
    <w:p>
      <w:pPr>
        <w:spacing w:after="0" w:line="184" w:lineRule="exact"/>
        <w:rPr>
          <w:rFonts w:ascii="Arial" w:cs="Arial" w:eastAsia="Arial" w:hAnsi="Arial"/>
          <w:sz w:val="22"/>
          <w:szCs w:val="22"/>
          <w:color w:val="auto"/>
        </w:rPr>
      </w:pPr>
    </w:p>
    <w:p>
      <w:pPr>
        <w:jc w:val="both"/>
        <w:ind w:firstLine="872"/>
        <w:spacing w:after="0" w:line="235" w:lineRule="auto"/>
        <w:tabs>
          <w:tab w:leader="none" w:pos="199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Scope of Services</w:t>
      </w:r>
      <w:r>
        <w:rPr>
          <w:rFonts w:ascii="Arial" w:cs="Arial" w:eastAsia="Arial" w:hAnsi="Arial"/>
          <w:sz w:val="22"/>
          <w:szCs w:val="22"/>
          <w:color w:val="auto"/>
        </w:rPr>
        <w:t>. During Executive’s employment with the Company, the Executive agrees to devote substantially all of Executive’s business time, attention, skills and efforts to the business of the Company, subject to the terms set forth herein. Notwithstanding the foregoing, the Company acknowledges that Executive may continue to serve on the board of directors for the following organizations: (i) ReCode Therapeutics, Inc.; (ii) Sandhill Therapeutics, Inc.; and (iii) Lung Therapeutics, Inc., so long as such activities do not interfere with the performance of Executive’s duties hereunder or present a conflict of interest with the Company.</w:t>
      </w:r>
    </w:p>
    <w:p>
      <w:pPr>
        <w:spacing w:after="0" w:line="187" w:lineRule="exact"/>
        <w:rPr>
          <w:rFonts w:ascii="Arial" w:cs="Arial" w:eastAsia="Arial" w:hAnsi="Arial"/>
          <w:sz w:val="22"/>
          <w:szCs w:val="22"/>
          <w:color w:val="auto"/>
        </w:rPr>
      </w:pPr>
    </w:p>
    <w:p>
      <w:pPr>
        <w:ind w:left="2000" w:hanging="1128"/>
        <w:spacing w:after="0"/>
        <w:tabs>
          <w:tab w:leader="none" w:pos="20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Salary, Compensation and Benefits</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Base Salary</w:t>
      </w:r>
      <w:r>
        <w:rPr>
          <w:rFonts w:ascii="Arial" w:cs="Arial" w:eastAsia="Arial" w:hAnsi="Arial"/>
          <w:sz w:val="22"/>
          <w:szCs w:val="22"/>
          <w:color w:val="auto"/>
        </w:rPr>
        <w:t>. Provided that the Company consummates its planned initial public offering (“</w:t>
      </w:r>
      <w:r>
        <w:rPr>
          <w:rFonts w:ascii="Arial" w:cs="Arial" w:eastAsia="Arial" w:hAnsi="Arial"/>
          <w:sz w:val="22"/>
          <w:szCs w:val="22"/>
          <w:u w:val="single" w:color="auto"/>
          <w:color w:val="auto"/>
        </w:rPr>
        <w:t>IPO</w:t>
      </w:r>
      <w:r>
        <w:rPr>
          <w:rFonts w:ascii="Arial" w:cs="Arial" w:eastAsia="Arial" w:hAnsi="Arial"/>
          <w:sz w:val="22"/>
          <w:szCs w:val="22"/>
          <w:color w:val="auto"/>
        </w:rPr>
        <w:t>”), and effective as of the date of the pricing of such IPO, Executive shall be paid at an annual base salary rate of $542,800 (“</w:t>
      </w: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payable pursuant to the Company’s regular payroll practices at the same time that the Company pays its executives generally, but no less frequently than monthly; </w:t>
      </w:r>
      <w:r>
        <w:rPr>
          <w:rFonts w:ascii="Arial" w:cs="Arial" w:eastAsia="Arial" w:hAnsi="Arial"/>
          <w:sz w:val="22"/>
          <w:szCs w:val="22"/>
          <w:u w:val="single" w:color="auto"/>
          <w:color w:val="auto"/>
        </w:rPr>
        <w:t>provided</w:t>
      </w:r>
      <w:r>
        <w:rPr>
          <w:rFonts w:ascii="Arial" w:cs="Arial" w:eastAsia="Arial" w:hAnsi="Arial"/>
          <w:sz w:val="22"/>
          <w:szCs w:val="22"/>
          <w:color w:val="auto"/>
        </w:rPr>
        <w:t>, that the Base Salary shall be subject to adjustment in the sole discretion of the Board.</w:t>
      </w:r>
    </w:p>
    <w:p>
      <w:pPr>
        <w:spacing w:after="0" w:line="187"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Performance Bonus</w:t>
      </w:r>
      <w:r>
        <w:rPr>
          <w:rFonts w:ascii="Arial" w:cs="Arial" w:eastAsia="Arial" w:hAnsi="Arial"/>
          <w:sz w:val="21"/>
          <w:szCs w:val="21"/>
          <w:color w:val="auto"/>
        </w:rPr>
        <w:t>. During the period the Executive is employed by the Company, Executive will be eligible to earn, in the discretion of the Board, an annual performance bonus in a target amount of up to fifty percent (50%) of the Executive’s Base Salary for the applicable year (the “</w:t>
      </w:r>
      <w:r>
        <w:rPr>
          <w:rFonts w:ascii="Arial" w:cs="Arial" w:eastAsia="Arial" w:hAnsi="Arial"/>
          <w:sz w:val="21"/>
          <w:szCs w:val="21"/>
          <w:u w:val="single" w:color="auto"/>
          <w:color w:val="auto"/>
        </w:rPr>
        <w:t>Performance Bonus</w:t>
      </w:r>
      <w:r>
        <w:rPr>
          <w:rFonts w:ascii="Arial" w:cs="Arial" w:eastAsia="Arial" w:hAnsi="Arial"/>
          <w:sz w:val="21"/>
          <w:szCs w:val="21"/>
          <w:color w:val="auto"/>
        </w:rPr>
        <w:t>”). Whether or not the Executive earns any Performance Bonus, and the amount of the bonus, will be dependent upon the following: (a) the Executive’s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WEST\259098304.1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both"/>
        <w:ind w:right="20"/>
        <w:spacing w:after="0" w:line="274" w:lineRule="auto"/>
        <w:rPr>
          <w:sz w:val="20"/>
          <w:szCs w:val="20"/>
          <w:color w:val="auto"/>
        </w:rPr>
      </w:pPr>
      <w:r>
        <w:rPr>
          <w:rFonts w:ascii="Arial" w:cs="Arial" w:eastAsia="Arial" w:hAnsi="Arial"/>
          <w:sz w:val="19"/>
          <w:szCs w:val="19"/>
          <w:color w:val="auto"/>
        </w:rPr>
        <w:t>continuous performance of services to the Company through the end of the period with respect to which performance is being reviewed; and (b) achievement of Company and individual performance goals (the “</w:t>
      </w:r>
      <w:r>
        <w:rPr>
          <w:rFonts w:ascii="Arial" w:cs="Arial" w:eastAsia="Arial" w:hAnsi="Arial"/>
          <w:sz w:val="19"/>
          <w:szCs w:val="19"/>
          <w:u w:val="single" w:color="auto"/>
          <w:color w:val="auto"/>
        </w:rPr>
        <w:t>Performance Goals</w:t>
      </w:r>
      <w:r>
        <w:rPr>
          <w:rFonts w:ascii="Arial" w:cs="Arial" w:eastAsia="Arial" w:hAnsi="Arial"/>
          <w:sz w:val="19"/>
          <w:szCs w:val="19"/>
          <w:color w:val="auto"/>
        </w:rPr>
        <w:t>”). The Performance Goals will be set in advance in writing and revised annually, semi-annually, or quarterly by the Board together with input from the Executive. The Board will inform the Executive of the Performance Goals upon Executive’s request. Whether Executive has met the Performance Goals will be determined by the Board in its sole discretion. Executive must be employed on the day that the Performance Bonus (if any) is paid in order to earn the bonus. Therefore, if Executive’s employment is terminated either by Executive or the Company for any reason prior to the bonus being paid, Executive will not have earned the bonus and no partial or prorated bonus will be paid. Any Performance Bonus with respect to a calendar year, if earned, shall be paid between January 1 and March 15 of the immediately following calendar year.</w:t>
      </w:r>
    </w:p>
    <w:p>
      <w:pPr>
        <w:spacing w:after="0" w:line="158"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Equity Incentives</w:t>
      </w:r>
      <w:r>
        <w:rPr>
          <w:rFonts w:ascii="Arial" w:cs="Arial" w:eastAsia="Arial" w:hAnsi="Arial"/>
          <w:sz w:val="22"/>
          <w:szCs w:val="22"/>
          <w:color w:val="auto"/>
        </w:rPr>
        <w:t>. The Company previously granted to Executive restricted shares equal to 3% of the Company’s then outstanding Common Stock (the “</w:t>
      </w:r>
      <w:r>
        <w:rPr>
          <w:rFonts w:ascii="Arial" w:cs="Arial" w:eastAsia="Arial" w:hAnsi="Arial"/>
          <w:sz w:val="22"/>
          <w:szCs w:val="22"/>
          <w:u w:val="single" w:color="auto"/>
          <w:color w:val="auto"/>
        </w:rPr>
        <w:t>Grant</w:t>
      </w:r>
      <w:r>
        <w:rPr>
          <w:rFonts w:ascii="Arial" w:cs="Arial" w:eastAsia="Arial" w:hAnsi="Arial"/>
          <w:sz w:val="22"/>
          <w:szCs w:val="22"/>
          <w:color w:val="auto"/>
        </w:rPr>
        <w:t>”). The Grant will continue to be governed by the applicable grant documents and the Company’s 2020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86"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Conflicts</w:t>
      </w:r>
      <w:r>
        <w:rPr>
          <w:rFonts w:ascii="Arial" w:cs="Arial" w:eastAsia="Arial" w:hAnsi="Arial"/>
          <w:sz w:val="22"/>
          <w:szCs w:val="22"/>
          <w:color w:val="auto"/>
        </w:rPr>
        <w:t>. In the event of any conflict between the terms of this Agreement and the terms of any Grant documentation, including without limitation vesting terms or the definition of “Cause,” the terms of this Agreement shall govern.</w:t>
      </w:r>
    </w:p>
    <w:p>
      <w:pPr>
        <w:spacing w:after="0" w:line="18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Vacation</w:t>
      </w:r>
      <w:r>
        <w:rPr>
          <w:rFonts w:ascii="Arial" w:cs="Arial" w:eastAsia="Arial" w:hAnsi="Arial"/>
          <w:sz w:val="22"/>
          <w:szCs w:val="22"/>
          <w:color w:val="auto"/>
        </w:rPr>
        <w:t>. In addition to Company holidays, the Executive shall remain eligible to accrue vacation in accordance with the Company’s policies in effect from time to time.</w:t>
      </w:r>
    </w:p>
    <w:p>
      <w:pPr>
        <w:spacing w:after="0" w:line="175" w:lineRule="exact"/>
        <w:rPr>
          <w:sz w:val="20"/>
          <w:szCs w:val="20"/>
          <w:color w:val="auto"/>
        </w:rPr>
      </w:pPr>
    </w:p>
    <w:p>
      <w:pPr>
        <w:jc w:val="both"/>
        <w:ind w:right="20" w:firstLine="1727"/>
        <w:spacing w:after="0" w:line="257"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Benefits</w:t>
      </w:r>
      <w:r>
        <w:rPr>
          <w:rFonts w:ascii="Arial" w:cs="Arial" w:eastAsia="Arial" w:hAnsi="Arial"/>
          <w:sz w:val="21"/>
          <w:szCs w:val="21"/>
          <w:color w:val="auto"/>
        </w:rPr>
        <w:t>. The Executive shall continue to be eligible to participate in such employee benefits that the Company makes available from time to time to executive-level employees generally, on a basis no less favorable than such executive-level employees, subject to the terms and conditions applicable to such benefits or benefit plans.</w:t>
      </w:r>
    </w:p>
    <w:p>
      <w:pPr>
        <w:spacing w:after="0" w:line="169" w:lineRule="exact"/>
        <w:rPr>
          <w:sz w:val="20"/>
          <w:szCs w:val="20"/>
          <w:color w:val="auto"/>
        </w:rPr>
      </w:pPr>
    </w:p>
    <w:p>
      <w:pPr>
        <w:jc w:val="both"/>
        <w:ind w:right="20" w:firstLine="1727"/>
        <w:spacing w:after="0" w:line="279"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Reimbursement</w:t>
      </w:r>
      <w:r>
        <w:rPr>
          <w:rFonts w:ascii="Arial" w:cs="Arial" w:eastAsia="Arial" w:hAnsi="Arial"/>
          <w:sz w:val="19"/>
          <w:szCs w:val="19"/>
          <w:color w:val="auto"/>
        </w:rPr>
        <w:t>. The Company shall reimburse the Executive for (or, in the Company’s sole discretion, shall pay directly) reasonable out-of-pocket expenses incurred by the Executive in accordance with any expense reimbursement policy adopted by the Company relating to the business or affairs of the Company or the performance of the Executive’s duties hereunder, including, without limitation, reasonable expenses with respect to entertainment, travel and similar items. All reimbursements shall be paid as soon as administratively practicable, but in no event shall any reimbursement be paid after the last day of the taxable year following the taxable year in which the expense was incurred.</w:t>
      </w:r>
    </w:p>
    <w:p>
      <w:pPr>
        <w:spacing w:after="0" w:line="150"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Withholding</w:t>
      </w:r>
      <w:r>
        <w:rPr>
          <w:rFonts w:ascii="Arial" w:cs="Arial" w:eastAsia="Arial" w:hAnsi="Arial"/>
          <w:sz w:val="22"/>
          <w:szCs w:val="22"/>
          <w:color w:val="auto"/>
        </w:rPr>
        <w:t>. The Company will withhold from the Executive’s compensation all applicable amounts required by law or authorized by the Executive.</w:t>
      </w:r>
    </w:p>
    <w:p>
      <w:pPr>
        <w:spacing w:after="0" w:line="175" w:lineRule="exact"/>
        <w:rPr>
          <w:sz w:val="20"/>
          <w:szCs w:val="20"/>
          <w:color w:val="auto"/>
        </w:rPr>
      </w:pPr>
    </w:p>
    <w:p>
      <w:pPr>
        <w:jc w:val="both"/>
        <w:ind w:right="20" w:firstLine="872"/>
        <w:spacing w:after="0" w:line="236" w:lineRule="auto"/>
        <w:tabs>
          <w:tab w:leader="none" w:pos="199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Company Policies and Confidentiality</w:t>
      </w:r>
      <w:r>
        <w:rPr>
          <w:rFonts w:ascii="Arial" w:cs="Arial" w:eastAsia="Arial" w:hAnsi="Arial"/>
          <w:sz w:val="22"/>
          <w:szCs w:val="22"/>
          <w:color w:val="auto"/>
        </w:rPr>
        <w:t>. Executive will be expected to continue to adhere to the general employment policies and practices of the Company that may be in effect from time to time. Additionally, in connection with this Agreement, Executive must sign and comply with the Employee Confidential Information and Inventions Agreement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attached hereto, which prohibits unauthorized use or disclosure of the Company’s proprietary information, among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80" w:type="dxa"/>
            <w:vAlign w:val="bottom"/>
            <w:tcBorders>
              <w:top w:val="single" w:sz="8" w:color="622423"/>
            </w:tcBorders>
          </w:tcPr>
          <w:p>
            <w:pPr>
              <w:spacing w:after="0"/>
              <w:rPr>
                <w:sz w:val="20"/>
                <w:szCs w:val="20"/>
                <w:color w:val="auto"/>
              </w:rPr>
            </w:pPr>
            <w:r>
              <w:rPr>
                <w:rFonts w:ascii="Arial" w:cs="Arial" w:eastAsia="Arial" w:hAnsi="Arial"/>
                <w:sz w:val="18"/>
                <w:szCs w:val="18"/>
                <w:color w:val="auto"/>
              </w:rPr>
              <w:t>Executive Employment Agreement</w:t>
            </w:r>
          </w:p>
        </w:tc>
        <w:tc>
          <w:tcPr>
            <w:tcW w:w="7160" w:type="dxa"/>
            <w:vAlign w:val="bottom"/>
            <w:tcBorders>
              <w:top w:val="single" w:sz="8" w:color="622423"/>
            </w:tcBorders>
          </w:tcPr>
          <w:p>
            <w:pPr>
              <w:jc w:val="right"/>
              <w:ind w:right="54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344"/>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2" w:name="page83"/>
    <w:bookmarkEnd w:id="82"/>
    <w:p>
      <w:pPr>
        <w:ind w:left="2000" w:hanging="1128"/>
        <w:spacing w:after="0"/>
        <w:tabs>
          <w:tab w:leader="none" w:pos="20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of Employment</w:t>
      </w:r>
      <w:r>
        <w:rPr>
          <w:rFonts w:ascii="Arial" w:cs="Arial" w:eastAsia="Arial" w:hAnsi="Arial"/>
          <w:sz w:val="22"/>
          <w:szCs w:val="22"/>
          <w:color w:val="auto"/>
        </w:rPr>
        <w:t>.</w:t>
      </w:r>
    </w:p>
    <w:p>
      <w:pPr>
        <w:spacing w:after="0" w:line="206"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Termination for Any Reason</w:t>
      </w:r>
      <w:r>
        <w:rPr>
          <w:rFonts w:ascii="Arial" w:cs="Arial" w:eastAsia="Arial" w:hAnsi="Arial"/>
          <w:sz w:val="22"/>
          <w:szCs w:val="22"/>
          <w:color w:val="auto"/>
        </w:rPr>
        <w:t>. In the event that the Executive’s employment with the Company terminates for any reason, the Company shall pay to the Executive any unpaid Base Salary earned through the Executive’s last day of employment (the “</w:t>
      </w:r>
      <w:r>
        <w:rPr>
          <w:rFonts w:ascii="Arial" w:cs="Arial" w:eastAsia="Arial" w:hAnsi="Arial"/>
          <w:sz w:val="22"/>
          <w:szCs w:val="22"/>
          <w:u w:val="single" w:color="auto"/>
          <w:color w:val="auto"/>
        </w:rPr>
        <w:t>Date of Termination</w:t>
      </w:r>
      <w:r>
        <w:rPr>
          <w:rFonts w:ascii="Arial" w:cs="Arial" w:eastAsia="Arial" w:hAnsi="Arial"/>
          <w:sz w:val="22"/>
          <w:szCs w:val="22"/>
          <w:color w:val="auto"/>
        </w:rPr>
        <w:t>”) in accordance with this Agreement and expense reimbursements accrued but unpaid as of the Date of Termination (the “</w:t>
      </w:r>
      <w:r>
        <w:rPr>
          <w:rFonts w:ascii="Arial" w:cs="Arial" w:eastAsia="Arial" w:hAnsi="Arial"/>
          <w:sz w:val="22"/>
          <w:szCs w:val="22"/>
          <w:u w:val="single" w:color="auto"/>
          <w:color w:val="auto"/>
        </w:rPr>
        <w:t>Accrued Benefit</w:t>
      </w:r>
      <w:r>
        <w:rPr>
          <w:rFonts w:ascii="Arial" w:cs="Arial" w:eastAsia="Arial" w:hAnsi="Arial"/>
          <w:sz w:val="22"/>
          <w:szCs w:val="22"/>
          <w:color w:val="auto"/>
        </w:rPr>
        <w:t>”).</w:t>
      </w:r>
    </w:p>
    <w:p>
      <w:pPr>
        <w:spacing w:after="0" w:line="185" w:lineRule="exact"/>
        <w:rPr>
          <w:sz w:val="20"/>
          <w:szCs w:val="20"/>
          <w:color w:val="auto"/>
        </w:rPr>
      </w:pPr>
    </w:p>
    <w:p>
      <w:pPr>
        <w:ind w:left="1740"/>
        <w:spacing w:after="0"/>
        <w:tabs>
          <w:tab w:leader="none" w:pos="29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Benefits Upon Termination Without Cause or Resignation for Good Reason</w:t>
      </w:r>
      <w:r>
        <w:rPr>
          <w:rFonts w:ascii="Arial" w:cs="Arial" w:eastAsia="Arial" w:hAnsi="Arial"/>
          <w:sz w:val="19"/>
          <w:szCs w:val="19"/>
          <w:color w:val="auto"/>
        </w:rPr>
        <w:t>. If the Company</w:t>
      </w:r>
    </w:p>
    <w:p>
      <w:pPr>
        <w:spacing w:after="0" w:line="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terminates Executive’s employment for a reason other than for Cause (as defined herein) or the Executive terminates his employment with the Company for Good Reason (as defined herein) and subject to the conditions provided under Section 5.6, the Company will provide the Executive with the following severance benefits (collectively,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57" w:lineRule="exact"/>
        <w:rPr>
          <w:sz w:val="20"/>
          <w:szCs w:val="20"/>
          <w:color w:val="auto"/>
        </w:rPr>
      </w:pPr>
    </w:p>
    <w:p>
      <w:pPr>
        <w:jc w:val="both"/>
        <w:ind w:right="20" w:firstLine="2592"/>
        <w:spacing w:after="0" w:line="277" w:lineRule="auto"/>
        <w:rPr>
          <w:sz w:val="20"/>
          <w:szCs w:val="20"/>
          <w:color w:val="auto"/>
        </w:rPr>
      </w:pPr>
      <w:r>
        <w:rPr>
          <w:rFonts w:ascii="Arial" w:cs="Arial" w:eastAsia="Arial" w:hAnsi="Arial"/>
          <w:sz w:val="19"/>
          <w:szCs w:val="19"/>
          <w:color w:val="auto"/>
        </w:rPr>
        <w:t xml:space="preserve">5.2.1 </w:t>
      </w:r>
      <w:r>
        <w:rPr>
          <w:rFonts w:ascii="Arial" w:cs="Arial" w:eastAsia="Arial" w:hAnsi="Arial"/>
          <w:sz w:val="19"/>
          <w:szCs w:val="19"/>
          <w:u w:val="single" w:color="auto"/>
          <w:color w:val="auto"/>
        </w:rPr>
        <w:t>Salary Continuation Payments</w:t>
      </w:r>
      <w:r>
        <w:rPr>
          <w:rFonts w:ascii="Arial" w:cs="Arial" w:eastAsia="Arial" w:hAnsi="Arial"/>
          <w:sz w:val="19"/>
          <w:szCs w:val="19"/>
          <w:color w:val="auto"/>
        </w:rPr>
        <w:t>. The Company shall continue Executive’s Base Salary for twelve (12) month period that immediately follows the Date of Termination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Such salary continuation payments will be subject to standard payroll deductions and withholdings and will payable in installments over the Severance Period on the Company’s ordinary payroll dates, beginning no later than the Company’s second payroll date that occurs after the effective date of the Release (as defined herein), with such first payment for any accrued Base Salary for the period from the Date of Termination to the date of such first payment and the remaining installments in equal Base Salary rate payments occurring on the Company’s regularly scheduled payroll dates thereafter, in cash or immediately available funds.</w:t>
      </w:r>
    </w:p>
    <w:p>
      <w:pPr>
        <w:spacing w:after="0" w:line="165" w:lineRule="exact"/>
        <w:rPr>
          <w:sz w:val="20"/>
          <w:szCs w:val="20"/>
          <w:color w:val="auto"/>
        </w:rPr>
      </w:pPr>
    </w:p>
    <w:p>
      <w:pPr>
        <w:jc w:val="both"/>
        <w:ind w:right="20" w:firstLine="2592"/>
        <w:spacing w:after="0" w:line="246" w:lineRule="auto"/>
        <w:rPr>
          <w:sz w:val="20"/>
          <w:szCs w:val="20"/>
          <w:color w:val="auto"/>
        </w:rPr>
      </w:pPr>
      <w:r>
        <w:rPr>
          <w:rFonts w:ascii="Arial" w:cs="Arial" w:eastAsia="Arial" w:hAnsi="Arial"/>
          <w:sz w:val="21"/>
          <w:szCs w:val="21"/>
          <w:color w:val="auto"/>
        </w:rPr>
        <w:t xml:space="preserve">5.2.2 </w:t>
      </w:r>
      <w:r>
        <w:rPr>
          <w:rFonts w:ascii="Arial" w:cs="Arial" w:eastAsia="Arial" w:hAnsi="Arial"/>
          <w:sz w:val="21"/>
          <w:szCs w:val="21"/>
          <w:u w:val="single" w:color="auto"/>
          <w:color w:val="auto"/>
        </w:rPr>
        <w:t>COBRA Severance</w:t>
      </w:r>
      <w:r>
        <w:rPr>
          <w:rFonts w:ascii="Arial" w:cs="Arial" w:eastAsia="Arial" w:hAnsi="Arial"/>
          <w:sz w:val="21"/>
          <w:szCs w:val="21"/>
          <w:color w:val="auto"/>
        </w:rPr>
        <w:t>. If Executive timely elects continued coverage under COBRA for Executive and Executive’s covered dependents under the Company’s group health plans following such termination of employment, then the Company will pay Executive’s COBRA premiums to continue Executive’s coverage (including coverage for eligible dependents, if applicable) through the period (the “</w:t>
      </w:r>
      <w:r>
        <w:rPr>
          <w:rFonts w:ascii="Arial" w:cs="Arial" w:eastAsia="Arial" w:hAnsi="Arial"/>
          <w:sz w:val="21"/>
          <w:szCs w:val="21"/>
          <w:u w:val="single" w:color="auto"/>
          <w:color w:val="auto"/>
        </w:rPr>
        <w:t>COBRA Premium Period</w:t>
      </w:r>
      <w:r>
        <w:rPr>
          <w:rFonts w:ascii="Arial" w:cs="Arial" w:eastAsia="Arial" w:hAnsi="Arial"/>
          <w:sz w:val="21"/>
          <w:szCs w:val="21"/>
          <w:color w:val="auto"/>
        </w:rPr>
        <w:t>”) starting on the Date of Termination and ending on the earliest to occur of the following: (i) twelve (12) months following the Date of Termination; (ii) the date Executive becomes eligible for group health insurance coverage through a new employer; or (iii) the date Executive ceases to be eligible for COBRA continuation coverage for any reason, including plan termination.</w:t>
      </w:r>
    </w:p>
    <w:p>
      <w:pPr>
        <w:spacing w:after="0" w:line="198"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Termination of Employment in Connection with a Change in Control</w:t>
      </w:r>
      <w:r>
        <w:rPr>
          <w:rFonts w:ascii="Arial" w:cs="Arial" w:eastAsia="Arial" w:hAnsi="Arial"/>
          <w:sz w:val="22"/>
          <w:szCs w:val="22"/>
          <w:color w:val="auto"/>
        </w:rPr>
        <w:t>. Executive will be eligible to participate in the Company’s Change in Control Severance Plan, if such a plan is implemented, pursuant to the terms and conditions of such plan. For the avoidance of doubt, under no circumstances will Executive be entitled to receive the benefits set forth herein under more than one of Sections 5.2, 5.3 and 5.4.</w:t>
      </w:r>
    </w:p>
    <w:p>
      <w:pPr>
        <w:spacing w:after="0" w:line="185" w:lineRule="exact"/>
        <w:rPr>
          <w:sz w:val="20"/>
          <w:szCs w:val="20"/>
          <w:color w:val="auto"/>
        </w:rPr>
      </w:pPr>
    </w:p>
    <w:p>
      <w:pPr>
        <w:ind w:left="1740"/>
        <w:spacing w:after="0"/>
        <w:tabs>
          <w:tab w:leader="none" w:pos="29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Termination of Employment as a Result of Executive’s Resignation without Good Reason, or a</w:t>
      </w:r>
    </w:p>
    <w:p>
      <w:pPr>
        <w:spacing w:after="0" w:line="8" w:lineRule="exact"/>
        <w:rPr>
          <w:sz w:val="20"/>
          <w:szCs w:val="20"/>
          <w:color w:val="auto"/>
        </w:rPr>
      </w:pPr>
    </w:p>
    <w:p>
      <w:pPr>
        <w:jc w:val="both"/>
        <w:ind w:right="20"/>
        <w:spacing w:after="0" w:line="233" w:lineRule="auto"/>
        <w:rPr>
          <w:sz w:val="20"/>
          <w:szCs w:val="20"/>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Executive’s employment is terminated as a result of either of the following: (i) the Company terminates Executive’s employment for Cause; or (ii) Executive’s resignation without Good Reason; then the Company’s sole obligation shall be to pay Executive, within sixty (60) days of the Date of Termination, or an earlier date if required by law, the amount of the Accrued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80" w:type="dxa"/>
            <w:vAlign w:val="bottom"/>
            <w:tcBorders>
              <w:top w:val="single" w:sz="8" w:color="622423"/>
            </w:tcBorders>
          </w:tcPr>
          <w:p>
            <w:pPr>
              <w:spacing w:after="0"/>
              <w:rPr>
                <w:sz w:val="20"/>
                <w:szCs w:val="20"/>
                <w:color w:val="auto"/>
              </w:rPr>
            </w:pPr>
            <w:r>
              <w:rPr>
                <w:rFonts w:ascii="Arial" w:cs="Arial" w:eastAsia="Arial" w:hAnsi="Arial"/>
                <w:sz w:val="18"/>
                <w:szCs w:val="18"/>
                <w:color w:val="auto"/>
              </w:rPr>
              <w:t>Executive Employment Agreement</w:t>
            </w:r>
          </w:p>
        </w:tc>
        <w:tc>
          <w:tcPr>
            <w:tcW w:w="7160" w:type="dxa"/>
            <w:vAlign w:val="bottom"/>
            <w:tcBorders>
              <w:top w:val="single" w:sz="8" w:color="622423"/>
            </w:tcBorders>
          </w:tcPr>
          <w:p>
            <w:pPr>
              <w:jc w:val="right"/>
              <w:ind w:right="54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344"/>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3" w:name="page84"/>
    <w:bookmarkEnd w:id="83"/>
    <w:p>
      <w:pPr>
        <w:jc w:val="both"/>
        <w:ind w:right="20" w:firstLine="1727"/>
        <w:spacing w:after="0" w:line="246"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Conditions for Receipt of Severance Benefits</w:t>
      </w:r>
      <w:r>
        <w:rPr>
          <w:rFonts w:ascii="Arial" w:cs="Arial" w:eastAsia="Arial" w:hAnsi="Arial"/>
          <w:sz w:val="21"/>
          <w:szCs w:val="21"/>
          <w:color w:val="auto"/>
        </w:rPr>
        <w:t>. The Severance Benefits, as applicable, are further conditioned on the following: (i) if the Executive holds any other positions with the Company, including as member of the Board or any boards of directors of any subsidiaries, the Executive resigns such position(s) to be effective no later than the Date of Termination (or such other date as requested by the Board); (ii) the Executive returns all Company property; (iii) Executive’s timely execution and delivery to the Company an effective release of claims in favor of and in a form acceptable to the Company (the “</w:t>
      </w:r>
      <w:r>
        <w:rPr>
          <w:rFonts w:ascii="Arial" w:cs="Arial" w:eastAsia="Arial" w:hAnsi="Arial"/>
          <w:sz w:val="21"/>
          <w:szCs w:val="21"/>
          <w:u w:val="single" w:color="auto"/>
          <w:color w:val="auto"/>
        </w:rPr>
        <w:t>Release</w:t>
      </w:r>
      <w:r>
        <w:rPr>
          <w:rFonts w:ascii="Arial" w:cs="Arial" w:eastAsia="Arial" w:hAnsi="Arial"/>
          <w:sz w:val="21"/>
          <w:szCs w:val="21"/>
          <w:color w:val="auto"/>
        </w:rPr>
        <w:t>”) within the timeframe set forth therein, and Executive does not revoke the Release; and (iv) Executive’s continued compliance with all of Executive’s duties and obligations to the Company, including but not limited to, obligations under this Agreement and the Confidentiality Agreement.</w:t>
      </w:r>
    </w:p>
    <w:p>
      <w:pPr>
        <w:spacing w:after="0" w:line="151"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560" w:type="dxa"/>
            <w:vAlign w:val="bottom"/>
          </w:tcPr>
          <w:p>
            <w:pPr>
              <w:jc w:val="right"/>
              <w:ind w:right="192"/>
              <w:spacing w:after="0"/>
              <w:rPr>
                <w:sz w:val="20"/>
                <w:szCs w:val="20"/>
                <w:color w:val="auto"/>
              </w:rPr>
            </w:pPr>
            <w:r>
              <w:rPr>
                <w:rFonts w:ascii="Arial" w:cs="Arial" w:eastAsia="Arial" w:hAnsi="Arial"/>
                <w:sz w:val="22"/>
                <w:szCs w:val="22"/>
                <w:color w:val="auto"/>
                <w:w w:val="78"/>
              </w:rPr>
              <w:t>5.6</w:t>
            </w:r>
          </w:p>
        </w:tc>
        <w:tc>
          <w:tcPr>
            <w:tcW w:w="6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1"/>
              </w:rPr>
              <w:t>Definitions.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439"/>
        </w:trPr>
        <w:tc>
          <w:tcPr>
            <w:tcW w:w="560" w:type="dxa"/>
            <w:vAlign w:val="bottom"/>
          </w:tcPr>
          <w:p>
            <w:pPr>
              <w:spacing w:after="0"/>
              <w:rPr>
                <w:sz w:val="24"/>
                <w:szCs w:val="24"/>
                <w:color w:val="auto"/>
              </w:rPr>
            </w:pPr>
          </w:p>
        </w:tc>
        <w:tc>
          <w:tcPr>
            <w:tcW w:w="1700" w:type="dxa"/>
            <w:vAlign w:val="bottom"/>
            <w:gridSpan w:val="2"/>
          </w:tcPr>
          <w:p>
            <w:pPr>
              <w:jc w:val="right"/>
              <w:ind w:right="852"/>
              <w:spacing w:after="0"/>
              <w:rPr>
                <w:sz w:val="20"/>
                <w:szCs w:val="20"/>
                <w:color w:val="auto"/>
              </w:rPr>
            </w:pPr>
            <w:r>
              <w:rPr>
                <w:rFonts w:ascii="Arial" w:cs="Arial" w:eastAsia="Arial" w:hAnsi="Arial"/>
                <w:sz w:val="22"/>
                <w:szCs w:val="22"/>
                <w:color w:val="auto"/>
              </w:rPr>
              <w:t>5.6.1</w:t>
            </w:r>
          </w:p>
        </w:tc>
        <w:tc>
          <w:tcPr>
            <w:tcW w:w="7240" w:type="dxa"/>
            <w:vAlign w:val="bottom"/>
            <w:gridSpan w:val="3"/>
          </w:tcPr>
          <w:p>
            <w:pPr>
              <w:spacing w:after="0"/>
              <w:rPr>
                <w:sz w:val="20"/>
                <w:szCs w:val="20"/>
                <w:color w:val="auto"/>
              </w:rPr>
            </w:pPr>
            <w:r>
              <w:rPr>
                <w:rFonts w:ascii="Arial" w:cs="Arial" w:eastAsia="Arial" w:hAnsi="Arial"/>
                <w:sz w:val="22"/>
                <w:szCs w:val="22"/>
                <w:color w:val="auto"/>
                <w:w w:val="94"/>
              </w:rPr>
              <w:t>“Cause” shall mean termination of employment for one or more of the following</w:t>
            </w:r>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 xml:space="preserve">reasons: (i) material failure to follow any proper and lawful directive of the Board that remains uncured more than thirty (30) days after a written demand is delivered to the Executive that specifically identifies the manner in which the Board believes that the Executive has failed to follow such instructions,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to meet performance targets shall not, in and of itself, be deemed a failure to follow any such instructions; (ii) the Executive’s commission of an act of: (a) fraud, embezzlement, or theft; or (b) dishonesty that injures the business, business reputation or business relationships of the Company; (iii) the Executive’s commission or conviction of, or pleading guilty or nolo contendere to, a felony; and (iv) material violation of any agreement between the Executive and Company or of any material Company policy that remains uncured (if curable) more than thirty (30) days after written notice thereof is delivered to Executive that specifically identities such violation.</w:t>
      </w:r>
    </w:p>
    <w:p>
      <w:pPr>
        <w:spacing w:after="0" w:line="171" w:lineRule="exact"/>
        <w:rPr>
          <w:sz w:val="20"/>
          <w:szCs w:val="20"/>
          <w:color w:val="auto"/>
        </w:rPr>
      </w:pPr>
    </w:p>
    <w:p>
      <w:pPr>
        <w:jc w:val="both"/>
        <w:ind w:right="20" w:firstLine="2592"/>
        <w:spacing w:after="0" w:line="272" w:lineRule="auto"/>
        <w:rPr>
          <w:sz w:val="20"/>
          <w:szCs w:val="20"/>
          <w:color w:val="auto"/>
        </w:rPr>
      </w:pPr>
      <w:r>
        <w:rPr>
          <w:rFonts w:ascii="Arial" w:cs="Arial" w:eastAsia="Arial" w:hAnsi="Arial"/>
          <w:sz w:val="19"/>
          <w:szCs w:val="19"/>
          <w:color w:val="auto"/>
        </w:rPr>
        <w:t>5.6.2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a resignation of employment by the Executive as a result of the occurrence of one or more of the following events without the consent of the Executive: (A) a material breach of an agreement between the Company and the Executive by the Company that remains uncured more than thirty (30) days after written notice thereof is delivered to the Company that specifically identities such breach; (B) the Company significantly reduces the Executive’s Base Salary or the percentage eligibility established for the Executive’s Performance Bonus, other than any Company-wide reduction in compensation of employees; (C) the Company significantly reduces the Executive’s duties, authority or responsibilities relative to Executive’s duties, authority or responsibilities in effect immediately prior to such reduction; or (D) the Company relocates the facility that is the Executive’s principal place of business with the Company to a location more than fifty (50) miles from the immediately preceding location (excluding regular travel in the ordinary course of business). In order to resign for Good Reason, Executive must provide written notice to the Board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30 days after the expiration of the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80" w:type="dxa"/>
            <w:vAlign w:val="bottom"/>
            <w:tcBorders>
              <w:top w:val="single" w:sz="8" w:color="622423"/>
            </w:tcBorders>
          </w:tcPr>
          <w:p>
            <w:pPr>
              <w:spacing w:after="0"/>
              <w:rPr>
                <w:sz w:val="20"/>
                <w:szCs w:val="20"/>
                <w:color w:val="auto"/>
              </w:rPr>
            </w:pPr>
            <w:r>
              <w:rPr>
                <w:rFonts w:ascii="Arial" w:cs="Arial" w:eastAsia="Arial" w:hAnsi="Arial"/>
                <w:sz w:val="18"/>
                <w:szCs w:val="18"/>
                <w:color w:val="auto"/>
              </w:rPr>
              <w:t>Executive Employment Agreement</w:t>
            </w:r>
          </w:p>
        </w:tc>
        <w:tc>
          <w:tcPr>
            <w:tcW w:w="7160" w:type="dxa"/>
            <w:vAlign w:val="bottom"/>
            <w:tcBorders>
              <w:top w:val="single" w:sz="8" w:color="622423"/>
            </w:tcBorders>
          </w:tcPr>
          <w:p>
            <w:pPr>
              <w:jc w:val="right"/>
              <w:ind w:right="54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344"/>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4" w:name="page85"/>
    <w:bookmarkEnd w:id="84"/>
    <w:p>
      <w:pPr>
        <w:ind w:left="1680" w:hanging="808"/>
        <w:spacing w:after="0"/>
        <w:tabs>
          <w:tab w:leader="none" w:pos="168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sz w:val="20"/>
          <w:szCs w:val="20"/>
          <w:color w:val="auto"/>
        </w:rPr>
      </w:pPr>
    </w:p>
    <w:p>
      <w:pPr>
        <w:ind w:right="40" w:firstLine="1727"/>
        <w:spacing w:after="0" w:line="244" w:lineRule="auto"/>
        <w:rPr>
          <w:sz w:val="20"/>
          <w:szCs w:val="20"/>
          <w:color w:val="auto"/>
        </w:rPr>
      </w:pPr>
      <w:r>
        <w:rPr>
          <w:rFonts w:ascii="Arial" w:cs="Arial" w:eastAsia="Arial" w:hAnsi="Arial"/>
          <w:sz w:val="21"/>
          <w:szCs w:val="21"/>
          <w:color w:val="auto"/>
        </w:rPr>
        <w:t>6.1 Solely for purposes of Section 409A of the Internal Revenue Code of 1986, as amended (the “Code”), the Severance Benefit (and the separate payment of any portion thereof) is considered a separate payment. 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(i) six months and one day after the Executive’s separation from service, or (ii)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No interest shall accrue on any such delayed cash payment.</w:t>
      </w:r>
    </w:p>
    <w:p>
      <w:pPr>
        <w:spacing w:after="0" w:line="183" w:lineRule="exact"/>
        <w:rPr>
          <w:sz w:val="20"/>
          <w:szCs w:val="20"/>
          <w:color w:val="auto"/>
        </w:rPr>
      </w:pPr>
    </w:p>
    <w:p>
      <w:pPr>
        <w:ind w:right="140" w:firstLine="1727"/>
        <w:spacing w:after="0" w:line="234" w:lineRule="auto"/>
        <w:rPr>
          <w:sz w:val="20"/>
          <w:szCs w:val="20"/>
          <w:color w:val="auto"/>
        </w:rPr>
      </w:pPr>
      <w:r>
        <w:rPr>
          <w:rFonts w:ascii="Arial" w:cs="Arial" w:eastAsia="Arial" w:hAnsi="Arial"/>
          <w:sz w:val="22"/>
          <w:szCs w:val="22"/>
          <w:color w:val="auto"/>
        </w:rPr>
        <w:t>6.2 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91" w:lineRule="exact"/>
        <w:rPr>
          <w:sz w:val="20"/>
          <w:szCs w:val="20"/>
          <w:color w:val="auto"/>
        </w:rPr>
      </w:pPr>
    </w:p>
    <w:p>
      <w:pPr>
        <w:ind w:right="140" w:firstLine="1727"/>
        <w:spacing w:after="0" w:line="249" w:lineRule="auto"/>
        <w:rPr>
          <w:sz w:val="20"/>
          <w:szCs w:val="20"/>
          <w:color w:val="auto"/>
        </w:rPr>
      </w:pPr>
      <w:r>
        <w:rPr>
          <w:rFonts w:ascii="Arial" w:cs="Arial" w:eastAsia="Arial" w:hAnsi="Arial"/>
          <w:sz w:val="21"/>
          <w:szCs w:val="21"/>
          <w:color w:val="auto"/>
        </w:rPr>
        <w:t>6.3 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78" w:lineRule="exact"/>
        <w:rPr>
          <w:sz w:val="20"/>
          <w:szCs w:val="20"/>
          <w:color w:val="auto"/>
        </w:rPr>
      </w:pPr>
    </w:p>
    <w:p>
      <w:pPr>
        <w:ind w:right="200" w:firstLine="1727"/>
        <w:spacing w:after="0" w:line="248" w:lineRule="auto"/>
        <w:rPr>
          <w:sz w:val="20"/>
          <w:szCs w:val="20"/>
          <w:color w:val="auto"/>
        </w:rPr>
      </w:pPr>
      <w:r>
        <w:rPr>
          <w:rFonts w:ascii="Arial" w:cs="Arial" w:eastAsia="Arial" w:hAnsi="Arial"/>
          <w:sz w:val="21"/>
          <w:szCs w:val="21"/>
          <w:color w:val="auto"/>
        </w:rPr>
        <w:t>6.4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80" w:type="dxa"/>
            <w:vAlign w:val="bottom"/>
            <w:tcBorders>
              <w:top w:val="single" w:sz="8" w:color="622423"/>
            </w:tcBorders>
          </w:tcPr>
          <w:p>
            <w:pPr>
              <w:spacing w:after="0"/>
              <w:rPr>
                <w:sz w:val="20"/>
                <w:szCs w:val="20"/>
                <w:color w:val="auto"/>
              </w:rPr>
            </w:pPr>
            <w:r>
              <w:rPr>
                <w:rFonts w:ascii="Arial" w:cs="Arial" w:eastAsia="Arial" w:hAnsi="Arial"/>
                <w:sz w:val="18"/>
                <w:szCs w:val="18"/>
                <w:color w:val="auto"/>
              </w:rPr>
              <w:t>Executive Employment Agreement</w:t>
            </w:r>
          </w:p>
        </w:tc>
        <w:tc>
          <w:tcPr>
            <w:tcW w:w="7160" w:type="dxa"/>
            <w:vAlign w:val="bottom"/>
            <w:tcBorders>
              <w:top w:val="single" w:sz="8" w:color="622423"/>
            </w:tcBorders>
          </w:tcPr>
          <w:p>
            <w:pPr>
              <w:jc w:val="right"/>
              <w:ind w:right="54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344"/>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5" w:name="page86"/>
    <w:bookmarkEnd w:id="85"/>
    <w:p>
      <w:pPr>
        <w:jc w:val="both"/>
        <w:ind w:right="20" w:firstLine="872"/>
        <w:spacing w:after="0" w:line="248" w:lineRule="auto"/>
        <w:tabs>
          <w:tab w:leader="none" w:pos="199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Executive’s Representations and Warranties</w:t>
      </w:r>
      <w:r>
        <w:rPr>
          <w:rFonts w:ascii="Arial" w:cs="Arial" w:eastAsia="Arial" w:hAnsi="Arial"/>
          <w:sz w:val="21"/>
          <w:szCs w:val="21"/>
          <w:color w:val="auto"/>
        </w:rPr>
        <w:t>. The Executive represents and warrants that the Executive is not a party to any other employment, non-competition, or other agreement or restriction which could interfere with the Executive’s employment by the Company or the Executive’s or the Company’s rights and obligations hereunder and that the Executive’s acceptance of employment by the Company pursuant to the terms of this Agreement and the performance of the Executive’s duties hereunder will not breach the provisions of any contract, agreement, or understanding to which the Executive is party or any duty owed by the Executive to any other person.</w:t>
      </w:r>
    </w:p>
    <w:p>
      <w:pPr>
        <w:spacing w:after="0" w:line="176" w:lineRule="exact"/>
        <w:rPr>
          <w:rFonts w:ascii="Arial" w:cs="Arial" w:eastAsia="Arial" w:hAnsi="Arial"/>
          <w:sz w:val="21"/>
          <w:szCs w:val="21"/>
          <w:color w:val="auto"/>
        </w:rPr>
      </w:pPr>
    </w:p>
    <w:p>
      <w:pPr>
        <w:jc w:val="both"/>
        <w:ind w:right="20" w:firstLine="872"/>
        <w:spacing w:after="0" w:line="282" w:lineRule="auto"/>
        <w:tabs>
          <w:tab w:leader="none" w:pos="19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The respective rights and obligations of the Company and the Executive under this Agreement may be waived (either generally or in a particular instance, either retroactively or prospectively, and either for a specified period of time or indefinitely) or amended only with the written consent of a duly authorized representative of the Company and the Executive. The waiver by either party of a breach of any provision of this Agreement by the other party shall not operate or be construed as a waiver of any subsequent breach by such other party.</w:t>
      </w:r>
    </w:p>
    <w:p>
      <w:pPr>
        <w:spacing w:after="0" w:line="147" w:lineRule="exact"/>
        <w:rPr>
          <w:rFonts w:ascii="Arial" w:cs="Arial" w:eastAsia="Arial" w:hAnsi="Arial"/>
          <w:sz w:val="19"/>
          <w:szCs w:val="19"/>
          <w:color w:val="auto"/>
        </w:rPr>
      </w:pPr>
    </w:p>
    <w:p>
      <w:pPr>
        <w:jc w:val="both"/>
        <w:ind w:right="20" w:firstLine="872"/>
        <w:spacing w:after="0" w:line="287" w:lineRule="auto"/>
        <w:tabs>
          <w:tab w:leader="none" w:pos="19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hereof shall inure to the benefit of, and be binding upon, the Executive and the Company, along with the Company’s successors and assigns. The Executive may not assign or delegate to any third person the Executive’s obligations under this Agreement. The rights and benefits of the Executive under this Agreement are personal to the Executive and inure solely to the benefit of the Executive and to the Executive’s estate, as applicable.</w:t>
      </w:r>
    </w:p>
    <w:p>
      <w:pPr>
        <w:spacing w:after="0" w:line="142" w:lineRule="exact"/>
        <w:rPr>
          <w:rFonts w:ascii="Arial" w:cs="Arial" w:eastAsia="Arial" w:hAnsi="Arial"/>
          <w:sz w:val="19"/>
          <w:szCs w:val="19"/>
          <w:color w:val="auto"/>
        </w:rPr>
      </w:pPr>
    </w:p>
    <w:p>
      <w:pPr>
        <w:jc w:val="both"/>
        <w:ind w:right="20" w:firstLine="872"/>
        <w:spacing w:after="0" w:line="297" w:lineRule="auto"/>
        <w:tabs>
          <w:tab w:leader="none" w:pos="210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Grant documentation, and the other agreements referenced herein, constitute the full and entire understanding and agreement of the parties with regard to the subjects hereof and supersede in their entirety all other or prior agreements (including, whether oral or written, with respect thereto.</w:t>
      </w:r>
    </w:p>
    <w:p>
      <w:pPr>
        <w:spacing w:after="0" w:line="133" w:lineRule="exact"/>
        <w:rPr>
          <w:rFonts w:ascii="Arial" w:cs="Arial" w:eastAsia="Arial" w:hAnsi="Arial"/>
          <w:sz w:val="19"/>
          <w:szCs w:val="19"/>
          <w:color w:val="auto"/>
        </w:rPr>
      </w:pPr>
    </w:p>
    <w:p>
      <w:pPr>
        <w:jc w:val="both"/>
        <w:ind w:right="20" w:firstLine="872"/>
        <w:spacing w:after="0" w:line="287" w:lineRule="auto"/>
        <w:tabs>
          <w:tab w:leader="none" w:pos="20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demands, notices, requests, consents and other communications required or permitted under this Agreement shall be in writing and shall be personally delivered, sent by electronic mail, sent by reputable commercial overnight delivery service (including Federal Express and U.S. Postal Service overnight delivery service), or deposited with the U.S. Postal Service mailed first class, registered or certified mail, postage prepaid, as set forth below:</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Company, addressed to:</w:t>
      </w:r>
    </w:p>
    <w:p>
      <w:pPr>
        <w:spacing w:after="0" w:line="220"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Taysha Gene Therapies, Inc.</w:t>
      </w:r>
    </w:p>
    <w:p>
      <w:pPr>
        <w:ind w:left="2600"/>
        <w:spacing w:after="0" w:line="238" w:lineRule="auto"/>
        <w:rPr>
          <w:sz w:val="20"/>
          <w:szCs w:val="20"/>
          <w:color w:val="auto"/>
        </w:rPr>
      </w:pPr>
      <w:r>
        <w:rPr>
          <w:rFonts w:ascii="Arial" w:cs="Arial" w:eastAsia="Arial" w:hAnsi="Arial"/>
          <w:sz w:val="22"/>
          <w:szCs w:val="22"/>
          <w:color w:val="auto"/>
        </w:rPr>
        <w:t>2280 Inwood Road</w:t>
      </w:r>
    </w:p>
    <w:p>
      <w:pPr>
        <w:ind w:left="2600"/>
        <w:spacing w:after="0" w:line="230" w:lineRule="auto"/>
        <w:rPr>
          <w:sz w:val="20"/>
          <w:szCs w:val="20"/>
          <w:color w:val="auto"/>
        </w:rPr>
      </w:pPr>
      <w:r>
        <w:rPr>
          <w:rFonts w:ascii="Arial" w:cs="Arial" w:eastAsia="Arial" w:hAnsi="Arial"/>
          <w:sz w:val="22"/>
          <w:szCs w:val="22"/>
          <w:color w:val="auto"/>
        </w:rPr>
        <w:t>Dallas, TX 75235</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Attn: Kamran Alam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and, if to the Executive, to the address set forth in the Company’s records.</w:t>
      </w:r>
    </w:p>
    <w:p>
      <w:pPr>
        <w:spacing w:after="0" w:line="206"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Notices shall be deemed given upon the earlier to occur of the following: (i) receipt by the party to whom such notice is directed; (ii) on the first business day (other than a Saturday, Sunday or legal holiday in the jurisdiction to which such notice is directed) following the day the same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80" w:type="dxa"/>
            <w:vAlign w:val="bottom"/>
            <w:tcBorders>
              <w:top w:val="single" w:sz="8" w:color="622423"/>
            </w:tcBorders>
          </w:tcPr>
          <w:p>
            <w:pPr>
              <w:spacing w:after="0"/>
              <w:rPr>
                <w:sz w:val="20"/>
                <w:szCs w:val="20"/>
                <w:color w:val="auto"/>
              </w:rPr>
            </w:pPr>
            <w:r>
              <w:rPr>
                <w:rFonts w:ascii="Arial" w:cs="Arial" w:eastAsia="Arial" w:hAnsi="Arial"/>
                <w:sz w:val="18"/>
                <w:szCs w:val="18"/>
                <w:color w:val="auto"/>
              </w:rPr>
              <w:t>Executive Employment Agreement</w:t>
            </w:r>
          </w:p>
        </w:tc>
        <w:tc>
          <w:tcPr>
            <w:tcW w:w="7160" w:type="dxa"/>
            <w:vAlign w:val="bottom"/>
            <w:tcBorders>
              <w:top w:val="single" w:sz="8" w:color="622423"/>
            </w:tcBorders>
          </w:tcPr>
          <w:p>
            <w:pPr>
              <w:jc w:val="right"/>
              <w:ind w:right="54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344"/>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6" w:name="page87"/>
    <w:bookmarkEnd w:id="86"/>
    <w:p>
      <w:pPr>
        <w:jc w:val="both"/>
        <w:ind w:right="20"/>
        <w:spacing w:after="0" w:line="238" w:lineRule="auto"/>
        <w:rPr>
          <w:sz w:val="20"/>
          <w:szCs w:val="20"/>
          <w:color w:val="auto"/>
        </w:rPr>
      </w:pPr>
      <w:r>
        <w:rPr>
          <w:rFonts w:ascii="Arial" w:cs="Arial" w:eastAsia="Arial" w:hAnsi="Arial"/>
          <w:sz w:val="22"/>
          <w:szCs w:val="22"/>
          <w:color w:val="auto"/>
        </w:rPr>
        <w:t>deposited with the commercial courier if sent for overnight delivery by commercial delivery service; or (iii) the fifth day (other than a Saturday, Sunday or legal holiday in the jurisdiction to which such notice is directed) following deposit thereof with the U.S. Postal Service as aforesaid. Each party, by notice duly given in accordance therewith, may specify a different address for the giving of any notice hereunder.</w:t>
      </w:r>
    </w:p>
    <w:p>
      <w:pPr>
        <w:spacing w:after="0" w:line="185" w:lineRule="exact"/>
        <w:rPr>
          <w:sz w:val="20"/>
          <w:szCs w:val="20"/>
          <w:color w:val="auto"/>
        </w:rPr>
      </w:pPr>
    </w:p>
    <w:p>
      <w:pPr>
        <w:jc w:val="both"/>
        <w:ind w:right="20" w:firstLine="872"/>
        <w:spacing w:after="0"/>
        <w:tabs>
          <w:tab w:leader="none" w:pos="210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and governed by the laws of the State of Texas (without giving effect to any conflicts or choice of laws provisions thereof that would cause the application of the domestic substantive laws of any other jurisdiction).</w:t>
      </w:r>
    </w:p>
    <w:p>
      <w:pPr>
        <w:spacing w:after="0" w:line="186" w:lineRule="exact"/>
        <w:rPr>
          <w:rFonts w:ascii="Arial" w:cs="Arial" w:eastAsia="Arial" w:hAnsi="Arial"/>
          <w:sz w:val="22"/>
          <w:szCs w:val="22"/>
          <w:color w:val="auto"/>
        </w:rPr>
      </w:pPr>
    </w:p>
    <w:p>
      <w:pPr>
        <w:jc w:val="both"/>
        <w:ind w:right="20" w:firstLine="872"/>
        <w:spacing w:after="0" w:line="277" w:lineRule="auto"/>
        <w:tabs>
          <w:tab w:leader="none" w:pos="210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Employment at Will</w:t>
      </w:r>
      <w:r>
        <w:rPr>
          <w:rFonts w:ascii="Arial" w:cs="Arial" w:eastAsia="Arial" w:hAnsi="Arial"/>
          <w:sz w:val="19"/>
          <w:szCs w:val="19"/>
          <w:color w:val="auto"/>
        </w:rPr>
        <w:t>. The Executive and the Company understand and agree that the Executive is an employee at-will, and that the Executive may resign, or the Company may terminate the Executive’s employment, at any time, with or without Cause or advance notice. Nothing in this Agreement shall be construed to alter the at-will nature of the Executive’s employment, nor shall anything in this Agreement be construed as providing the Executive with a definite term of employment. The provisions in Section 5 above govern the amount of compensation, if any, to be provided to the Executive upon termination of employment and do not alter this at-will status. The at-will nature of the Executive’s employment with the Company may be changed only in an express written agreement signed by the Executive and an officer of the Company.</w:t>
      </w:r>
    </w:p>
    <w:p>
      <w:pPr>
        <w:spacing w:after="0" w:line="151" w:lineRule="exact"/>
        <w:rPr>
          <w:rFonts w:ascii="Arial" w:cs="Arial" w:eastAsia="Arial" w:hAnsi="Arial"/>
          <w:sz w:val="19"/>
          <w:szCs w:val="19"/>
          <w:color w:val="auto"/>
        </w:rPr>
      </w:pPr>
    </w:p>
    <w:p>
      <w:pPr>
        <w:ind w:left="1780" w:hanging="908"/>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Severability; Titles and Subtitles; Gender; Singular and Plural; Counterparts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727"/>
        <w:spacing w:after="0" w:line="328" w:lineRule="auto"/>
        <w:rPr>
          <w:sz w:val="20"/>
          <w:szCs w:val="20"/>
          <w:color w:val="auto"/>
        </w:rPr>
      </w:pPr>
      <w:r>
        <w:rPr>
          <w:rFonts w:ascii="Arial" w:cs="Arial" w:eastAsia="Arial" w:hAnsi="Arial"/>
          <w:sz w:val="19"/>
          <w:szCs w:val="19"/>
          <w:color w:val="auto"/>
        </w:rPr>
        <w:t>14.1 In case any provision of this Agreement shall be invalid, illegal or unenforceable, the validity, legality and enforceability of the remaining provisions of this Agreement shall not in any way be affected or impaired thereby.</w:t>
      </w:r>
    </w:p>
    <w:p>
      <w:pPr>
        <w:spacing w:after="0" w:line="105" w:lineRule="exact"/>
        <w:rPr>
          <w:sz w:val="20"/>
          <w:szCs w:val="20"/>
          <w:color w:val="auto"/>
        </w:rPr>
      </w:pPr>
    </w:p>
    <w:p>
      <w:pPr>
        <w:jc w:val="both"/>
        <w:ind w:right="40" w:firstLine="1727"/>
        <w:spacing w:after="0" w:line="250" w:lineRule="auto"/>
        <w:rPr>
          <w:sz w:val="20"/>
          <w:szCs w:val="20"/>
          <w:color w:val="auto"/>
        </w:rPr>
      </w:pPr>
      <w:r>
        <w:rPr>
          <w:rFonts w:ascii="Arial" w:cs="Arial" w:eastAsia="Arial" w:hAnsi="Arial"/>
          <w:sz w:val="22"/>
          <w:szCs w:val="22"/>
          <w:color w:val="auto"/>
        </w:rPr>
        <w:t>14.2 The titles of the sections and subsections of this Agreement are for convenience of reference only and are not to be considered in construing this Agreement.</w:t>
      </w:r>
    </w:p>
    <w:p>
      <w:pPr>
        <w:spacing w:after="0" w:line="175" w:lineRule="exact"/>
        <w:rPr>
          <w:sz w:val="20"/>
          <w:szCs w:val="20"/>
          <w:color w:val="auto"/>
        </w:rPr>
      </w:pPr>
    </w:p>
    <w:p>
      <w:pPr>
        <w:jc w:val="both"/>
        <w:ind w:right="40" w:firstLine="1727"/>
        <w:spacing w:after="0" w:line="274" w:lineRule="auto"/>
        <w:rPr>
          <w:sz w:val="20"/>
          <w:szCs w:val="20"/>
          <w:color w:val="auto"/>
        </w:rPr>
      </w:pPr>
      <w:r>
        <w:rPr>
          <w:rFonts w:ascii="Arial" w:cs="Arial" w:eastAsia="Arial" w:hAnsi="Arial"/>
          <w:sz w:val="21"/>
          <w:szCs w:val="21"/>
          <w:color w:val="auto"/>
        </w:rPr>
        <w:t>14.3 The use of any gender in this Agreement shall be deemed to include the other genders, and the use of the singular in this Agreement shall be deemed to include the plural (and vice versa), wherever appropriate.</w:t>
      </w:r>
    </w:p>
    <w:p>
      <w:pPr>
        <w:spacing w:after="0" w:line="151"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14.4 This Agreement may be executed in any number of counterparts, each of which shall be an original, but all of which together constitute one instrument.</w:t>
      </w:r>
    </w:p>
    <w:p>
      <w:pPr>
        <w:spacing w:after="0" w:line="175" w:lineRule="exact"/>
        <w:rPr>
          <w:sz w:val="20"/>
          <w:szCs w:val="20"/>
          <w:color w:val="auto"/>
        </w:rPr>
      </w:pPr>
    </w:p>
    <w:p>
      <w:pPr>
        <w:jc w:val="both"/>
        <w:ind w:right="20" w:firstLine="1727"/>
        <w:spacing w:after="0" w:line="287" w:lineRule="auto"/>
        <w:rPr>
          <w:sz w:val="20"/>
          <w:szCs w:val="20"/>
          <w:color w:val="auto"/>
        </w:rPr>
      </w:pPr>
      <w:r>
        <w:rPr>
          <w:rFonts w:ascii="Arial" w:cs="Arial" w:eastAsia="Arial" w:hAnsi="Arial"/>
          <w:sz w:val="19"/>
          <w:szCs w:val="19"/>
          <w:color w:val="auto"/>
        </w:rPr>
        <w:t>14.5 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80" w:type="dxa"/>
            <w:vAlign w:val="bottom"/>
            <w:tcBorders>
              <w:top w:val="single" w:sz="8" w:color="622423"/>
            </w:tcBorders>
          </w:tcPr>
          <w:p>
            <w:pPr>
              <w:spacing w:after="0"/>
              <w:rPr>
                <w:sz w:val="20"/>
                <w:szCs w:val="20"/>
                <w:color w:val="auto"/>
              </w:rPr>
            </w:pPr>
            <w:r>
              <w:rPr>
                <w:rFonts w:ascii="Arial" w:cs="Arial" w:eastAsia="Arial" w:hAnsi="Arial"/>
                <w:sz w:val="18"/>
                <w:szCs w:val="18"/>
                <w:color w:val="auto"/>
              </w:rPr>
              <w:t>Executive Employment Agreement</w:t>
            </w:r>
          </w:p>
        </w:tc>
        <w:tc>
          <w:tcPr>
            <w:tcW w:w="7160" w:type="dxa"/>
            <w:vAlign w:val="bottom"/>
            <w:tcBorders>
              <w:top w:val="single" w:sz="8" w:color="622423"/>
            </w:tcBorders>
          </w:tcPr>
          <w:p>
            <w:pPr>
              <w:jc w:val="right"/>
              <w:ind w:right="54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r>
      <w:tr>
        <w:trPr>
          <w:trHeight w:val="344"/>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7" w:name="page88"/>
    <w:bookmarkEnd w:id="87"/>
    <w:p>
      <w:pPr>
        <w:ind w:left="880"/>
        <w:spacing w:after="0"/>
        <w:rPr>
          <w:sz w:val="20"/>
          <w:szCs w:val="20"/>
          <w:color w:val="auto"/>
        </w:rPr>
      </w:pPr>
      <w:r>
        <w:rPr>
          <w:rFonts w:ascii="Arial" w:cs="Arial" w:eastAsia="Arial" w:hAnsi="Arial"/>
          <w:sz w:val="22"/>
          <w:szCs w:val="22"/>
          <w:color w:val="auto"/>
        </w:rPr>
        <w:t>IN WITNESS WHEREOF, the parties hereto have executed this Agreement as of the Effective Date.</w:t>
      </w: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TAYSHA GENE THERAPIES, INC.</w:t>
      </w:r>
    </w:p>
    <w:p>
      <w:pPr>
        <w:spacing w:after="0" w:line="226" w:lineRule="exact"/>
        <w:rPr>
          <w:sz w:val="20"/>
          <w:szCs w:val="20"/>
          <w:color w:val="auto"/>
        </w:rPr>
      </w:pPr>
    </w:p>
    <w:tbl>
      <w:tblPr>
        <w:tblLayout w:type="fixed"/>
        <w:tblInd w:w="562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Sean P. Nolan</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Sean P. Nolan</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Chairman of the Board</w:t>
            </w:r>
          </w:p>
        </w:tc>
      </w:tr>
    </w:tbl>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R.A. SESSION II</w:t>
      </w:r>
    </w:p>
    <w:p>
      <w:pPr>
        <w:spacing w:after="0" w:line="2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Executive Employment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 Session II, certify that:</w:t>
      </w:r>
    </w:p>
    <w:p>
      <w:pPr>
        <w:spacing w:after="0" w:line="225"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RA Session II</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Kamran Alam, certify that:</w:t>
      </w:r>
    </w:p>
    <w:p>
      <w:pPr>
        <w:spacing w:after="0" w:line="225"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Kamran Alam</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connection with the Quarterly Report of Taysha Gene Therapies, Inc. (the “Company”) on Form 10-Q for the period ending September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RA Session II</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connection with the Quarterly Report of Taysha Gene Therapies, Inc. (the “Company”) on Form 10-Q for the period ending September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Kamran Alam</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lowerRoman"/>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4"/>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decimal"/>
      <w:start w:val="6"/>
    </w:lvl>
  </w:abstractNum>
  <w:abstractNum w:abstractNumId="55">
    <w:nsid w:val="47398C89"/>
    <w:multiLevelType w:val="hybridMultilevel"/>
    <w:lvl w:ilvl="0">
      <w:lvlJc w:val="left"/>
      <w:lvlText w:val="%1."/>
      <w:numFmt w:val="decimal"/>
      <w:start w:val="7"/>
    </w:lvl>
  </w:abstractNum>
  <w:abstractNum w:abstractNumId="56">
    <w:nsid w:val="354FE9F9"/>
    <w:multiLevelType w:val="hybridMultilevel"/>
    <w:lvl w:ilvl="0">
      <w:lvlJc w:val="left"/>
      <w:lvlText w:val="%1."/>
      <w:numFmt w:val="decimal"/>
      <w:start w:val="12"/>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06" Type="http://schemas.openxmlformats.org/officeDocument/2006/relationships/hyperlink" Target="http://www.sec.gov/Archives/edgar/data/1806310/000119312520257858/d78879dex31.htm" TargetMode="External"/><Relationship Id="rId107" Type="http://schemas.openxmlformats.org/officeDocument/2006/relationships/hyperlink" Target="http://www.sec.gov/Archives/edgar/data/1806310/000119312520247565/d938924dex34.htm" TargetMode="External"/><Relationship Id="rId108" Type="http://schemas.openxmlformats.org/officeDocument/2006/relationships/hyperlink" Target="http://www.sec.gov/Archives/edgar/data/1806310/000119312520247565/d938924dex106.htm" TargetMode="External"/><Relationship Id="rId109" Type="http://schemas.openxmlformats.org/officeDocument/2006/relationships/hyperlink" Target="http://www.sec.gov/Archives/edgar/data/1806310/000119312520247565/d938924dex107.htm" TargetMode="External"/><Relationship Id="rId110" Type="http://schemas.openxmlformats.org/officeDocument/2006/relationships/hyperlink" Target="http://www.sec.gov/Archives/edgar/data/1806310/000119312520247565/d938924dex108.htm" TargetMode="External"/><Relationship Id="rId111" Type="http://schemas.openxmlformats.org/officeDocument/2006/relationships/hyperlink" Target="http://www.sec.gov/Archives/edgar/data/1806310/000119312520247565/d938924dex1010.htm" TargetMode="External"/><Relationship Id="rId112" Type="http://schemas.openxmlformats.org/officeDocument/2006/relationships/hyperlink" Target="http://www.sec.gov/Archives/edgar/data/1806310/000119312520247565/d938924dex1011.htm" TargetMode="External"/><Relationship Id="rId113" Type="http://schemas.openxmlformats.org/officeDocument/2006/relationships/hyperlink" Target="http://www.sec.gov/Archives/edgar/data/1806310/000119312520247565/d938924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2020-11-12T15:38:17Z</dcterms:created>
  <dcterms:modified xsi:type="dcterms:W3CDTF">2020-11-12T15:38:17Z</dcterms:modified>
</cp:coreProperties>
</file>